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Header"/>
        <w:tabs>
          <w:tab w:val="clear" w:pos="4320"/>
          <w:tab w:val="clear" w:pos="8640"/>
        </w:tabs>
        <w:rPr/>
      </w:pPr>
      <w:r>
        <w:rPr/>
      </w:r>
    </w:p>
    <w:p>
      <w:pPr>
        <w:pStyle w:val="Normal"/>
        <w:rPr/>
      </w:pPr>
      <w:r>
        <w:rPr/>
      </w:r>
    </w:p>
    <w:p>
      <w:pPr>
        <w:pStyle w:val="Normal"/>
        <w:rPr/>
      </w:pPr>
      <w:r>
        <w:rPr/>
      </w:r>
    </w:p>
    <w:p>
      <w:pPr>
        <w:pStyle w:val="Normal"/>
        <w:jc w:val="both"/>
        <w:rPr/>
      </w:pPr>
      <w:r>
        <w:rPr/>
        <w:tab/>
        <w:tab/>
        <w:tab/>
        <w:tab/>
        <w:tab/>
        <w:tab/>
        <w:t>November 13, 2000</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Marathon Ashland Petroleum L.L.C.</w:t>
      </w:r>
    </w:p>
    <w:p>
      <w:pPr>
        <w:pStyle w:val="Normal"/>
        <w:jc w:val="both"/>
        <w:rPr/>
      </w:pPr>
      <w:r>
        <w:rPr/>
        <w:t>P. O. Box 3128</w:t>
      </w:r>
    </w:p>
    <w:p>
      <w:pPr>
        <w:pStyle w:val="Normal"/>
        <w:jc w:val="both"/>
        <w:rPr/>
      </w:pPr>
      <w:r>
        <w:rPr/>
        <w:t>Houston, Texas 77253-3128</w:t>
      </w:r>
    </w:p>
    <w:p>
      <w:pPr>
        <w:pStyle w:val="Normal"/>
        <w:jc w:val="both"/>
        <w:rPr/>
      </w:pPr>
      <w:r>
        <w:rPr/>
      </w:r>
    </w:p>
    <w:p>
      <w:pPr>
        <w:pStyle w:val="Normal"/>
        <w:jc w:val="both"/>
        <w:rPr/>
      </w:pPr>
      <w:r>
        <w:rPr/>
        <w:t>Attn:  Tony Witte</w:t>
      </w:r>
    </w:p>
    <w:p>
      <w:pPr>
        <w:pStyle w:val="Normal"/>
        <w:jc w:val="both"/>
        <w:rPr/>
      </w:pPr>
      <w:r>
        <w:rPr/>
        <w:t>Telephone No.:  (713) 296-3707</w:t>
      </w:r>
    </w:p>
    <w:p>
      <w:pPr>
        <w:pStyle w:val="Normal"/>
        <w:jc w:val="both"/>
        <w:rPr/>
      </w:pPr>
      <w:r>
        <w:rPr/>
      </w:r>
    </w:p>
    <w:p>
      <w:pPr>
        <w:pStyle w:val="BodyText"/>
        <w:rPr>
          <w:sz w:val="20"/>
        </w:rPr>
      </w:pPr>
      <w:r>
        <w:rPr>
          <w:sz w:val="20"/>
        </w:rPr>
        <w:t>ENFOLIO® FIRM CONFIRMATION -- ENFOLIO® FIRM GENERAL TERMS &amp; CONDITIONS GOVERN</w:t>
      </w:r>
    </w:p>
    <w:p>
      <w:pPr>
        <w:pStyle w:val="Normal"/>
        <w:jc w:val="center"/>
        <w:rPr>
          <w:b/>
          <w:sz w:val="20"/>
        </w:rPr>
      </w:pPr>
      <w:r>
        <w:rPr>
          <w:b/>
          <w:sz w:val="20"/>
        </w:rPr>
      </w:r>
    </w:p>
    <w:p>
      <w:pPr>
        <w:pStyle w:val="Normal"/>
        <w:jc w:val="both"/>
        <w:rPr/>
      </w:pPr>
      <w:r>
        <w:rPr/>
        <w:t>Gentlemen:</w:t>
      </w:r>
    </w:p>
    <w:p>
      <w:pPr>
        <w:pStyle w:val="Normal"/>
        <w:jc w:val="both"/>
        <w:rPr/>
      </w:pPr>
      <w:r>
        <w:rPr/>
      </w:r>
    </w:p>
    <w:p>
      <w:pPr>
        <w:pStyle w:val="Normal"/>
        <w:jc w:val="both"/>
        <w:rPr/>
      </w:pPr>
      <w:r>
        <w:rPr/>
        <w:tab/>
        <w:t>This Confirmation shall confirm the transaction agreed to and binding between Marathon Ashland Petroleum L.L.C. (“Customer”) and Houston Pipe Line Company (“Company”) regarding the purchase and sale of gas on the following terms.  Customer to purchase and receive (“Buyer”) and Company to sell and deliver (“Seller”).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8748" w:type="dxa"/>
        <w:jc w:val="start"/>
        <w:tblInd w:w="0" w:type="dxa"/>
        <w:tblLayout w:type="fixed"/>
        <w:tblCellMar>
          <w:top w:w="0" w:type="dxa"/>
          <w:start w:w="108" w:type="dxa"/>
          <w:bottom w:w="0" w:type="dxa"/>
          <w:end w:w="108" w:type="dxa"/>
        </w:tblCellMar>
      </w:tblPr>
      <w:tblGrid>
        <w:gridCol w:w="3798"/>
        <w:gridCol w:w="4950"/>
      </w:tblGrid>
      <w:tr>
        <w:trPr/>
        <w:tc>
          <w:tcPr>
            <w:tcW w:w="3798" w:type="dxa"/>
            <w:tcBorders/>
          </w:tcPr>
          <w:p>
            <w:pPr>
              <w:pStyle w:val="Normal"/>
              <w:tabs>
                <w:tab w:val="clear" w:pos="720"/>
                <w:tab w:val="left" w:pos="1440" w:leader="none"/>
              </w:tabs>
              <w:jc w:val="both"/>
              <w:rPr/>
            </w:pPr>
            <w:r>
              <w:rPr>
                <w:b/>
              </w:rPr>
              <w:t>QUANTITIES:</w:t>
            </w:r>
            <w:r>
              <w:rPr/>
              <w:t xml:space="preserve">  </w:t>
              <w:tab/>
              <w:t>MinDQ:</w:t>
            </w:r>
          </w:p>
          <w:p>
            <w:pPr>
              <w:pStyle w:val="Normal"/>
              <w:tabs>
                <w:tab w:val="clear" w:pos="720"/>
                <w:tab w:val="left" w:pos="1440" w:leader="none"/>
              </w:tabs>
              <w:jc w:val="both"/>
              <w:rPr/>
            </w:pPr>
            <w:r>
              <w:rPr/>
              <w:tab/>
              <w:t>MaxDQ:</w:t>
            </w:r>
          </w:p>
          <w:p>
            <w:pPr>
              <w:pStyle w:val="Normal"/>
              <w:tabs>
                <w:tab w:val="clear" w:pos="720"/>
                <w:tab w:val="left" w:pos="1440" w:leader="none"/>
              </w:tabs>
              <w:jc w:val="both"/>
              <w:rPr>
                <w:b/>
              </w:rPr>
            </w:pPr>
            <w:r>
              <w:rPr/>
              <w:tab/>
              <w:t>DCQ:</w:t>
            </w:r>
          </w:p>
        </w:tc>
        <w:tc>
          <w:tcPr>
            <w:tcW w:w="4950" w:type="dxa"/>
            <w:tcBorders/>
          </w:tcPr>
          <w:p>
            <w:pPr>
              <w:pStyle w:val="Normal"/>
              <w:jc w:val="both"/>
              <w:rPr/>
            </w:pPr>
            <w:r>
              <w:rPr/>
              <w:t>2,500 MMBtu of Gas per Day.</w:t>
            </w:r>
          </w:p>
          <w:p>
            <w:pPr>
              <w:pStyle w:val="Normal"/>
              <w:jc w:val="both"/>
              <w:rPr/>
            </w:pPr>
            <w:r>
              <w:rPr/>
              <w:t>7,000 MMBtu of Gas per Day.</w:t>
            </w:r>
          </w:p>
          <w:p>
            <w:pPr>
              <w:pStyle w:val="Normal"/>
              <w:jc w:val="both"/>
              <w:rPr/>
            </w:pPr>
            <w:r>
              <w:rPr/>
              <w:t>The DCQ shall be the volume between the MinDQ and the MaxDQ that is nominated by Buyer to Seller not later than 12:00 noon on the 5</w:t>
            </w:r>
            <w:r>
              <w:rPr>
                <w:vertAlign w:val="superscript"/>
              </w:rPr>
              <w:t>th</w:t>
            </w:r>
            <w:r>
              <w:rPr/>
              <w:t xml:space="preserve"> Business Day prior to the start of the Month. </w:t>
            </w:r>
          </w:p>
        </w:tc>
      </w:tr>
      <w:tr>
        <w:trPr/>
        <w:tc>
          <w:tcPr>
            <w:tcW w:w="3798" w:type="dxa"/>
            <w:tcBorders/>
          </w:tcPr>
          <w:p>
            <w:pPr>
              <w:pStyle w:val="Normal"/>
              <w:snapToGrid w:val="false"/>
              <w:jc w:val="both"/>
              <w:rPr>
                <w:b/>
              </w:rPr>
            </w:pPr>
            <w:r>
              <w:rPr>
                <w:b/>
              </w:rPr>
            </w:r>
          </w:p>
        </w:tc>
        <w:tc>
          <w:tcPr>
            <w:tcW w:w="4950" w:type="dxa"/>
            <w:tcBorders/>
          </w:tcPr>
          <w:p>
            <w:pPr>
              <w:pStyle w:val="Normal"/>
              <w:snapToGrid w:val="false"/>
              <w:jc w:val="both"/>
              <w:rPr>
                <w:b/>
              </w:rPr>
            </w:pPr>
            <w:r>
              <w:rPr>
                <w:b/>
              </w:rPr>
            </w:r>
          </w:p>
        </w:tc>
      </w:tr>
      <w:tr>
        <w:trPr/>
        <w:tc>
          <w:tcPr>
            <w:tcW w:w="3798" w:type="dxa"/>
            <w:tcBorders/>
          </w:tcPr>
          <w:p>
            <w:pPr>
              <w:pStyle w:val="Normal"/>
              <w:jc w:val="both"/>
              <w:rPr>
                <w:b/>
              </w:rPr>
            </w:pPr>
            <w:r>
              <w:rPr>
                <w:b/>
              </w:rPr>
              <w:t>DELIVERY POINT:</w:t>
            </w:r>
          </w:p>
        </w:tc>
        <w:tc>
          <w:tcPr>
            <w:tcW w:w="4950" w:type="dxa"/>
            <w:tcBorders/>
          </w:tcPr>
          <w:p>
            <w:pPr>
              <w:pStyle w:val="Normal"/>
              <w:jc w:val="both"/>
              <w:rPr/>
            </w:pPr>
            <w:r>
              <w:rPr/>
              <w:t>Outlet flange of Houston Pipe Line Company (HPL) Meter Number 1431.</w:t>
            </w:r>
          </w:p>
        </w:tc>
      </w:tr>
      <w:tr>
        <w:trPr/>
        <w:tc>
          <w:tcPr>
            <w:tcW w:w="3798" w:type="dxa"/>
            <w:tcBorders/>
          </w:tcPr>
          <w:p>
            <w:pPr>
              <w:pStyle w:val="Normal"/>
              <w:snapToGrid w:val="false"/>
              <w:jc w:val="both"/>
              <w:rPr>
                <w:b/>
              </w:rPr>
            </w:pPr>
            <w:r>
              <w:rPr>
                <w:b/>
              </w:rPr>
            </w:r>
          </w:p>
        </w:tc>
        <w:tc>
          <w:tcPr>
            <w:tcW w:w="4950" w:type="dxa"/>
            <w:tcBorders/>
          </w:tcPr>
          <w:p>
            <w:pPr>
              <w:pStyle w:val="Normal"/>
              <w:snapToGrid w:val="false"/>
              <w:jc w:val="both"/>
              <w:rPr>
                <w:b/>
              </w:rPr>
            </w:pPr>
            <w:r>
              <w:rPr>
                <w:b/>
              </w:rPr>
            </w:r>
          </w:p>
        </w:tc>
      </w:tr>
      <w:tr>
        <w:trPr/>
        <w:tc>
          <w:tcPr>
            <w:tcW w:w="3798" w:type="dxa"/>
            <w:tcBorders/>
          </w:tcPr>
          <w:p>
            <w:pPr>
              <w:pStyle w:val="Normal"/>
              <w:jc w:val="both"/>
              <w:rPr>
                <w:b/>
              </w:rPr>
            </w:pPr>
            <w:r>
              <w:rPr>
                <w:b/>
              </w:rPr>
              <w:t>PERIOD OF DELIVERY:</w:t>
            </w:r>
          </w:p>
        </w:tc>
        <w:tc>
          <w:tcPr>
            <w:tcW w:w="4950" w:type="dxa"/>
            <w:tcBorders/>
          </w:tcPr>
          <w:p>
            <w:pPr>
              <w:pStyle w:val="Normal"/>
              <w:jc w:val="both"/>
              <w:rPr/>
            </w:pPr>
            <w:r>
              <w:rPr/>
              <w:t>December 1, 2000 through November 30, 2001.</w:t>
            </w:r>
          </w:p>
        </w:tc>
      </w:tr>
      <w:tr>
        <w:trPr/>
        <w:tc>
          <w:tcPr>
            <w:tcW w:w="3798" w:type="dxa"/>
            <w:tcBorders/>
          </w:tcPr>
          <w:p>
            <w:pPr>
              <w:pStyle w:val="Normal"/>
              <w:snapToGrid w:val="false"/>
              <w:jc w:val="both"/>
              <w:rPr/>
            </w:pPr>
            <w:r>
              <w:rPr/>
            </w:r>
          </w:p>
        </w:tc>
        <w:tc>
          <w:tcPr>
            <w:tcW w:w="4950" w:type="dxa"/>
            <w:tcBorders/>
          </w:tcPr>
          <w:p>
            <w:pPr>
              <w:pStyle w:val="Normal"/>
              <w:snapToGrid w:val="false"/>
              <w:jc w:val="both"/>
              <w:rPr/>
            </w:pPr>
            <w:r>
              <w:rPr/>
            </w:r>
          </w:p>
        </w:tc>
      </w:tr>
      <w:tr>
        <w:trPr/>
        <w:tc>
          <w:tcPr>
            <w:tcW w:w="3798" w:type="dxa"/>
            <w:tcBorders/>
          </w:tcPr>
          <w:p>
            <w:pPr>
              <w:pStyle w:val="Normal"/>
              <w:jc w:val="both"/>
              <w:rPr>
                <w:b/>
              </w:rPr>
            </w:pPr>
            <w:r>
              <w:rPr>
                <w:b/>
              </w:rPr>
              <w:t>CONTRACT PRICE (per MMBtu):</w:t>
            </w:r>
          </w:p>
        </w:tc>
        <w:tc>
          <w:tcPr>
            <w:tcW w:w="4950" w:type="dxa"/>
            <w:tcBorders/>
          </w:tcPr>
          <w:p>
            <w:pPr>
              <w:pStyle w:val="Normal"/>
              <w:jc w:val="both"/>
              <w:rPr/>
            </w:pPr>
            <w:r>
              <w:rPr/>
              <w:t>The Contract Price for the DCQ shall be the Index Price plus $0.05 per MMBtu.  The term “Index Price” means the price published in Inside F.E.R.C.’s Gas Market Report for Houston Ship Channel index (large packages only), as listed in the table entitled “Delivered Spot-Gas Price” in the first-of-the-month issue of such publication for each Month during the Period of Delivery.</w:t>
            </w:r>
          </w:p>
          <w:p>
            <w:pPr>
              <w:pStyle w:val="Normal"/>
              <w:jc w:val="both"/>
              <w:rPr/>
            </w:pPr>
            <w:r>
              <w:rPr/>
            </w:r>
          </w:p>
        </w:tc>
      </w:tr>
      <w:tr>
        <w:trPr/>
        <w:tc>
          <w:tcPr>
            <w:tcW w:w="3798" w:type="dxa"/>
            <w:tcBorders/>
          </w:tcPr>
          <w:p>
            <w:pPr>
              <w:pStyle w:val="Normal"/>
              <w:jc w:val="both"/>
              <w:rPr>
                <w:b/>
              </w:rPr>
            </w:pPr>
            <w:r>
              <w:rPr>
                <w:b/>
              </w:rPr>
              <w:t>SPOT PRICE LOCATION:</w:t>
            </w:r>
          </w:p>
        </w:tc>
        <w:tc>
          <w:tcPr>
            <w:tcW w:w="4950" w:type="dxa"/>
            <w:tcBorders/>
          </w:tcPr>
          <w:p>
            <w:pPr>
              <w:pStyle w:val="Normal"/>
              <w:jc w:val="both"/>
              <w:rPr/>
            </w:pPr>
            <w:r>
              <w:rPr/>
              <w:t>East-Houston-Katy / Houston Ship Channel</w:t>
            </w:r>
          </w:p>
        </w:tc>
      </w:tr>
      <w:tr>
        <w:trPr/>
        <w:tc>
          <w:tcPr>
            <w:tcW w:w="3798" w:type="dxa"/>
            <w:tcBorders/>
          </w:tcPr>
          <w:p>
            <w:pPr>
              <w:pStyle w:val="Normal"/>
              <w:snapToGrid w:val="false"/>
              <w:jc w:val="both"/>
              <w:rPr>
                <w:b/>
              </w:rPr>
            </w:pPr>
            <w:r>
              <w:rPr>
                <w:b/>
              </w:rPr>
            </w:r>
          </w:p>
        </w:tc>
        <w:tc>
          <w:tcPr>
            <w:tcW w:w="4950" w:type="dxa"/>
            <w:tcBorders/>
          </w:tcPr>
          <w:p>
            <w:pPr>
              <w:pStyle w:val="Normal"/>
              <w:snapToGrid w:val="false"/>
              <w:jc w:val="both"/>
              <w:rPr>
                <w:b/>
              </w:rPr>
            </w:pPr>
            <w:r>
              <w:rPr>
                <w:b/>
              </w:rPr>
            </w:r>
          </w:p>
        </w:tc>
      </w:tr>
      <w:tr>
        <w:trPr/>
        <w:tc>
          <w:tcPr>
            <w:tcW w:w="3798" w:type="dxa"/>
            <w:tcBorders/>
          </w:tcPr>
          <w:p>
            <w:pPr>
              <w:pStyle w:val="Normal"/>
              <w:tabs>
                <w:tab w:val="clear" w:pos="720"/>
                <w:tab w:val="left" w:pos="1440" w:leader="none"/>
              </w:tabs>
              <w:jc w:val="both"/>
              <w:rPr>
                <w:b/>
              </w:rPr>
            </w:pPr>
            <w:r>
              <w:rPr>
                <w:b/>
              </w:rPr>
              <w:t>OTHER:</w:t>
              <w:tab/>
              <w:t>Deficiency Volumes:</w:t>
            </w:r>
          </w:p>
        </w:tc>
        <w:tc>
          <w:tcPr>
            <w:tcW w:w="4950" w:type="dxa"/>
            <w:tcBorders/>
          </w:tcPr>
          <w:p>
            <w:pPr>
              <w:pStyle w:val="Normal"/>
              <w:jc w:val="both"/>
              <w:rPr/>
            </w:pPr>
            <w:r>
              <w:rPr/>
              <w:t xml:space="preserve">1.  In the event Customer purchases less than the DCQ but more than the MinDQ for any Day during the Month, each MMBtu of the difference between the volume purchased and the DCQ shall be purchased by Company from Customer at a price equal to the Katy Spot Price (Midpoint). </w:t>
            </w:r>
          </w:p>
        </w:tc>
      </w:tr>
      <w:tr>
        <w:trPr/>
        <w:tc>
          <w:tcPr>
            <w:tcW w:w="3798" w:type="dxa"/>
            <w:tcBorders/>
          </w:tcPr>
          <w:p>
            <w:pPr>
              <w:pStyle w:val="Normal"/>
              <w:tabs>
                <w:tab w:val="clear" w:pos="720"/>
                <w:tab w:val="left" w:pos="1440" w:leader="none"/>
              </w:tabs>
              <w:snapToGrid w:val="false"/>
              <w:jc w:val="both"/>
              <w:rPr>
                <w:b/>
              </w:rPr>
            </w:pPr>
            <w:r>
              <w:rPr>
                <w:b/>
              </w:rPr>
            </w:r>
          </w:p>
        </w:tc>
        <w:tc>
          <w:tcPr>
            <w:tcW w:w="4950" w:type="dxa"/>
            <w:tcBorders/>
          </w:tcPr>
          <w:p>
            <w:pPr>
              <w:pStyle w:val="Normal"/>
              <w:jc w:val="both"/>
              <w:rPr/>
            </w:pPr>
            <w:r>
              <w:rPr/>
              <w:t>2.  If Customer purchases less than the MinDQ for any Day during the Month, each MMBtu of the difference between the volume purchased and the MinDQ shall be purchased by Company from Customer at a price equal to the Katy Spot Price (Common Low) and each MMBtu of the difference between the MinDQ and the DCQ shall be purchased by Company from Customer at a price equal to the Katy Spot Price (Midpoint).</w:t>
            </w:r>
          </w:p>
        </w:tc>
      </w:tr>
      <w:tr>
        <w:trPr/>
        <w:tc>
          <w:tcPr>
            <w:tcW w:w="3798" w:type="dxa"/>
            <w:tcBorders/>
          </w:tcPr>
          <w:p>
            <w:pPr>
              <w:pStyle w:val="Normal"/>
              <w:tabs>
                <w:tab w:val="clear" w:pos="720"/>
                <w:tab w:val="left" w:pos="1440" w:leader="none"/>
              </w:tabs>
              <w:snapToGrid w:val="false"/>
              <w:jc w:val="both"/>
              <w:rPr>
                <w:b/>
              </w:rPr>
            </w:pPr>
            <w:r>
              <w:rPr>
                <w:b/>
              </w:rPr>
            </w:r>
          </w:p>
        </w:tc>
        <w:tc>
          <w:tcPr>
            <w:tcW w:w="4950" w:type="dxa"/>
            <w:tcBorders/>
          </w:tcPr>
          <w:p>
            <w:pPr>
              <w:pStyle w:val="Normal"/>
              <w:jc w:val="both"/>
              <w:rPr/>
            </w:pPr>
            <w:r>
              <w:rPr/>
              <w:t>3.  If Customer purchases more than the DCQ but less than the MaxDQ for any Day during the Month, each MMBtu of the difference between the volume purchased and the DCQ shall be purchased by Customer from Company at a price equal to the HSC Spot Price (Midpoint).</w:t>
            </w:r>
          </w:p>
          <w:p>
            <w:pPr>
              <w:pStyle w:val="Normal"/>
              <w:jc w:val="both"/>
              <w:rPr/>
            </w:pPr>
            <w:r>
              <w:rPr/>
              <w:t>4.  If Customer purchases more than the MaxDQ for any Day during the Month, each MMBtu of the difference between the volume purchased in excess of  the MaxDQ shall be purchased by Customer from Company at a price equal to the HSC Spot Price (Common High) and each MMBtu of the difference between the MaxDQ and the DCQ shall be purchased by Customer from Company at a price equal to the HSC Spot Price (Midpoint).</w:t>
            </w:r>
          </w:p>
        </w:tc>
      </w:tr>
      <w:tr>
        <w:trPr/>
        <w:tc>
          <w:tcPr>
            <w:tcW w:w="3798" w:type="dxa"/>
            <w:tcBorders/>
          </w:tcPr>
          <w:p>
            <w:pPr>
              <w:pStyle w:val="Normal"/>
              <w:tabs>
                <w:tab w:val="clear" w:pos="720"/>
                <w:tab w:val="left" w:pos="1440" w:leader="none"/>
              </w:tabs>
              <w:jc w:val="both"/>
              <w:rPr>
                <w:b/>
              </w:rPr>
            </w:pPr>
            <w:r>
              <w:rPr>
                <w:b/>
              </w:rPr>
              <w:tab/>
              <w:t>Definitions:</w:t>
            </w:r>
          </w:p>
        </w:tc>
        <w:tc>
          <w:tcPr>
            <w:tcW w:w="4950" w:type="dxa"/>
            <w:tcBorders/>
          </w:tcPr>
          <w:p>
            <w:pPr>
              <w:pStyle w:val="Normal"/>
              <w:jc w:val="both"/>
              <w:rPr/>
            </w:pPr>
            <w:r>
              <w:rPr/>
              <w:t>1. “</w:t>
            </w:r>
            <w:r>
              <w:rPr>
                <w:b/>
              </w:rPr>
              <w:t>HSC Spot Price (Midpoint)</w:t>
            </w:r>
            <w:r>
              <w:rPr/>
              <w:t xml:space="preserve">” means the Spot Price (Midpoint) set forth in </w:t>
            </w:r>
            <w:r>
              <w:rPr>
                <w:u w:val="single"/>
              </w:rPr>
              <w:t>Gas Daily</w:t>
            </w:r>
            <w:r>
              <w:rPr/>
              <w:t>® (Financial Times Energy), or successor publication, in the column “Daily Price Survey” under Houston Ship Channel as reported for the Gas Day on which the excess purchase occurred; provided, if there is no midpoint price published on such day, then the Spot Price (Midpoint) shall be deemed the midpoint price for the next day for which a Spot Price (Midpoint) can be determined in accordance herewith.</w:t>
            </w:r>
          </w:p>
        </w:tc>
      </w:tr>
      <w:tr>
        <w:trPr/>
        <w:tc>
          <w:tcPr>
            <w:tcW w:w="3798" w:type="dxa"/>
            <w:tcBorders/>
          </w:tcPr>
          <w:p>
            <w:pPr>
              <w:pStyle w:val="Normal"/>
              <w:tabs>
                <w:tab w:val="clear" w:pos="720"/>
                <w:tab w:val="left" w:pos="1440" w:leader="none"/>
              </w:tabs>
              <w:snapToGrid w:val="false"/>
              <w:jc w:val="both"/>
              <w:rPr>
                <w:b/>
              </w:rPr>
            </w:pPr>
            <w:r>
              <w:rPr>
                <w:b/>
              </w:rPr>
            </w:r>
          </w:p>
        </w:tc>
        <w:tc>
          <w:tcPr>
            <w:tcW w:w="4950" w:type="dxa"/>
            <w:tcBorders/>
          </w:tcPr>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2.  “</w:t>
            </w:r>
            <w:r>
              <w:rPr>
                <w:b/>
              </w:rPr>
              <w:t>HSC Spot Price (Common High)</w:t>
            </w:r>
            <w:r>
              <w:rPr/>
              <w:t xml:space="preserve">” means the Spot Price (Common High), common high price of the range of prices, set forth in </w:t>
            </w:r>
            <w:r>
              <w:rPr>
                <w:u w:val="single"/>
              </w:rPr>
              <w:t>Gas Daily</w:t>
            </w:r>
            <w:r>
              <w:rPr/>
              <w:t>® (Financial Times Energy), or successor publication, in the column “Daily Price Survey” under Houston Ship Channel as reported for the Gas Day on which the excess purchase occurred; provided, if there is no range of prices published on such day, then the Spot Price (Common High) shall be deemed the common high price for the next day for which a Spot Price (Common High) can be determined in accordance herewith.</w:t>
            </w:r>
          </w:p>
        </w:tc>
      </w:tr>
      <w:tr>
        <w:trPr/>
        <w:tc>
          <w:tcPr>
            <w:tcW w:w="3798" w:type="dxa"/>
            <w:tcBorders/>
          </w:tcPr>
          <w:p>
            <w:pPr>
              <w:pStyle w:val="Normal"/>
              <w:tabs>
                <w:tab w:val="clear" w:pos="720"/>
                <w:tab w:val="left" w:pos="1440" w:leader="none"/>
              </w:tabs>
              <w:snapToGrid w:val="false"/>
              <w:jc w:val="both"/>
              <w:rPr>
                <w:b/>
              </w:rPr>
            </w:pPr>
            <w:r>
              <w:rPr>
                <w:b/>
              </w:rPr>
            </w:r>
          </w:p>
        </w:tc>
        <w:tc>
          <w:tcPr>
            <w:tcW w:w="4950" w:type="dxa"/>
            <w:tcBorders/>
          </w:tcPr>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3. “</w:t>
            </w:r>
            <w:r>
              <w:rPr>
                <w:b/>
              </w:rPr>
              <w:t>Katy Spot Price (Midpoint)</w:t>
            </w:r>
            <w:r>
              <w:rPr/>
              <w:t xml:space="preserve">” means the Spot Price set forth in </w:t>
            </w:r>
            <w:r>
              <w:rPr>
                <w:u w:val="single"/>
              </w:rPr>
              <w:t>Gas Daily</w:t>
            </w:r>
            <w:r>
              <w:rPr/>
              <w:t>® (Financial Times Energy), or successor publication, in the column “Daily Price Survey” under East-Houston-Katy as reported for the Gas Day on which the deficient purchase occurred; provided, if there is no midpoint price published on such day, then the Spot Price (Midpoint) shall be deemed the midpoint price for the next day for which a Spot Price (Midpoint) can be determined in accordance herewith.</w:t>
            </w:r>
          </w:p>
        </w:tc>
      </w:tr>
      <w:tr>
        <w:trPr/>
        <w:tc>
          <w:tcPr>
            <w:tcW w:w="3798" w:type="dxa"/>
            <w:tcBorders/>
          </w:tcPr>
          <w:p>
            <w:pPr>
              <w:pStyle w:val="Normal"/>
              <w:tabs>
                <w:tab w:val="clear" w:pos="720"/>
                <w:tab w:val="left" w:pos="1440" w:leader="none"/>
              </w:tabs>
              <w:snapToGrid w:val="false"/>
              <w:jc w:val="both"/>
              <w:rPr>
                <w:b/>
              </w:rPr>
            </w:pPr>
            <w:r>
              <w:rPr>
                <w:b/>
              </w:rPr>
            </w:r>
          </w:p>
        </w:tc>
        <w:tc>
          <w:tcPr>
            <w:tcW w:w="4950" w:type="dxa"/>
            <w:tcBorders/>
          </w:tcPr>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4.  “</w:t>
            </w:r>
            <w:r>
              <w:rPr>
                <w:b/>
              </w:rPr>
              <w:t>Katy Spot Price (Common Low)</w:t>
            </w:r>
            <w:r>
              <w:rPr/>
              <w:t xml:space="preserve">” means the Spot Price (Common Low), common low price of the range of prices, set forth in </w:t>
            </w:r>
            <w:r>
              <w:rPr>
                <w:u w:val="single"/>
              </w:rPr>
              <w:t>Gas Daily</w:t>
            </w:r>
            <w:r>
              <w:rPr/>
              <w:t>® (Financial Times Energy), or successor publication, in the column “Daily Price Survey” under East-Houston-Katy as reported for the Gas Day on which the deficient purchase occurred; provided, if there is no common low price published on such day, then the Spot Price (Common Low) shall be deemed the common low price for the next day for which a Spot Price (Common Low) can be determined in accordance herewith.</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5. “</w:t>
            </w:r>
            <w:r>
              <w:rPr>
                <w:b/>
              </w:rPr>
              <w:t>Gas Day</w:t>
            </w:r>
            <w:r>
              <w:rPr/>
              <w:t>” means the Day the Gas flowed.</w:t>
            </w:r>
          </w:p>
        </w:tc>
      </w:tr>
      <w:tr>
        <w:trPr/>
        <w:tc>
          <w:tcPr>
            <w:tcW w:w="3798" w:type="dxa"/>
            <w:tcBorders/>
          </w:tcPr>
          <w:p>
            <w:pPr>
              <w:pStyle w:val="Normal"/>
              <w:tabs>
                <w:tab w:val="clear" w:pos="720"/>
                <w:tab w:val="left" w:pos="1440" w:leader="none"/>
              </w:tabs>
              <w:snapToGrid w:val="false"/>
              <w:jc w:val="both"/>
              <w:rPr>
                <w:b/>
              </w:rPr>
            </w:pPr>
            <w:r>
              <w:rPr>
                <w:b/>
              </w:rPr>
            </w:r>
          </w:p>
        </w:tc>
        <w:tc>
          <w:tcPr>
            <w:tcW w:w="4950" w:type="dxa"/>
            <w:tcBorders/>
          </w:tcPr>
          <w:p>
            <w:pPr>
              <w:pStyle w:val="Normal"/>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r>
    </w:tbl>
    <w:p>
      <w:pPr>
        <w:pStyle w:val="Normal"/>
        <w:jc w:val="both"/>
        <w:rPr>
          <w:b/>
        </w:rPr>
      </w:pPr>
      <w:r>
        <w:rPr>
          <w:b/>
        </w:rPr>
        <w:t>NOTICE AND COMMUNICATION TO COMPANY, AS FOLLOWS:</w:t>
      </w:r>
    </w:p>
    <w:p>
      <w:pPr>
        <w:pStyle w:val="Normal"/>
        <w:jc w:val="both"/>
        <w:rPr>
          <w:b/>
        </w:rPr>
      </w:pPr>
      <w:r>
        <w:rPr>
          <w:b/>
        </w:rPr>
        <w:t>NOTICE/CORRESPONDENCE:</w:t>
      </w:r>
    </w:p>
    <w:p>
      <w:pPr>
        <w:pStyle w:val="Normal"/>
        <w:jc w:val="both"/>
        <w:rPr/>
      </w:pPr>
      <w:r>
        <w:rPr/>
        <w:t>P. O. Box 4428</w:t>
      </w:r>
    </w:p>
    <w:p>
      <w:pPr>
        <w:pStyle w:val="Normal"/>
        <w:jc w:val="both"/>
        <w:rPr/>
      </w:pPr>
      <w:r>
        <w:rPr/>
        <w:t>Houston, Texas 77210-4428</w:t>
      </w:r>
    </w:p>
    <w:p>
      <w:pPr>
        <w:pStyle w:val="Normal"/>
        <w:jc w:val="both"/>
        <w:rPr/>
      </w:pPr>
      <w:r>
        <w:rPr/>
        <w:t>Attn:  Documentation and Deal Clearing</w:t>
      </w:r>
    </w:p>
    <w:p>
      <w:pPr>
        <w:pStyle w:val="Normal"/>
        <w:jc w:val="both"/>
        <w:rPr/>
      </w:pPr>
      <w:r>
        <w:rPr/>
        <w:t>Facsimile No. (713) 646-4816</w:t>
      </w:r>
    </w:p>
    <w:p>
      <w:pPr>
        <w:pStyle w:val="Normal"/>
        <w:jc w:val="both"/>
        <w:rPr/>
      </w:pPr>
      <w:r>
        <w:rPr/>
        <w:t>Termination Notice Facsimile No. (713) 646-4818</w:t>
      </w:r>
    </w:p>
    <w:p>
      <w:pPr>
        <w:pStyle w:val="Normal"/>
        <w:jc w:val="both"/>
        <w:rPr>
          <w:b/>
        </w:rPr>
      </w:pPr>
      <w:r>
        <w:rPr>
          <w:b/>
        </w:rPr>
        <w:t>INVOICES:</w:t>
      </w:r>
    </w:p>
    <w:p>
      <w:pPr>
        <w:pStyle w:val="Normal"/>
        <w:jc w:val="both"/>
        <w:rPr/>
      </w:pPr>
      <w:r>
        <w:rPr/>
        <w:t>P. O. Box 4428</w:t>
      </w:r>
    </w:p>
    <w:p>
      <w:pPr>
        <w:pStyle w:val="Normal"/>
        <w:jc w:val="both"/>
        <w:rPr/>
      </w:pPr>
      <w:r>
        <w:rPr/>
        <w:t>Houston, Texas 77210-4428</w:t>
      </w:r>
    </w:p>
    <w:p>
      <w:pPr>
        <w:pStyle w:val="Normal"/>
        <w:jc w:val="both"/>
        <w:rPr/>
      </w:pPr>
      <w:r>
        <w:rPr/>
        <w:t>Attn:  Client Services</w:t>
      </w:r>
    </w:p>
    <w:p>
      <w:pPr>
        <w:pStyle w:val="Normal"/>
        <w:jc w:val="both"/>
        <w:rPr/>
      </w:pPr>
      <w:r>
        <w:rPr/>
        <w:t>Facsimile No. (713) 646-8420</w:t>
      </w:r>
    </w:p>
    <w:p>
      <w:pPr>
        <w:pStyle w:val="Normal"/>
        <w:jc w:val="both"/>
        <w:rPr>
          <w:b/>
        </w:rPr>
      </w:pPr>
      <w:r>
        <w:rPr>
          <w:b/>
        </w:rPr>
        <w:t>PAYMENTS:</w:t>
      </w:r>
    </w:p>
    <w:p>
      <w:pPr>
        <w:pStyle w:val="Normal"/>
        <w:jc w:val="both"/>
        <w:rPr/>
      </w:pPr>
      <w:r>
        <w:rPr/>
        <w:t>Houston Pipe Line Company.</w:t>
      </w:r>
    </w:p>
    <w:p>
      <w:pPr>
        <w:pStyle w:val="Normal"/>
        <w:jc w:val="both"/>
        <w:rPr/>
      </w:pPr>
      <w:r>
        <w:rPr/>
        <w:t>ABA Routing 111000012 Bank of America Account 3750494141</w:t>
      </w:r>
    </w:p>
    <w:p>
      <w:pPr>
        <w:pStyle w:val="Normal"/>
        <w:jc w:val="both"/>
        <w:rPr>
          <w:b/>
        </w:rPr>
      </w:pPr>
      <w:r>
        <w:rPr>
          <w:b/>
        </w:rPr>
        <w:t>NOMINATIONS TO COMPANY:</w:t>
      </w:r>
    </w:p>
    <w:p>
      <w:pPr>
        <w:pStyle w:val="Normal"/>
        <w:jc w:val="both"/>
        <w:rPr/>
      </w:pPr>
      <w:r>
        <w:rPr/>
        <w:t>1(800)356-9427/1(800)FLOWGAS</w:t>
      </w:r>
    </w:p>
    <w:p>
      <w:pPr>
        <w:pStyle w:val="Normal"/>
        <w:jc w:val="both"/>
        <w:rPr>
          <w:b/>
        </w:rPr>
      </w:pPr>
      <w:r>
        <w:rPr>
          <w:b/>
        </w:rPr>
        <w:t>SCHEDULING CONFIRMATIONS TO COMPANY:</w:t>
      </w:r>
    </w:p>
    <w:p>
      <w:pPr>
        <w:pStyle w:val="Normal"/>
        <w:jc w:val="both"/>
        <w:rPr/>
      </w:pPr>
      <w:r>
        <w:rPr/>
        <w:t>Attn:  ECT Gas Trading</w:t>
      </w:r>
    </w:p>
    <w:p>
      <w:pPr>
        <w:pStyle w:val="Normal"/>
        <w:jc w:val="both"/>
        <w:rPr/>
      </w:pPr>
      <w:r>
        <w:rPr/>
        <w:t>Facsimile No. (713) 646-2531</w:t>
      </w:r>
    </w:p>
    <w:p>
      <w:pPr>
        <w:pStyle w:val="Normal"/>
        <w:jc w:val="both"/>
        <w:rPr/>
      </w:pPr>
      <w:r>
        <w:rPr/>
      </w:r>
    </w:p>
    <w:p>
      <w:pPr>
        <w:pStyle w:val="Normal"/>
        <w:jc w:val="both"/>
        <w:rPr>
          <w:b/>
        </w:rPr>
      </w:pPr>
      <w:r>
        <w:rPr>
          <w:b/>
        </w:rPr>
        <w:t>NOTICE AND COMMUNICATION TO CUSTOMER, AS FOLLOWS:</w:t>
      </w:r>
    </w:p>
    <w:p>
      <w:pPr>
        <w:pStyle w:val="Normal"/>
        <w:jc w:val="both"/>
        <w:rPr>
          <w:b/>
        </w:rPr>
      </w:pPr>
      <w:r>
        <w:rPr>
          <w:b/>
        </w:rPr>
        <w:t>NOTICE/CORRESPONDENCE:</w:t>
      </w:r>
    </w:p>
    <w:p>
      <w:pPr>
        <w:pStyle w:val="Normal"/>
        <w:jc w:val="both"/>
        <w:rPr/>
      </w:pPr>
      <w:r>
        <w:rPr/>
        <w:t>Marathon Ashland Petroleum L.L.C.</w:t>
      </w:r>
    </w:p>
    <w:p>
      <w:pPr>
        <w:pStyle w:val="Normal"/>
        <w:jc w:val="both"/>
        <w:rPr/>
      </w:pPr>
      <w:r>
        <w:rPr/>
        <w:t>P. O. Box 3128</w:t>
      </w:r>
    </w:p>
    <w:p>
      <w:pPr>
        <w:pStyle w:val="Normal"/>
        <w:jc w:val="both"/>
        <w:rPr/>
      </w:pPr>
      <w:r>
        <w:rPr/>
        <w:t>Houston, Texas 77253-3128</w:t>
      </w:r>
    </w:p>
    <w:p>
      <w:pPr>
        <w:pStyle w:val="Normal"/>
        <w:jc w:val="both"/>
        <w:rPr/>
      </w:pPr>
      <w:r>
        <w:rPr/>
        <w:t>Attn:  Tom Witte</w:t>
      </w:r>
    </w:p>
    <w:p>
      <w:pPr>
        <w:pStyle w:val="Normal"/>
        <w:jc w:val="both"/>
        <w:rPr/>
      </w:pPr>
      <w:r>
        <w:rPr/>
        <w:t>Telephone No.:  (713) 296-3707</w:t>
      </w:r>
    </w:p>
    <w:p>
      <w:pPr>
        <w:pStyle w:val="Normal"/>
        <w:jc w:val="both"/>
        <w:rPr/>
      </w:pPr>
      <w:r>
        <w:rPr/>
        <w:t>Facsimile No. (713) 296-4480</w:t>
      </w:r>
      <w:r>
        <w:br w:type="page"/>
      </w:r>
    </w:p>
    <w:p>
      <w:pPr>
        <w:pStyle w:val="Normal"/>
        <w:jc w:val="both"/>
        <w:rPr>
          <w:b/>
        </w:rPr>
      </w:pPr>
      <w:r>
        <w:rPr>
          <w:b/>
        </w:rPr>
      </w:r>
    </w:p>
    <w:p>
      <w:pPr>
        <w:pStyle w:val="Normal"/>
        <w:jc w:val="both"/>
        <w:rPr>
          <w:b/>
        </w:rPr>
      </w:pPr>
      <w:r>
        <w:rPr>
          <w:b/>
        </w:rPr>
        <w:t>INVOICES:</w:t>
      </w:r>
    </w:p>
    <w:p>
      <w:pPr>
        <w:pStyle w:val="Normal"/>
        <w:jc w:val="both"/>
        <w:rPr/>
      </w:pPr>
      <w:r>
        <w:rPr/>
        <w:t>Marathon Ashland Petroleum L.L.C.</w:t>
      </w:r>
    </w:p>
    <w:p>
      <w:pPr>
        <w:pStyle w:val="Normal"/>
        <w:jc w:val="both"/>
        <w:rPr/>
      </w:pPr>
      <w:r>
        <w:rPr/>
        <w:t>P. O. Box 1191</w:t>
      </w:r>
    </w:p>
    <w:p>
      <w:pPr>
        <w:pStyle w:val="Normal"/>
        <w:jc w:val="both"/>
        <w:rPr/>
      </w:pPr>
      <w:r>
        <w:rPr/>
        <w:t>Texas City, Texas 77592-1191</w:t>
      </w:r>
    </w:p>
    <w:p>
      <w:pPr>
        <w:pStyle w:val="Normal"/>
        <w:jc w:val="both"/>
        <w:rPr/>
      </w:pPr>
      <w:r>
        <w:rPr/>
        <w:t>Attn:  Adrian Marwig</w:t>
      </w:r>
    </w:p>
    <w:p>
      <w:pPr>
        <w:pStyle w:val="Normal"/>
        <w:jc w:val="both"/>
        <w:rPr/>
      </w:pPr>
      <w:r>
        <w:rPr/>
        <w:t>Telephone No.:  (409) 945-2331</w:t>
      </w:r>
    </w:p>
    <w:p>
      <w:pPr>
        <w:pStyle w:val="Normal"/>
        <w:jc w:val="both"/>
        <w:rPr/>
      </w:pPr>
      <w:r>
        <w:rPr/>
        <w:t>Facsimile No. (409) 943-7269</w:t>
      </w:r>
    </w:p>
    <w:p>
      <w:pPr>
        <w:pStyle w:val="Normal"/>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is being provided pursuant to and in accordance with the Firm GTC and constitutes part of and is subject to all of the provisions of the Firm GTC.  Any objection of Customer to this Confirmation must be made by written notice to Company within 5 days of Customer’s receipt of same, otherwise Customr shall execute and deliver a fully executed copy hereof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328" w:type="dxa"/>
        <w:jc w:val="start"/>
        <w:tblInd w:w="4068" w:type="dxa"/>
        <w:tblLayout w:type="fixed"/>
        <w:tblCellMar>
          <w:top w:w="0" w:type="dxa"/>
          <w:start w:w="108" w:type="dxa"/>
          <w:bottom w:w="0" w:type="dxa"/>
          <w:end w:w="108" w:type="dxa"/>
        </w:tblCellMar>
      </w:tblPr>
      <w:tblGrid>
        <w:gridCol w:w="5328"/>
      </w:tblGrid>
      <w:tr>
        <w:trPr/>
        <w:tc>
          <w:tcPr>
            <w:tcW w:w="5328" w:type="dxa"/>
            <w:tcBorders/>
          </w:tcPr>
          <w:p>
            <w:pPr>
              <w:pStyle w:val="Normal"/>
              <w:tabs>
                <w:tab w:val="clear" w:pos="720"/>
                <w:tab w:val="left" w:pos="4770" w:leader="none"/>
                <w:tab w:val="left" w:pos="4968" w:leader="none"/>
                <w:tab w:val="left" w:pos="9468" w:leader="none"/>
              </w:tabs>
              <w:jc w:val="both"/>
              <w:rPr/>
            </w:pPr>
            <w:r>
              <w:rPr/>
              <w:t>HOUSTON PIPE LINE COMPANY</w:t>
            </w:r>
          </w:p>
        </w:tc>
      </w:tr>
      <w:tr>
        <w:trPr/>
        <w:tc>
          <w:tcPr>
            <w:tcW w:w="5328" w:type="dxa"/>
            <w:tcBorders/>
          </w:tcPr>
          <w:p>
            <w:pPr>
              <w:pStyle w:val="Normal"/>
              <w:tabs>
                <w:tab w:val="clear" w:pos="720"/>
                <w:tab w:val="left" w:pos="4770" w:leader="none"/>
                <w:tab w:val="left" w:pos="4968" w:leader="none"/>
                <w:tab w:val="left" w:pos="9468" w:leader="none"/>
              </w:tabs>
              <w:snapToGrid w:val="false"/>
              <w:jc w:val="both"/>
              <w:rPr/>
            </w:pPr>
            <w:r>
              <w:rPr/>
            </w:r>
          </w:p>
          <w:p>
            <w:pPr>
              <w:pStyle w:val="Normal"/>
              <w:tabs>
                <w:tab w:val="clear" w:pos="720"/>
                <w:tab w:val="left" w:pos="4770" w:leader="none"/>
                <w:tab w:val="left" w:pos="4968" w:leader="none"/>
                <w:tab w:val="left" w:pos="9468" w:leader="none"/>
              </w:tabs>
              <w:jc w:val="both"/>
              <w:rPr/>
            </w:pPr>
            <w:r>
              <w:rPr/>
            </w:r>
          </w:p>
          <w:p>
            <w:pPr>
              <w:pStyle w:val="Normal"/>
              <w:tabs>
                <w:tab w:val="clear" w:pos="720"/>
                <w:tab w:val="left" w:pos="4770" w:leader="none"/>
                <w:tab w:val="left" w:pos="4968" w:leader="none"/>
                <w:tab w:val="left" w:pos="9468" w:leader="none"/>
              </w:tabs>
              <w:jc w:val="both"/>
              <w:rPr/>
            </w:pPr>
            <w:r>
              <w:rPr/>
              <w:t xml:space="preserve">By: </w:t>
            </w:r>
            <w:r>
              <w:rPr>
                <w:u w:val="single"/>
              </w:rPr>
              <w:tab/>
            </w:r>
          </w:p>
        </w:tc>
      </w:tr>
      <w:tr>
        <w:trPr/>
        <w:tc>
          <w:tcPr>
            <w:tcW w:w="5328" w:type="dxa"/>
            <w:tcBorders/>
          </w:tcPr>
          <w:p>
            <w:pPr>
              <w:pStyle w:val="Normal"/>
              <w:tabs>
                <w:tab w:val="clear" w:pos="720"/>
                <w:tab w:val="left" w:pos="4770" w:leader="none"/>
                <w:tab w:val="left" w:pos="4968" w:leader="none"/>
                <w:tab w:val="left" w:pos="9468" w:leader="none"/>
              </w:tabs>
              <w:jc w:val="both"/>
              <w:rPr/>
            </w:pPr>
            <w:r>
              <w:rPr/>
              <w:t xml:space="preserve">Title </w:t>
            </w:r>
            <w:r>
              <w:rPr>
                <w:u w:val="single"/>
              </w:rPr>
              <w:tab/>
            </w:r>
          </w:p>
        </w:tc>
      </w:tr>
      <w:tr>
        <w:trPr/>
        <w:tc>
          <w:tcPr>
            <w:tcW w:w="5328" w:type="dxa"/>
            <w:tcBorders/>
          </w:tcPr>
          <w:p>
            <w:pPr>
              <w:pStyle w:val="Normal"/>
              <w:tabs>
                <w:tab w:val="clear" w:pos="720"/>
                <w:tab w:val="left" w:pos="4770" w:leader="none"/>
              </w:tabs>
              <w:jc w:val="center"/>
              <w:rPr/>
            </w:pPr>
            <w:r>
              <w:rPr/>
              <w:t>"Company"</w:t>
            </w:r>
          </w:p>
        </w:tc>
      </w:tr>
      <w:tr>
        <w:trPr/>
        <w:tc>
          <w:tcPr>
            <w:tcW w:w="5328" w:type="dxa"/>
            <w:tcBorders/>
          </w:tcPr>
          <w:p>
            <w:pPr>
              <w:pStyle w:val="Normal"/>
              <w:tabs>
                <w:tab w:val="clear" w:pos="720"/>
                <w:tab w:val="left" w:pos="4770" w:leader="none"/>
              </w:tabs>
              <w:snapToGrid w:val="false"/>
              <w:jc w:val="both"/>
              <w:rPr/>
            </w:pPr>
            <w:r>
              <w:rPr/>
            </w:r>
          </w:p>
        </w:tc>
      </w:tr>
      <w:tr>
        <w:trPr/>
        <w:tc>
          <w:tcPr>
            <w:tcW w:w="5328" w:type="dxa"/>
            <w:tcBorders/>
          </w:tcPr>
          <w:p>
            <w:pPr>
              <w:pStyle w:val="Normal"/>
              <w:tabs>
                <w:tab w:val="clear" w:pos="720"/>
                <w:tab w:val="left" w:pos="4770" w:leader="none"/>
              </w:tabs>
              <w:jc w:val="both"/>
              <w:rPr/>
            </w:pPr>
            <w:r>
              <w:rPr/>
              <w:t>MARATHON ASHLAND PETROLEUM L.L.C.</w:t>
            </w:r>
          </w:p>
        </w:tc>
      </w:tr>
      <w:tr>
        <w:trPr/>
        <w:tc>
          <w:tcPr>
            <w:tcW w:w="5328" w:type="dxa"/>
            <w:tcBorders/>
          </w:tcPr>
          <w:p>
            <w:pPr>
              <w:pStyle w:val="Normal"/>
              <w:tabs>
                <w:tab w:val="clear" w:pos="720"/>
                <w:tab w:val="left" w:pos="4770" w:leader="none"/>
                <w:tab w:val="left" w:pos="4968" w:leader="none"/>
                <w:tab w:val="left" w:pos="9468" w:leader="none"/>
              </w:tabs>
              <w:snapToGrid w:val="false"/>
              <w:jc w:val="both"/>
              <w:rPr/>
            </w:pPr>
            <w:r>
              <w:rPr/>
            </w:r>
          </w:p>
          <w:p>
            <w:pPr>
              <w:pStyle w:val="Normal"/>
              <w:tabs>
                <w:tab w:val="clear" w:pos="720"/>
                <w:tab w:val="left" w:pos="4770" w:leader="none"/>
                <w:tab w:val="left" w:pos="4968" w:leader="none"/>
                <w:tab w:val="left" w:pos="9468" w:leader="none"/>
              </w:tabs>
              <w:jc w:val="both"/>
              <w:rPr/>
            </w:pPr>
            <w:r>
              <w:rPr/>
            </w:r>
          </w:p>
          <w:p>
            <w:pPr>
              <w:pStyle w:val="Normal"/>
              <w:tabs>
                <w:tab w:val="clear" w:pos="720"/>
                <w:tab w:val="left" w:pos="4770" w:leader="none"/>
                <w:tab w:val="left" w:pos="4968" w:leader="none"/>
                <w:tab w:val="left" w:pos="9468" w:leader="none"/>
              </w:tabs>
              <w:jc w:val="both"/>
              <w:rPr/>
            </w:pPr>
            <w:r>
              <w:rPr/>
              <w:t xml:space="preserve">By: </w:t>
            </w:r>
            <w:r>
              <w:rPr>
                <w:u w:val="single"/>
              </w:rPr>
              <w:tab/>
            </w:r>
          </w:p>
        </w:tc>
      </w:tr>
      <w:tr>
        <w:trPr/>
        <w:tc>
          <w:tcPr>
            <w:tcW w:w="5328" w:type="dxa"/>
            <w:tcBorders/>
          </w:tcPr>
          <w:p>
            <w:pPr>
              <w:pStyle w:val="Normal"/>
              <w:tabs>
                <w:tab w:val="clear" w:pos="720"/>
                <w:tab w:val="left" w:pos="4770" w:leader="none"/>
                <w:tab w:val="left" w:pos="4968" w:leader="none"/>
                <w:tab w:val="left" w:pos="9468" w:leader="none"/>
              </w:tabs>
              <w:jc w:val="both"/>
              <w:rPr/>
            </w:pPr>
            <w:r>
              <w:rPr/>
              <w:t xml:space="preserve">Title </w:t>
            </w:r>
            <w:r>
              <w:rPr>
                <w:u w:val="single"/>
              </w:rPr>
              <w:tab/>
            </w:r>
          </w:p>
        </w:tc>
      </w:tr>
      <w:tr>
        <w:trPr/>
        <w:tc>
          <w:tcPr>
            <w:tcW w:w="5328" w:type="dxa"/>
            <w:tcBorders/>
          </w:tcPr>
          <w:p>
            <w:pPr>
              <w:pStyle w:val="Normal"/>
              <w:tabs>
                <w:tab w:val="clear" w:pos="720"/>
                <w:tab w:val="left" w:pos="4770" w:leader="none"/>
                <w:tab w:val="left" w:pos="4968" w:leader="none"/>
                <w:tab w:val="left" w:pos="9468" w:leader="none"/>
              </w:tabs>
              <w:jc w:val="center"/>
              <w:rPr/>
            </w:pPr>
            <w:r>
              <w:rPr/>
              <w:t>"Customer"</w:t>
            </w:r>
          </w:p>
        </w:tc>
      </w:tr>
    </w:tbl>
    <w:p>
      <w:pPr>
        <w:pStyle w:val="Header"/>
        <w:tabs>
          <w:tab w:val="clear" w:pos="4320"/>
          <w:tab w:val="clear" w:pos="8640"/>
        </w:tabs>
        <w:rPr/>
      </w:pPr>
      <w:r>
        <w:rPr/>
      </w:r>
    </w:p>
    <w:p>
      <w:pPr>
        <w:pStyle w:val="Normal"/>
        <w:jc w:val="both"/>
        <w:rPr/>
      </w:pPr>
      <w:r>
        <w:rPr/>
      </w:r>
    </w:p>
    <w:p>
      <w:pPr>
        <w:pStyle w:val="Header"/>
        <w:tabs>
          <w:tab w:val="clear" w:pos="4320"/>
          <w:tab w:val="clear" w:pos="8640"/>
        </w:tabs>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/mnt/main-storage/datasets/enron-docs/doc/2000_02crfm.doc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/mnt/main-storage/datasets/enron-docs/doc/2000_02crfm.doc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Marathon Ashland Petroleum L.L.C.</w:t>
    </w:r>
  </w:p>
  <w:p>
    <w:pPr>
      <w:pStyle w:val="Header"/>
      <w:rPr/>
    </w:pPr>
    <w:r>
      <w:rPr/>
      <w:t>November 13,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2000-11-13T12:33:00Z</dcterms:created>
  <dc:creator>Daniel J. Hyvl</dc:creator>
  <dc:description/>
  <dc:language>en-CA</dc:language>
  <cp:lastModifiedBy>dhyvl</cp:lastModifiedBy>
  <cp:lastPrinted>2000-11-13T11:48:00Z</cp:lastPrinted>
  <dcterms:modified xsi:type="dcterms:W3CDTF">2000-11-13T15:19:00Z</dcterms:modified>
  <cp:revision>10</cp:revision>
  <dc:subject/>
  <dc:title/>
</cp:coreProperties>
</file>