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390340211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121648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121649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121650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121651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121652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121653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121654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121655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121656">
            <w:r>
              <w:rPr>
                <w:rStyle w:val="IndexLink"/>
                <w:rFonts w:cs="Arial" w:ascii="Arial" w:hAnsi="Arial"/>
                <w:lang w:val="en-CA"/>
              </w:rPr>
              <w:t>12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2"/>
        </w:numPr>
        <w:spacing w:before="0" w:after="60"/>
        <w:ind w:hanging="357" w:start="357" w:end="0"/>
        <w:rPr/>
      </w:pPr>
      <w:bookmarkStart w:id="0" w:name="__RefHeading___Toc474121648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most active customer today has been Aquila Risk Management Corporation with 81 transactions.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sz w:val="22"/>
          <w:lang w:eastAsia="en-US"/>
        </w:rPr>
      </w:pPr>
      <w:r>
        <w:rPr>
          <w:rFonts w:cs="Arial" w:ascii="Arial" w:hAnsi="Arial"/>
          <w:b/>
          <w:sz w:val="22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/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 </w:t>
      </w:r>
      <w:r>
        <w:rPr>
          <w:rFonts w:cs="Arial" w:ascii="Arial" w:hAnsi="Arial"/>
          <w:b/>
          <w:color w:val="FF0000"/>
          <w:sz w:val="22"/>
          <w:lang w:eastAsia="en-US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Total </w:t>
        <w:tab/>
        <w:t>2-Feb-00</w:t>
        <w:tab/>
        <w:t xml:space="preserve"> To Date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1,000 </w:t>
        <w:tab/>
        <w:t xml:space="preserve"> 19,386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337,792,245 </w:t>
        <w:tab/>
        <w:t xml:space="preserve"> 5,959,638,012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Revenue from Physical flows to date ($) </w:t>
        <w:tab/>
        <w:tab/>
        <w:t xml:space="preserve"> 256,271,963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New Counterparties transacting today </w:t>
        <w:tab/>
        <w:tab/>
        <w:t xml:space="preserve"> 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Counterparties having transacted to date </w:t>
        <w:tab/>
        <w:tab/>
        <w:t xml:space="preserve"> 188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882 </w:t>
        <w:tab/>
        <w:t xml:space="preserve"> 16,330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(mmbtu's) </w:t>
        <w:tab/>
        <w:t xml:space="preserve"> 153,789,969 </w:t>
        <w:tab/>
        <w:t xml:space="preserve"> 3,055,719,339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295,810,912 </w:t>
        <w:tab/>
        <w:t xml:space="preserve"> 4,950,320,141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33 </w:t>
        <w:tab/>
        <w:t xml:space="preserve"> 1,013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(mmbtu's) </w:t>
        <w:tab/>
        <w:t xml:space="preserve"> 4,897,500 </w:t>
        <w:tab/>
        <w:t xml:space="preserve"> 105,581,500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9,851,869 </w:t>
        <w:tab/>
        <w:t xml:space="preserve"> 204,387,494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-   </w:t>
        <w:tab/>
        <w:t xml:space="preserve"> 52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(mmbtu's) </w:t>
        <w:tab/>
        <w:t xml:space="preserve"> -   </w:t>
        <w:tab/>
        <w:t xml:space="preserve"> 11,452,500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-   </w:t>
        <w:tab/>
        <w:t xml:space="preserve"> 21,830,046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67 </w:t>
        <w:tab/>
        <w:t xml:space="preserve"> 1,483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(MWh's) </w:t>
        <w:tab/>
        <w:t xml:space="preserve"> 507,428 </w:t>
        <w:tab/>
        <w:t xml:space="preserve"> 10,526,741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13,154,552 </w:t>
        <w:tab/>
        <w:t xml:space="preserve"> 334,869,016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3 </w:t>
        <w:tab/>
        <w:t xml:space="preserve"> 83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(MWh's) </w:t>
        <w:tab/>
        <w:t xml:space="preserve"> 132,639 </w:t>
        <w:tab/>
        <w:t xml:space="preserve"> 3,229,535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6,379,853 </w:t>
        <w:tab/>
        <w:t xml:space="preserve"> 129,424,445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1 </w:t>
        <w:tab/>
        <w:t xml:space="preserve"> 10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(MWh's) </w:t>
        <w:tab/>
        <w:t xml:space="preserve"> 1,109 </w:t>
        <w:tab/>
        <w:t xml:space="preserve"> 18,917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24,228 </w:t>
        <w:tab/>
        <w:t xml:space="preserve"> 452,952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1 </w:t>
        <w:tab/>
        <w:t xml:space="preserve"> 26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(MWh's) </w:t>
        <w:tab/>
        <w:t xml:space="preserve"> 18,600 </w:t>
        <w:tab/>
        <w:t xml:space="preserve"> 123,064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337,378 </w:t>
        <w:tab/>
        <w:t xml:space="preserve"> 2,478,884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-   </w:t>
        <w:tab/>
        <w:t xml:space="preserve"> 1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(MWh's) </w:t>
        <w:tab/>
        <w:t xml:space="preserve"> -   </w:t>
        <w:tab/>
        <w:t xml:space="preserve"> 5,154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-   </w:t>
        <w:tab/>
        <w:t xml:space="preserve"> 115,457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4 </w:t>
        <w:tab/>
        <w:t xml:space="preserve"> 45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(MWh's) </w:t>
        <w:tab/>
        <w:t xml:space="preserve"> 51,960 </w:t>
        <w:tab/>
        <w:t xml:space="preserve"> 760,776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750,891 </w:t>
        <w:tab/>
        <w:t xml:space="preserve"> 11,294,303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3 </w:t>
        <w:tab/>
        <w:t xml:space="preserve"> 151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(BBl's) </w:t>
        <w:tab/>
        <w:t xml:space="preserve"> 450,000 </w:t>
        <w:tab/>
        <w:t xml:space="preserve"> 17,147,562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9,570,600 </w:t>
        <w:tab/>
        <w:t xml:space="preserve"> 249,554,517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-   </w:t>
        <w:tab/>
        <w:t xml:space="preserve"> 17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 </w:t>
        <w:tab/>
        <w:t xml:space="preserve"> -   </w:t>
        <w:tab/>
        <w:t xml:space="preserve"> 144,000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-   </w:t>
        <w:tab/>
        <w:t xml:space="preserve"> 6,484,700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2 </w:t>
        <w:tab/>
        <w:t xml:space="preserve"> 24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(BBl's) </w:t>
        <w:tab/>
        <w:t xml:space="preserve"> 16,000 </w:t>
        <w:tab/>
        <w:t xml:space="preserve"> 296,000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528,500 </w:t>
        <w:tab/>
        <w:t xml:space="preserve"> 9,590,000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2 </w:t>
        <w:tab/>
        <w:t xml:space="preserve"> 63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(st) </w:t>
        <w:tab/>
        <w:t xml:space="preserve"> 60,750 </w:t>
        <w:tab/>
        <w:t xml:space="preserve"> 1,972,506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729,938 </w:t>
        <w:tab/>
        <w:t xml:space="preserve"> 21,951,551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2 </w:t>
        <w:tab/>
        <w:t xml:space="preserve"> 47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</w:t>
        <w:tab/>
        <w:t xml:space="preserve"> 5,000 </w:t>
        <w:tab/>
        <w:t xml:space="preserve"> 117,500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653,525 </w:t>
        <w:tab/>
        <w:t xml:space="preserve"> 15,354,925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Transactions </w:t>
        <w:tab/>
        <w:t xml:space="preserve"> -   </w:t>
        <w:tab/>
        <w:t xml:space="preserve"> 37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Volume of Transactions  </w:t>
        <w:tab/>
        <w:t xml:space="preserve"> -   </w:t>
        <w:tab/>
        <w:t xml:space="preserve"> 42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Gross Notional Value $ </w:t>
        <w:tab/>
        <w:t xml:space="preserve"> -   </w:t>
        <w:tab/>
        <w:t xml:space="preserve"> 28,828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cs="Arial" w:ascii="Arial" w:hAnsi="Arial"/>
          <w:b/>
          <w:color w:val="FF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FF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External Users with Execution rights </w:t>
        <w:tab/>
        <w:tab/>
        <w:t xml:space="preserve"> 665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b/>
          <w:color w:val="FF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8"/>
          <w:lang w:eastAsia="en-US"/>
        </w:rPr>
        <w:t xml:space="preserve">External Users with No Execution Rights </w:t>
        <w:tab/>
        <w:tab/>
        <w:t xml:space="preserve"> 107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/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b/>
          <w:color w:val="000000"/>
          <w:sz w:val="22"/>
          <w:lang w:eastAsia="en-US"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>2-Feb-00</w:t>
        <w:tab/>
        <w:t xml:space="preserve"> To Date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Number of Transactions </w:t>
        <w:tab/>
        <w:t xml:space="preserve"> 139 </w:t>
        <w:tab/>
        <w:t xml:space="preserve"> 654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Volume of Transactions (mmbtu's) </w:t>
        <w:tab/>
        <w:t xml:space="preserve"> 49,776,611 </w:t>
        <w:tab/>
        <w:t xml:space="preserve"> 244,120,782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Gross Notional Value $ </w:t>
        <w:tab/>
        <w:t xml:space="preserve"> 71,566,859 </w:t>
        <w:tab/>
        <w:t xml:space="preserve"> 398,817,628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Number of Transactions </w:t>
        <w:tab/>
        <w:t xml:space="preserve"> 2 </w:t>
        <w:tab/>
        <w:t xml:space="preserve"> 16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Volume of Transactions (MWh's) </w:t>
        <w:tab/>
        <w:t xml:space="preserve"> 21,256 </w:t>
        <w:tab/>
        <w:t xml:space="preserve"> 185,367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Gross Notional Value $ </w:t>
        <w:tab/>
        <w:t xml:space="preserve"> 656,281 </w:t>
        <w:tab/>
        <w:t xml:space="preserve"> 5,006,250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Volume of Transactions 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ab/>
        <w:tab/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Number of Transactions </w:t>
        <w:tab/>
        <w:t xml:space="preserve"> 141 </w:t>
        <w:tab/>
        <w:t xml:space="preserve"> 670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eastAsia="Arial" w:cs="Arial" w:ascii="Arial" w:hAnsi="Arial"/>
          <w:color w:val="000000"/>
          <w:sz w:val="18"/>
          <w:lang w:eastAsia="en-US"/>
        </w:rPr>
        <w:t xml:space="preserve"> </w:t>
      </w:r>
      <w:r>
        <w:rPr>
          <w:rFonts w:cs="Arial" w:ascii="Arial" w:hAnsi="Arial"/>
          <w:color w:val="000000"/>
          <w:sz w:val="18"/>
          <w:lang w:eastAsia="en-US"/>
        </w:rPr>
        <w:t xml:space="preserve">Gross Notional Value $ </w:t>
        <w:tab/>
        <w:t xml:space="preserve"> 72,223,140 </w:t>
        <w:tab/>
        <w:t xml:space="preserve"> 403,823,878 </w:t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Normal"/>
        <w:tabs>
          <w:tab w:val="clear" w:pos="720"/>
          <w:tab w:val="decimal" w:pos="6237" w:leader="none"/>
          <w:tab w:val="decimal" w:pos="8364" w:leader="none"/>
        </w:tabs>
        <w:spacing w:lineRule="atLeast" w:line="240"/>
        <w:ind w:start="360" w:end="0"/>
        <w:rPr>
          <w:rFonts w:ascii="Arial" w:hAnsi="Arial" w:cs="Arial"/>
          <w:b/>
          <w:sz w:val="22"/>
          <w:lang w:eastAsia="en-US"/>
        </w:rPr>
      </w:pPr>
      <w:r>
        <w:rPr>
          <w:rFonts w:cs="Arial" w:ascii="Arial" w:hAnsi="Arial"/>
          <w:b/>
          <w:sz w:val="22"/>
          <w:lang w:eastAsia="en-US"/>
        </w:rPr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  <w:t>In comparison to alternative electronic screen based systems, NGX, total transactions for the day were 185 and Altrade were 504 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2"/>
        </w:numPr>
        <w:spacing w:before="0" w:after="60"/>
        <w:ind w:hanging="357" w:start="357" w:end="0"/>
        <w:rPr/>
      </w:pPr>
      <w:bookmarkStart w:id="1" w:name="__RefHeading___Toc474121649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  <w:lang w:val="en-CA"/>
        </w:rPr>
      </w:pPr>
      <w:r>
        <w:rPr>
          <w:rFonts w:cs="Arial" w:ascii="Arial" w:hAnsi="Arial"/>
          <w:b/>
          <w:sz w:val="22"/>
          <w:lang w:val="en-CA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4985385" cy="252031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rPr/>
      </w:pPr>
      <w:r>
        <w:rPr/>
        <w:t>By Customer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5357495" cy="480568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480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r>
        <w:rPr>
          <w:rFonts w:eastAsia="Arial"/>
        </w:rPr>
        <w:t xml:space="preserve"> </w:t>
      </w:r>
      <w:bookmarkStart w:id="2" w:name="__RefHeading___Toc474121650"/>
      <w:r>
        <w:rPr/>
        <w:t>Website Statistics</w:t>
      </w:r>
      <w:bookmarkEnd w:id="2"/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5193665" cy="359918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359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2"/>
        </w:numPr>
        <w:rPr/>
      </w:pPr>
      <w:bookmarkStart w:id="3" w:name="__RefHeading___Toc474121651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ind w:start="360" w:end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Continental Natural Gas,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ind w:start="360" w:end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2"/>
        </w:numPr>
        <w:spacing w:before="120" w:after="60"/>
        <w:ind w:hanging="357" w:start="357" w:end="0"/>
        <w:rPr/>
      </w:pPr>
      <w:bookmarkStart w:id="4" w:name="__RefHeading___Toc474121652"/>
      <w:bookmarkEnd w:id="4"/>
      <w:r>
        <w:rPr/>
        <w:t>Appendices</w:t>
      </w:r>
    </w:p>
    <w:p>
      <w:pPr>
        <w:pStyle w:val="Heading2"/>
        <w:numPr>
          <w:ilvl w:val="1"/>
          <w:numId w:val="2"/>
        </w:numPr>
        <w:rPr/>
      </w:pPr>
      <w:bookmarkStart w:id="5" w:name="__RefHeading___Toc474121653"/>
      <w:bookmarkEnd w:id="5"/>
      <w:r>
        <w:rPr/>
        <w:t>Summary of Online Trading</w:t>
      </w:r>
    </w:p>
    <w:tbl>
      <w:tblPr>
        <w:tblW w:w="9710" w:type="dxa"/>
        <w:jc w:val="start"/>
        <w:tblInd w:w="84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2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  <w:t>01-Feb-2000</w:t>
            </w:r>
          </w:p>
        </w:tc>
      </w:tr>
      <w:tr>
        <w:trPr>
          <w:trHeight w:val="26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15,127,962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46,481,370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16,189,573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48,991,266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25,952,607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65,997,728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25,952,607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65,997,728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45,585,000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69,035,000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63,250,000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172,428,488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88,515,000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241,485,450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3,874,400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10,903,327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3,874,400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10,903,327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153,789,969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295,810,912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1,021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203,566,580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367,377,771 </w:t>
            </w:r>
          </w:p>
        </w:tc>
      </w:tr>
      <w:tr>
        <w:trPr>
          <w:trHeight w:val="20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1,763,455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912,500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1,763,455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3,985,000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8,088,415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3,985,000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8,088,415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4,897,500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9,851,869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4,897,500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9,851,869 </w:t>
            </w:r>
          </w:p>
        </w:tc>
      </w:tr>
      <w:tr>
        <w:trPr>
          <w:trHeight w:val="20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0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132,639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6,379,853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132,639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6,379,853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348,007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8,219,936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348,007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8,219,936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159,421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4,934,616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180,677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5,590,898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507,428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13,154,552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69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528,684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13,810,833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1,109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24,228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1,109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24,228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18,600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337,378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18,600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337,378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51,960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750,891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51,960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750,891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71,669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1,112,496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71,669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1,112,496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9,570,600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9,570,600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528,500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528,500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72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60,750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729,938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60,750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729,938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653,525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653,525 </w:t>
            </w:r>
          </w:p>
        </w:tc>
      </w:tr>
    </w:tbl>
    <w:p>
      <w:pPr>
        <w:pStyle w:val="Normal"/>
        <w:ind w:start="360" w:end="0"/>
        <w:rPr/>
      </w:pPr>
      <w:r>
        <w:br w:type="page"/>
      </w:r>
      <w:r>
        <w:rPr/>
      </w:r>
    </w:p>
    <w:tbl>
      <w:tblPr>
        <w:tblW w:w="9710" w:type="dxa"/>
        <w:jc w:val="start"/>
        <w:tblInd w:w="84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2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262,212,228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692,427,618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267,566,731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707,725,653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3,966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409,608,762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1,150,782,360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3,969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410,040,042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1,151,718,728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1,822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1,120,930,000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1,945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1,213,490,000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4,374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1,138,035,000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2,820,573,388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4,886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1,283,810,000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3,203,156,613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5,748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124,933,348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286,536,776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5,748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124,933,348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286,536,776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16,330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3,055,719,339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4,950,320,141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16,984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3,299,840,121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5,349,137,769 </w:t>
            </w:r>
          </w:p>
        </w:tc>
      </w:tr>
      <w:tr>
        <w:trPr>
          <w:trHeight w:val="20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13,445,000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23,884,886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13,445,000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23,884,886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92,136,500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180,502,608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92,136,500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180,502,608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1,013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105,581,500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204,387,494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1,013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105,581,500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204,387,494 </w:t>
            </w:r>
          </w:p>
        </w:tc>
      </w:tr>
      <w:tr>
        <w:trPr>
          <w:trHeight w:val="20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11,452,500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21,830,046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11,452,500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21,830,046 </w:t>
            </w:r>
          </w:p>
        </w:tc>
      </w:tr>
      <w:tr>
        <w:trPr>
          <w:trHeight w:val="200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3,229,535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129,424,445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3,229,535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129,424,445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5,862,403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177,948,245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5,933,262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179,497,190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4,664,338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156,920,772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4,778,847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160,378,077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1,483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10,526,741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334,869,016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1,499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10,712,108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339,875,267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18,917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452,952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18,917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452,952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123,064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2,478,884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123,064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2,478,884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5,154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115,457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5,154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115,457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760,776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11,294,303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760,776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11,294,303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907,912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14,226,255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907,912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14,226,255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17,147,562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249,554,517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17,147,562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249,554,517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144,000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6,484,700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6,484,700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296,000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9,590,000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296,000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9,590,000 </w:t>
            </w:r>
          </w:p>
        </w:tc>
      </w:tr>
      <w:tr>
        <w:trPr>
          <w:trHeight w:val="262" w:hRule="atLeast"/>
        </w:trPr>
        <w:tc>
          <w:tcPr>
            <w:tcW w:w="177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72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63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1,972,506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21,951,551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63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1,972,506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21,951,551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7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28,828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28,828 </w:t>
            </w:r>
          </w:p>
        </w:tc>
      </w:tr>
      <w:tr>
        <w:trPr>
          <w:trHeight w:val="262" w:hRule="atLeast"/>
        </w:trPr>
        <w:tc>
          <w:tcPr>
            <w:tcW w:w="17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117,500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15,354,925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117,500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15,354,925 </w:t>
            </w:r>
          </w:p>
        </w:tc>
      </w:tr>
    </w:tbl>
    <w:p>
      <w:pPr>
        <w:pStyle w:val="Heading2"/>
        <w:numPr>
          <w:ilvl w:val="1"/>
          <w:numId w:val="2"/>
        </w:numPr>
        <w:rPr/>
      </w:pPr>
      <w:r>
        <w:br w:type="page"/>
      </w:r>
      <w:bookmarkStart w:id="6" w:name="__RefHeading___Toc474121654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tbl>
      <w:tblPr>
        <w:tblW w:w="960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992"/>
        <w:gridCol w:w="1010"/>
        <w:gridCol w:w="1011"/>
        <w:gridCol w:w="1492"/>
        <w:gridCol w:w="1104"/>
      </w:tblGrid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2596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02Feb00     CAD/GJ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81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131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1,086,000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988,000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03-29Feb00  CAD/GJ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18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2,241,000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1,620,000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Mar00       CAD/GJ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56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8,680,000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775,000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2596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(MMBtu)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164,000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56,000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ANR-SE Gath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115,000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FGT Z-2    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53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150,000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463,000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28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230,000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56,000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03-29Feb00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945,000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270,000 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38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199,000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67000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40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23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374,400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126000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37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356,000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84000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10000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30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100,000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257000</w:t>
            </w:r>
          </w:p>
        </w:tc>
      </w:tr>
      <w:tr>
        <w:trPr>
          <w:trHeight w:val="262" w:hRule="atLeast"/>
        </w:trPr>
        <w:tc>
          <w:tcPr>
            <w:tcW w:w="499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Z6 NY   03Feb00     USD/MM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</w:t>
            </w:r>
          </w:p>
        </w:tc>
        <w:tc>
          <w:tcPr>
            <w:tcW w:w="1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1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65000</w:t>
            </w:r>
          </w:p>
        </w:tc>
      </w:tr>
    </w:tbl>
    <w:p>
      <w:pPr>
        <w:pStyle w:val="Normal"/>
        <w:ind w:start="788" w:end="0"/>
        <w:rPr/>
      </w:pPr>
      <w:r>
        <w:rPr/>
      </w:r>
    </w:p>
    <w:p>
      <w:pPr>
        <w:pStyle w:val="Normal"/>
        <w:ind w:start="788" w:end="0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7" w:name="__RefHeading___Toc474121655"/>
      <w:bookmarkEnd w:id="7"/>
      <w:r>
        <w:rPr/>
        <w:t>Failed Transaction Report</w:t>
      </w:r>
    </w:p>
    <w:p>
      <w:pPr>
        <w:pStyle w:val="Normal"/>
        <w:ind w:start="788" w:end="0"/>
        <w:rPr/>
      </w:pPr>
      <w:r>
        <w:rPr/>
      </w:r>
    </w:p>
    <w:tbl>
      <w:tblPr>
        <w:tblW w:w="6576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  <w:gridCol w:w="2081"/>
      </w:tblGrid>
      <w:tr>
        <w:trPr>
          <w:trHeight w:val="614" w:hRule="atLeast"/>
        </w:trPr>
        <w:tc>
          <w:tcPr>
            <w:tcW w:w="44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Customer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Number of Failed Transactions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208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Aron &amp; Company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Marketing and Trade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Anadarko Energy Services Company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Merchant Energy Group of the Americas,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Ventures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 Products II, Ltd.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 International Limited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Occidental Energy Marketing,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Citibank, N.A.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Gas Marketing Company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Northern Indiana Public Service Company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American Electric Power Service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Nicor Enerchange, LLC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Direct Energy Marketing Limited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Statoil Energy Trading,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Elf Gas and Power Limited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Enron Energy Services,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Ulster Petroleums  Ltd.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Neste Gas Limited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PG&amp;E Energy Trading, Canada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Duke Energy Merchants LLC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CMS Marketing, Services and Trading Company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Vitol S.A. Inc.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Amerada Hess Gas Limited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BP Amoco Corporation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Grand Total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143</w:t>
            </w:r>
          </w:p>
        </w:tc>
      </w:tr>
    </w:tbl>
    <w:p>
      <w:pPr>
        <w:pStyle w:val="Normal"/>
        <w:ind w:start="788" w:end="0"/>
        <w:rPr/>
      </w:pPr>
      <w:r>
        <w:rPr/>
      </w:r>
      <w:r>
        <w:br w:type="page"/>
      </w:r>
    </w:p>
    <w:p>
      <w:pPr>
        <w:pStyle w:val="Heading2"/>
        <w:numPr>
          <w:ilvl w:val="1"/>
          <w:numId w:val="2"/>
        </w:numPr>
        <w:rPr/>
      </w:pPr>
      <w:bookmarkStart w:id="8" w:name="__RefHeading___Toc474121656"/>
      <w:bookmarkEnd w:id="8"/>
      <w:r>
        <w:rPr/>
        <w:t>External Parties Logged on Today</w:t>
      </w:r>
    </w:p>
    <w:p>
      <w:pPr>
        <w:pStyle w:val="Normal"/>
        <w:rPr/>
      </w:pPr>
      <w:r>
        <w:rPr/>
      </w:r>
    </w:p>
    <w:tbl>
      <w:tblPr>
        <w:tblW w:w="9355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379"/>
        <w:gridCol w:w="2976"/>
      </w:tblGrid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Accord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gezandreu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Adams Resources Marketing,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KENTRADES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bbbalog1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Services, a business unit of Alberta Energy Company Ltd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Rhonda Moore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 Ltd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robertkapp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alsheikh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Alliance Gas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LAWRIE123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Alliant Energy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a0444600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AltaGas Services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Amerada Hess Gas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Deano100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Central Energy, L.L.C.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M. Frey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Electric Power Service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Erik Van Der Walde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Canada Petroleum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 Frantz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Energy Trading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Guy DePaolis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Anadarko Energy Services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Canada Corp.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mhenderson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Fox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BHOGGATT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Ashland Specialty Chemicals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Astra Power,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Aurora Natural Gas,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Energy,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blfrench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America, National Association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Chang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Montreal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Bankers Trust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eracer00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Barrett Resources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Bryan Hassler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Bayer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 Viola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Baytex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Adrien Joly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Beau Canada Exploration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Berkley Petroleum Corp.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ldoig248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Bonneville Power Administration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 Lamb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Amoco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giordano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British Columbia Power Exchange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 Kern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Burlington Resources Canada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stinkypaw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Calpine Power Services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GORBERG1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Hunter Exploration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Micheal St. Clair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Imperial Bank of Commerce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barkerda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scottwirge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Kopp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Citibank, N.A.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Citizens Power Sales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IVANCHEN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Riverside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Steven Johnson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CLECO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martyduck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Continental Natural Gas,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Longmore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Marketing, Services and Trading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DISPLAY1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Coastal States Trading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Stanley Bucek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(UK)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Huggins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DORCHEUS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Continental Gas Book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Marcello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CANADANW1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 Resources, a division of Coral Energy Canada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alexeaton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Power, L.L.C.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Stephen Arbour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redwood2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Ian Johnston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Donat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Direct Energy Marketing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Distrigaz 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Castermans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Draig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DTE Energy Trading,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Merchants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 Reed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Canada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CLAPPERTON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Global Liquids,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Amalio Hidalgo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BARRON01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Power Marketing,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codered91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UK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 Garske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Turell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Edison Mission Energy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Gas,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Sean Cooper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Power Services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PowerBCK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Electrabel 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FCJ164EBL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Gas and Power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DOUGLASL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Elisa A/S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peter2000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EnBW Gesellschaft fur Stromhandel mbH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Dirk Mausbeck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Encina Gas Marketing Company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K. Odenwelder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Enfield Energy Centre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fordy4DJ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Trading and Marketing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ajobajob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EOG Resources,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 Eschenburg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EOTT Energy Operating Limited Partnership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Dana Gibbs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EPGC-Long Term-Genco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Rogers Herndon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Equitable Energy L.L.C.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Shafranek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Ferrell International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Firm Trading -Can.-EGSC-BC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Jonathan Mckay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Florida Power &amp; Light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Eulalio Mendiola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Gas Alberta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 O'Hara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Canwest Gas Supply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Gas Resources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ATCO Gas Services Ltd.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Enbridge/Consumers Gas Company Ltd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Newport Petroleum Corporation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Anderson Exploration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Energy Marketing Canada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Toronto-Dominion Bank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Talisman Energy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Chevron Canada Resources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Enbridge/Consumers Gas Company Ltd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Customer-France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Societe Generale Energie S.A.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Vereinigte Energiewerke AG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Flogas Ireland Ltd.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VASA Energy GmbH &amp; Co. KG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Veba Oil Supply and Trading GMBH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Bord Gais Eireann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Customer-John Lavorato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Doe9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Customer-Netherlands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DSM Hydrocarbons BV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Customer-Sweden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Vattenfall AB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Customer-Switzerland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Amoco Georges Tipbosch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Tokyo Mitsubishi International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London Electricity plc Jack Watkins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SEEBOARD plc Paul Sheffield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AGIP (UK) Limited Christian Coles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Guasare Coal International NV Ian Hole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Northern Electric &amp; Gas Limited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PLC Neil Stainton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SEEBOARD plc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TRANSPORTATION Storage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 Anthony Arcone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OG&amp;E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Duke Energy Field Services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Bob Caracristi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TenderLand Power Company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Canagra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Gluskin, Sheff &amp; Associates John Hasyn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David Clare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California James Hemmerly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International Paper Jena Scruggs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Power Resource Managers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Upstream-Energy Brad Petrick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Altra Energy Technologies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Strategic Power Systems, Inc Clay Durkin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Farmers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Rio Alto Exploration LTD Doug Schmidt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Enercom  Trading LP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Gas Troy Davis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 Trading, LLC Valerie Ross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National Fuel Marketing Virginia Ryan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Corporation Chip Fichtner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 Energy Services Brian Perrone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Carolina Power &amp; Light Martin Summe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Becky Kinder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Tacoma Power Todd Lloyd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Pacific Gas &amp; Electric Company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Budco Baldwin Hum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Societe Generale Olivier Raevel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Jim Portouw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Pasadena Eric Klinkner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Questar Energy M.B. McGinley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South Carolina Electric &amp; Gas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United Fuels International DC Bray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Inoic Energy Inc. Jim Saunders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 Greg Love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Texas Utilities Jim Schmulen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Lobo Energy, Inc. Scott Webster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Coral Energy Resources, L.P.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 Energy Resources Kelly Evans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Laura Scott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Field Services John Bretz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Kimball Energy Corporation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Illinois Gas Company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NESI Energy Marketing LLC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Midland Cogeneration Venture Ltd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IGI Resources, Inc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Axel Johnson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Exploration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Constellation Power Source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Laclede Gas Company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Eugene Water &amp; Electric Board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 T &amp; T,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CONTINENTAL NATURAL GAS,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ENTERPRISE PRODUCTS COMPANY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NESI Energy Marketing LLC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Company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Worldwide Energy Corporation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 Energy Marketing &amp; Trading Co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– Entex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Gas Of Ohio,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Ameren Services Company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Copano Field Services/Copano Bay, L.P.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 American Energy Conservation Inc.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Gulf Midstream Services Partnership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McPHAIL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Helmerich &amp; Payne Energy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HS Resources,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Husky Oil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Schellenberg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Idacorp Energy Solutions,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48149213    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Idaho Power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DAVEFOLGER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IGI Resources,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RANDYIGI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Indeck Energy Services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 Landstrom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Interchem Americas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Jerden Baaima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Management, Distribution Storage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Alderman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R.J. Bronks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M. Huber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BRIANSTONE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JS-Executive-Spec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Shankman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Marketing,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GINGERBR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ADAMKELLY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Carbon Inc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Matthew Paul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BERGINPAT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Midstream Services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daycurtis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Long Term-Transport-NY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McPherson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Louis Dreyfus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MELTONRU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McMurry Oil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Merchant Energy Group of the Americas,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Paley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Merrill Lynch Capital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bjkmlcom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Metallgesellschaft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Michael Walter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MidAmerican Energy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Evans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andyscates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Stanley Capital Group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Neal Shear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MVV Energie AG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Christoph Helle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Neste Gas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SEBASTIEN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NewEnergy,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 Kosier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Enerchange,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Christopher Wronkiewicz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Noble Gas Marketing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 Caskey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Norske Skog Industrier A/S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Lars-Petter Mariussen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 Country Energy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Tricia  Andreachuk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Indiana Public Service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Stacy Djukic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NUI Energy Brokers,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Numac Energy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 MacLeod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Occidental Energy Marketing,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Jason Sandmaier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ONEOK Gas Marketing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ANDREWHELM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Ostkraft AB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camillal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Power Marketing,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Panaco,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Barbara Whitton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Pan-Alberta Gas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pces5020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Paribas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Logler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PCS Nitrogen Fertilizer,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AUDREAHILL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Peabody COALTRADE,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pct121354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Peoples Energy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Kathy Staszak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Petrobank Energy and Resources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Adair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Petro-Canada Oil and Gas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Heather Scott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Phibro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 M. Leeber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Phillips Petroleum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Kenneth Baker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Phoenix Dominion Energy,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Joseph Vanzant, Jr.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Piper Energy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Boyd MacDonald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Place Resources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Dwight Dracek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PowerGen UK Plc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Jake Dunn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PP&amp;L,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NUMBERONE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PrimeWest Energy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Prior Energy Corporation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Danny Chance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Producers Marketing Ltd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donnicol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Colorado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Jeffrey Heit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New Mexico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BOBWINN1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Electric and Gas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mhancock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Utility District No.1 of Benton County, Washington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Puget Sound Energy,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Lambert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Whitfield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Richardson Products II,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Royal Bank of Canada, The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Sabine Hub Services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Matthew Morrow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Sacramento Municipal Utility District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SCHWERMANN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San Diego Gas &amp; Electric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Hastings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Europe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PALLANDT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Sharon Sun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Shiningbank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Sierra Pacific Power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Saul Ballesteros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Indiana Gas &amp; Electric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Southwestern Energy Services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Debbie Branch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Sprague Energy Corp.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REINDEER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Statoil Energy Trading,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cwhitlock1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Strategic Energy Ltd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JFB1010321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Stream Capital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Suncor Energy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BJW55555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Canada, a division of TMV Corp.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 Douglas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TMVBRH02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Power Services Co.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 Horton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Lisa Hoffman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W. McCairns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Texla Energy Management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City of Azusa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Tiger Natural Gas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Todd Campbell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Torch-CoEnergy L.L.C.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Marketing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RICHARDP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GEBALBOA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TransAlta Energy Marketing Corp.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Financial Products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Peacock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Services, a division of TransCanada Energy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 Shea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Twister Gas Services, LLC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Canada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 Daly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txuetcbb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Europe Energy Trading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 Smith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U.S. Gas Transportation,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abbybent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Ulster Petroleums  Ltd.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Canada Limited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Utilicorp United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 Emergy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vitoljdq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Voest-Alpine Intertrading AG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 Riepl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Voest-Alpine Intertrading U.S.A.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Jorge Werlang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Gas Resources,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ANDYCARTER</w:t>
            </w:r>
          </w:p>
        </w:tc>
      </w:tr>
      <w:tr>
        <w:trPr>
          <w:trHeight w:val="262" w:hRule="atLeast"/>
        </w:trPr>
        <w:tc>
          <w:tcPr>
            <w:tcW w:w="637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WPS Energy Services, Inc.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Veranac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4" w:right="1418" w:gutter="0" w:header="720" w:top="794" w:footer="72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18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18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lang w:eastAsia="en-US"/>
    </w:rPr>
  </w:style>
  <w:style w:type="character" w:styleId="WW8Num5z1">
    <w:name w:val="WW8Num5z1"/>
    <w:qFormat/>
    <w:rPr/>
  </w:style>
  <w:style w:type="character" w:styleId="WW8Num9z0">
    <w:name w:val="WW8Num9z0"/>
    <w:qFormat/>
    <w:rPr>
      <w:b/>
      <w:i w:val="false"/>
    </w:rPr>
  </w:style>
  <w:style w:type="character" w:styleId="WW8Num12z0">
    <w:name w:val="WW8Num12z0"/>
    <w:qFormat/>
    <w:rPr>
      <w:b/>
      <w:i w:val="fals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2000-02-03T14:14:00Z</dcterms:created>
  <dc:creator>Paul Goddard</dc:creator>
  <dc:description/>
  <dc:language>en-CA</dc:language>
  <cp:lastModifiedBy>AOmar</cp:lastModifiedBy>
  <cp:lastPrinted>2000-02-02T09:24:00Z</cp:lastPrinted>
  <dcterms:modified xsi:type="dcterms:W3CDTF">2000-02-03T14:14:00Z</dcterms:modified>
  <cp:revision>2</cp:revision>
  <dc:subject/>
  <dc:title/>
</cp:coreProperties>
</file>