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t>November 13, 2000</w:t>
      </w:r>
    </w:p>
    <w:p>
      <w:pPr>
        <w:pStyle w:val="Normal"/>
        <w:jc w:val="both"/>
        <w:rPr/>
      </w:pPr>
      <w:r>
        <w:rPr/>
      </w:r>
    </w:p>
    <w:p>
      <w:pPr>
        <w:pStyle w:val="Normal"/>
        <w:jc w:val="both"/>
        <w:rPr/>
      </w:pPr>
      <w:r>
        <w:rPr/>
        <w:t>Formosa Hydrocarbons Company, Inc.</w:t>
      </w:r>
    </w:p>
    <w:p>
      <w:pPr>
        <w:pStyle w:val="Normal"/>
        <w:jc w:val="both"/>
        <w:rPr/>
      </w:pPr>
      <w:r>
        <w:rPr/>
        <w:t>103 Fannin</w:t>
      </w:r>
    </w:p>
    <w:p>
      <w:pPr>
        <w:pStyle w:val="Normal"/>
        <w:jc w:val="both"/>
        <w:rPr/>
      </w:pPr>
      <w:r>
        <w:rPr/>
        <w:t>P. O. Box 769</w:t>
      </w:r>
    </w:p>
    <w:p>
      <w:pPr>
        <w:pStyle w:val="Normal"/>
        <w:jc w:val="both"/>
        <w:rPr/>
      </w:pPr>
      <w:r>
        <w:rPr/>
        <w:t>Point Comfort, Texas 77978</w:t>
      </w:r>
    </w:p>
    <w:p>
      <w:pPr>
        <w:pStyle w:val="Normal"/>
        <w:jc w:val="both"/>
        <w:rPr/>
      </w:pPr>
      <w:r>
        <w:rPr/>
      </w:r>
    </w:p>
    <w:p>
      <w:pPr>
        <w:pStyle w:val="Normal"/>
        <w:jc w:val="both"/>
        <w:rPr/>
      </w:pPr>
      <w:r>
        <w:rPr/>
        <w:tab/>
        <w:t>Attn:  Contract Manager</w:t>
      </w:r>
    </w:p>
    <w:p>
      <w:pPr>
        <w:pStyle w:val="Normal"/>
        <w:jc w:val="both"/>
        <w:rPr/>
      </w:pPr>
      <w:r>
        <w:rPr/>
      </w:r>
    </w:p>
    <w:p>
      <w:pPr>
        <w:pStyle w:val="Normal"/>
        <w:ind w:firstLine="720" w:end="0"/>
        <w:jc w:val="both"/>
        <w:rPr/>
      </w:pPr>
      <w:r>
        <w:rPr/>
        <w:t>Re:</w:t>
        <w:tab/>
        <w:t>Transaction Agreement No. 2</w:t>
      </w:r>
    </w:p>
    <w:p>
      <w:pPr>
        <w:pStyle w:val="Normal"/>
        <w:jc w:val="both"/>
        <w:rPr/>
      </w:pPr>
      <w:r>
        <w:rPr/>
      </w:r>
    </w:p>
    <w:p>
      <w:pPr>
        <w:pStyle w:val="Normal"/>
        <w:jc w:val="both"/>
        <w:rPr/>
      </w:pPr>
      <w:r>
        <w:rPr/>
        <w:t>Gentlemen:</w:t>
      </w:r>
    </w:p>
    <w:p>
      <w:pPr>
        <w:pStyle w:val="Normal"/>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No. 2 (this "</w:t>
      </w:r>
      <w:r>
        <w:rPr>
          <w:u w:val="single"/>
        </w:rPr>
        <w:t>Agreement</w:t>
      </w:r>
      <w:r>
        <w:rPr/>
        <w:t>") shall form and effectuate the current proposal between Formosa Hydrocarbons Company, Inc. ("</w:t>
      </w:r>
      <w:r>
        <w:rPr>
          <w:u w:val="single"/>
        </w:rPr>
        <w:t>Customer</w:t>
      </w:r>
      <w:r>
        <w:rPr/>
        <w:t>") and Houston Pipe Line Company ("</w:t>
      </w:r>
      <w:r>
        <w:rPr>
          <w:u w:val="single"/>
        </w:rPr>
        <w:t>Company</w:t>
      </w:r>
      <w:r>
        <w:rPr/>
        <w:t>") regarding the purchase and sale of Gas effective as of November 1, 2000,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Customer to purchase and receive (Buyer) and Company to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10188" w:type="dxa"/>
        <w:jc w:val="start"/>
        <w:tblInd w:w="0" w:type="dxa"/>
        <w:tblLayout w:type="fixed"/>
        <w:tblCellMar>
          <w:top w:w="0" w:type="dxa"/>
          <w:start w:w="108" w:type="dxa"/>
          <w:bottom w:w="0" w:type="dxa"/>
          <w:end w:w="108" w:type="dxa"/>
        </w:tblCellMar>
      </w:tblPr>
      <w:tblGrid>
        <w:gridCol w:w="4968"/>
        <w:gridCol w:w="5220"/>
      </w:tblGrid>
      <w:tr>
        <w:trPr/>
        <w:tc>
          <w:tcPr>
            <w:tcW w:w="4968" w:type="dxa"/>
            <w:tcBorders>
              <w:top w:val="dashed" w:sz="6" w:space="0" w:color="auto"/>
              <w:start w:val="dashed" w:sz="6" w:space="0" w:color="auto"/>
              <w:bottom w:val="dashed" w:sz="6" w:space="0" w:color="auto"/>
              <w:end w:val="dashed" w:sz="6" w:space="0" w:color="auto"/>
            </w:tcBorders>
          </w:tcPr>
          <w:p>
            <w:pPr>
              <w:pStyle w:val="Normal"/>
              <w:tabs>
                <w:tab w:val="clear" w:pos="720"/>
                <w:tab w:val="left" w:pos="1530" w:leader="none"/>
              </w:tabs>
              <w:jc w:val="both"/>
              <w:rPr>
                <w:b/>
                <w:bCs/>
              </w:rPr>
            </w:pPr>
            <w:r>
              <w:rPr>
                <w:b/>
                <w:bCs/>
              </w:rPr>
              <w:t>QUANTITIES:</w:t>
            </w:r>
            <w:r>
              <w:rPr/>
              <w:t xml:space="preserve">  DCQ:</w:t>
            </w:r>
          </w:p>
        </w:tc>
        <w:tc>
          <w:tcPr>
            <w:tcW w:w="5220" w:type="dxa"/>
            <w:tcBorders>
              <w:top w:val="dashed" w:sz="6" w:space="0" w:color="auto"/>
              <w:start w:val="dashed" w:sz="6" w:space="0" w:color="auto"/>
              <w:bottom w:val="dashed" w:sz="6" w:space="0" w:color="auto"/>
              <w:end w:val="dashed" w:sz="6" w:space="0" w:color="auto"/>
            </w:tcBorders>
          </w:tcPr>
          <w:p>
            <w:pPr>
              <w:pStyle w:val="Normal"/>
              <w:jc w:val="both"/>
              <w:rPr/>
            </w:pPr>
            <w:r>
              <w:rPr/>
              <w:t>20,000 MMBtu of Gas per Day.</w:t>
            </w:r>
          </w:p>
        </w:tc>
      </w:tr>
      <w:tr>
        <w:trPr/>
        <w:tc>
          <w:tcPr>
            <w:tcW w:w="4968" w:type="dxa"/>
            <w:tcBorders>
              <w:top w:val="dashed" w:sz="6" w:space="0" w:color="auto"/>
              <w:start w:val="dashed" w:sz="6" w:space="0" w:color="auto"/>
              <w:bottom w:val="dashed" w:sz="6" w:space="0" w:color="auto"/>
              <w:end w:val="dashed" w:sz="6" w:space="0" w:color="auto"/>
            </w:tcBorders>
          </w:tcPr>
          <w:p>
            <w:pPr>
              <w:pStyle w:val="Normal"/>
              <w:ind w:start="1620" w:end="0"/>
              <w:jc w:val="both"/>
              <w:rPr/>
            </w:pPr>
            <w:r>
              <w:rPr/>
              <w:t>Swing-Volume Gas:</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tc>
        <w:tc>
          <w:tcPr>
            <w:tcW w:w="5220" w:type="dxa"/>
            <w:tcBorders>
              <w:top w:val="dashed" w:sz="6" w:space="0" w:color="auto"/>
              <w:start w:val="dashed" w:sz="6" w:space="0" w:color="auto"/>
              <w:bottom w:val="dashed" w:sz="6" w:space="0" w:color="auto"/>
              <w:end w:val="dashed" w:sz="6" w:space="0" w:color="auto"/>
            </w:tcBorders>
          </w:tcPr>
          <w:p>
            <w:pPr>
              <w:pStyle w:val="Normal"/>
              <w:jc w:val="both"/>
              <w:rPr/>
            </w:pPr>
            <w:r>
              <w:rPr/>
              <w:t>Buyer and Seller agree that Buyer shall have the option to purchase and receive on a fully interruptible basis                                            up to 10,000 MMBtu of Swing-Volume Gas per Day in addition to the DCQ for any Day during the Period of Delivery.  It is understood and agreed that variations in Swing-Volume Gas are solely as a result of operational needs of Buyer’s facility and that Buyer will endeavor (that is Buyer will make every effort) to Schedule Swing-Volume Gas by providing Seller notice thereof with respect to each Day not later than 10:00 a.m. on the previous Day.</w:t>
            </w:r>
          </w:p>
        </w:tc>
      </w:tr>
      <w:tr>
        <w:trPr/>
        <w:tc>
          <w:tcPr>
            <w:tcW w:w="4968" w:type="dxa"/>
            <w:tcBorders>
              <w:top w:val="dashed" w:sz="6" w:space="0" w:color="auto"/>
              <w:start w:val="dashed" w:sz="6" w:space="0" w:color="auto"/>
              <w:bottom w:val="dashed" w:sz="6" w:space="0" w:color="auto"/>
              <w:end w:val="dashed" w:sz="6" w:space="0" w:color="auto"/>
            </w:tcBorders>
          </w:tcPr>
          <w:p>
            <w:pPr>
              <w:pStyle w:val="Normal"/>
              <w:jc w:val="both"/>
              <w:rPr>
                <w:b/>
                <w:bCs/>
              </w:rPr>
            </w:pPr>
            <w:r>
              <w:rPr>
                <w:b/>
                <w:bCs/>
              </w:rPr>
              <w:t>DELIVERY POINT:</w:t>
            </w:r>
          </w:p>
        </w:tc>
        <w:tc>
          <w:tcPr>
            <w:tcW w:w="5220" w:type="dxa"/>
            <w:tcBorders>
              <w:top w:val="dashed" w:sz="6" w:space="0" w:color="auto"/>
              <w:start w:val="dashed" w:sz="6" w:space="0" w:color="auto"/>
              <w:bottom w:val="dashed" w:sz="6" w:space="0" w:color="auto"/>
              <w:end w:val="dashed" w:sz="6" w:space="0" w:color="auto"/>
            </w:tcBorders>
          </w:tcPr>
          <w:p>
            <w:pPr>
              <w:pStyle w:val="Normal"/>
              <w:jc w:val="both"/>
              <w:rPr/>
            </w:pPr>
            <w:r>
              <w:rPr/>
              <w:t>Outlet flange of Houston Pipe Line Company (HPL) Meter Number 1000 located at Customer’s facility.</w:t>
            </w:r>
          </w:p>
        </w:tc>
      </w:tr>
      <w:tr>
        <w:trPr/>
        <w:tc>
          <w:tcPr>
            <w:tcW w:w="4968"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c>
          <w:tcPr>
            <w:tcW w:w="5220"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r>
      <w:tr>
        <w:trPr/>
        <w:tc>
          <w:tcPr>
            <w:tcW w:w="4968" w:type="dxa"/>
            <w:tcBorders>
              <w:top w:val="dashed" w:sz="6" w:space="0" w:color="auto"/>
              <w:start w:val="dashed" w:sz="6" w:space="0" w:color="auto"/>
              <w:bottom w:val="dashed" w:sz="6" w:space="0" w:color="auto"/>
              <w:end w:val="dashed" w:sz="6" w:space="0" w:color="auto"/>
            </w:tcBorders>
          </w:tcPr>
          <w:p>
            <w:pPr>
              <w:pStyle w:val="Normal"/>
              <w:jc w:val="both"/>
              <w:rPr>
                <w:b/>
                <w:bCs/>
              </w:rPr>
            </w:pPr>
            <w:r>
              <w:rPr>
                <w:b/>
                <w:bCs/>
              </w:rPr>
              <w:t>PERIOD OF DELIVERY:</w:t>
            </w:r>
          </w:p>
        </w:tc>
        <w:tc>
          <w:tcPr>
            <w:tcW w:w="5220" w:type="dxa"/>
            <w:tcBorders>
              <w:top w:val="dashed" w:sz="6" w:space="0" w:color="auto"/>
              <w:start w:val="dashed" w:sz="6" w:space="0" w:color="auto"/>
              <w:bottom w:val="dashed" w:sz="6" w:space="0" w:color="auto"/>
              <w:end w:val="dashed" w:sz="6" w:space="0" w:color="auto"/>
            </w:tcBorders>
          </w:tcPr>
          <w:p>
            <w:pPr>
              <w:pStyle w:val="Normal"/>
              <w:jc w:val="both"/>
              <w:rPr/>
            </w:pPr>
            <w:r>
              <w:rPr/>
              <w:t>November 1, 2000 through October 31, 2001</w:t>
            </w:r>
          </w:p>
        </w:tc>
      </w:tr>
      <w:tr>
        <w:trPr/>
        <w:tc>
          <w:tcPr>
            <w:tcW w:w="4968"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c>
          <w:tcPr>
            <w:tcW w:w="5220"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r>
      <w:tr>
        <w:trPr/>
        <w:tc>
          <w:tcPr>
            <w:tcW w:w="4968" w:type="dxa"/>
            <w:tcBorders>
              <w:top w:val="dashed" w:sz="6" w:space="0" w:color="auto"/>
              <w:start w:val="dashed" w:sz="6" w:space="0" w:color="auto"/>
              <w:bottom w:val="dashed" w:sz="6" w:space="0" w:color="auto"/>
              <w:end w:val="dashed" w:sz="6" w:space="0" w:color="auto"/>
            </w:tcBorders>
          </w:tcPr>
          <w:p>
            <w:pPr>
              <w:pStyle w:val="Normal"/>
              <w:jc w:val="both"/>
              <w:rPr>
                <w:b/>
                <w:bCs/>
              </w:rPr>
            </w:pPr>
            <w:r>
              <w:rPr>
                <w:b/>
                <w:bCs/>
              </w:rPr>
              <w:t>CONTRACT PRICE (per MMBtu):</w:t>
            </w:r>
          </w:p>
        </w:tc>
        <w:tc>
          <w:tcPr>
            <w:tcW w:w="5220" w:type="dxa"/>
            <w:tcBorders>
              <w:top w:val="dashed" w:sz="6" w:space="0" w:color="auto"/>
              <w:start w:val="dashed" w:sz="6" w:space="0" w:color="auto"/>
              <w:bottom w:val="dashed" w:sz="6" w:space="0" w:color="auto"/>
              <w:end w:val="dashed" w:sz="6" w:space="0" w:color="auto"/>
            </w:tcBorders>
          </w:tcPr>
          <w:p>
            <w:pPr>
              <w:pStyle w:val="Normal"/>
              <w:ind w:hanging="360" w:start="414" w:end="0"/>
              <w:jc w:val="both"/>
              <w:rPr/>
            </w:pPr>
            <w:r>
              <w:rPr/>
              <w:t>1)</w:t>
              <w:tab/>
              <w:t xml:space="preserve">DCQ – Index Price minus $0.035 per MMBtu. </w:t>
            </w:r>
          </w:p>
          <w:p>
            <w:pPr>
              <w:pStyle w:val="Normal"/>
              <w:numPr>
                <w:ilvl w:val="0"/>
                <w:numId w:val="1"/>
              </w:numPr>
              <w:tabs>
                <w:tab w:val="clear" w:pos="720"/>
                <w:tab w:val="left" w:pos="0" w:leader="none"/>
                <w:tab w:val="left" w:pos="54" w:leader="none"/>
              </w:tabs>
              <w:ind w:hanging="360" w:start="774" w:end="0"/>
              <w:jc w:val="both"/>
              <w:rPr/>
            </w:pPr>
            <w:r>
              <w:rPr/>
              <w:t>1</w:t>
            </w:r>
            <w:r>
              <w:rPr>
                <w:vertAlign w:val="superscript"/>
              </w:rPr>
              <w:t>st</w:t>
            </w:r>
            <w:r>
              <w:rPr/>
              <w:t xml:space="preserve"> 10,000 MMBtu per Day of Swing-Volume Gas – HSC Spot Price (Midpoint) minus $0.035 per MMBtu.</w:t>
            </w:r>
          </w:p>
          <w:p>
            <w:pPr>
              <w:pStyle w:val="Normal"/>
              <w:tabs>
                <w:tab w:val="clear" w:pos="720"/>
                <w:tab w:val="left" w:pos="414" w:leader="none"/>
              </w:tabs>
              <w:ind w:hanging="360" w:start="414" w:end="0"/>
              <w:jc w:val="both"/>
              <w:rPr/>
            </w:pPr>
            <w:r>
              <w:rPr/>
              <w:t>3)</w:t>
              <w:tab/>
              <w:t>For all quantities of Swing-Volume Gas in excess of 10,000 MMBtu per Day – HSC Spot Price (Midpoint) minus $0.03 per MMBtu.</w:t>
            </w:r>
          </w:p>
        </w:tc>
      </w:tr>
      <w:tr>
        <w:trPr/>
        <w:tc>
          <w:tcPr>
            <w:tcW w:w="4968"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c>
          <w:tcPr>
            <w:tcW w:w="5220" w:type="dxa"/>
            <w:tcBorders>
              <w:top w:val="dashed" w:sz="6" w:space="0" w:color="auto"/>
              <w:start w:val="dashed" w:sz="6" w:space="0" w:color="auto"/>
              <w:bottom w:val="dashed" w:sz="6" w:space="0" w:color="auto"/>
              <w:end w:val="dashed" w:sz="6" w:space="0" w:color="auto"/>
            </w:tcBorders>
          </w:tcPr>
          <w:p>
            <w:pPr>
              <w:pStyle w:val="Normal"/>
              <w:ind w:hanging="342" w:start="414" w:end="0"/>
              <w:jc w:val="both"/>
              <w:rPr/>
            </w:pPr>
            <w:r>
              <w:rPr/>
              <w:t>4)</w:t>
              <w:tab/>
              <w:t xml:space="preserve">Customer shall have the option to convert the price of the 10,000 MMBtu per day of Swing Volume Gas to Index Price minus $0.035 per MMBtu by notifying Company, as long as there is no premium regarding the HSC Spot Price (Midpoint) offer.  If there is a premium, Customer shall choose to add this premium to the Index Price minus $0.035 per MMBtu offer or continue to take the Swing Volume Gas at the price provided in 2) above. </w:t>
            </w:r>
          </w:p>
        </w:tc>
      </w:tr>
      <w:tr>
        <w:trPr/>
        <w:tc>
          <w:tcPr>
            <w:tcW w:w="4968"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c>
          <w:tcPr>
            <w:tcW w:w="5220" w:type="dxa"/>
            <w:tcBorders>
              <w:top w:val="dashed" w:sz="6" w:space="0" w:color="auto"/>
              <w:start w:val="dashed" w:sz="6" w:space="0" w:color="auto"/>
              <w:bottom w:val="dashed" w:sz="6" w:space="0" w:color="auto"/>
              <w:end w:val="dashed" w:sz="6" w:space="0" w:color="auto"/>
            </w:tcBorders>
          </w:tcPr>
          <w:p>
            <w:pPr>
              <w:pStyle w:val="Normal"/>
              <w:ind w:hanging="360" w:start="414" w:end="0"/>
              <w:jc w:val="both"/>
              <w:rPr/>
            </w:pPr>
            <w:r>
              <w:rPr/>
              <w:t>5)</w:t>
              <w:tab/>
              <w:t>In the event Customer fails to purchase and receive the DCQ for any day, the difference between the quantity actually purchased and received for such day and the DCQ shall be Customer’s Deficit Quantity and the price to be paid by Company to Customer for each MMBtu of such Customer’s Deficit Quantity shall be equal to the Katy Spot Price (Midpoint) minus $0.025 per MMBtu.</w:t>
            </w:r>
          </w:p>
        </w:tc>
      </w:tr>
      <w:tr>
        <w:trPr/>
        <w:tc>
          <w:tcPr>
            <w:tcW w:w="4968"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c>
          <w:tcPr>
            <w:tcW w:w="5220"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r>
      <w:tr>
        <w:trPr/>
        <w:tc>
          <w:tcPr>
            <w:tcW w:w="4968" w:type="dxa"/>
            <w:tcBorders>
              <w:top w:val="dashed" w:sz="6" w:space="0" w:color="auto"/>
              <w:start w:val="dashed" w:sz="6" w:space="0" w:color="auto"/>
              <w:bottom w:val="dashed" w:sz="6" w:space="0" w:color="auto"/>
              <w:end w:val="dashed" w:sz="6" w:space="0" w:color="auto"/>
            </w:tcBorders>
          </w:tcPr>
          <w:p>
            <w:pPr>
              <w:pStyle w:val="Normal"/>
              <w:jc w:val="both"/>
              <w:rPr>
                <w:b/>
                <w:bCs/>
              </w:rPr>
            </w:pPr>
            <w:r>
              <w:rPr>
                <w:b/>
                <w:bCs/>
              </w:rPr>
              <w:t>SPOT PRICE LOCATION:</w:t>
            </w:r>
          </w:p>
        </w:tc>
        <w:tc>
          <w:tcPr>
            <w:tcW w:w="5220" w:type="dxa"/>
            <w:tcBorders>
              <w:top w:val="dashed" w:sz="6" w:space="0" w:color="auto"/>
              <w:start w:val="dashed" w:sz="6" w:space="0" w:color="auto"/>
              <w:bottom w:val="dashed" w:sz="6" w:space="0" w:color="auto"/>
              <w:end w:val="dashed" w:sz="6" w:space="0" w:color="auto"/>
            </w:tcBorders>
          </w:tcPr>
          <w:p>
            <w:pPr>
              <w:pStyle w:val="Normal"/>
              <w:jc w:val="both"/>
              <w:rPr/>
            </w:pPr>
            <w:r>
              <w:rPr/>
              <w:t>East-Houston-Katy / Houston Ship Channel</w:t>
            </w:r>
          </w:p>
        </w:tc>
      </w:tr>
      <w:tr>
        <w:trPr/>
        <w:tc>
          <w:tcPr>
            <w:tcW w:w="4968"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c>
          <w:tcPr>
            <w:tcW w:w="5220" w:type="dxa"/>
            <w:tcBorders>
              <w:top w:val="dashed" w:sz="6" w:space="0" w:color="auto"/>
              <w:start w:val="dashed" w:sz="6" w:space="0" w:color="auto"/>
              <w:bottom w:val="dashed" w:sz="6" w:space="0" w:color="auto"/>
              <w:end w:val="dashed" w:sz="6" w:space="0" w:color="auto"/>
            </w:tcBorders>
          </w:tcPr>
          <w:p>
            <w:pPr>
              <w:pStyle w:val="Normal"/>
              <w:snapToGrid w:val="false"/>
              <w:ind w:hanging="342" w:start="342" w:end="0"/>
              <w:jc w:val="both"/>
              <w:rPr>
                <w:b/>
                <w:bCs/>
              </w:rPr>
            </w:pPr>
            <w:r>
              <w:rPr>
                <w:b/>
                <w:bCs/>
              </w:rPr>
            </w:r>
          </w:p>
        </w:tc>
      </w:tr>
    </w:tbl>
    <w:p>
      <w:pPr>
        <w:pStyle w:val="Normal"/>
        <w:rPr>
          <w:b/>
          <w:bCs/>
        </w:rPr>
      </w:pPr>
      <w:r>
        <w:rPr>
          <w:b/>
          <w:bCs/>
        </w:rPr>
        <w:t>OTHER:  Definitions:</w:t>
      </w:r>
    </w:p>
    <w:p>
      <w:pPr>
        <w:pStyle w:val="Normal"/>
        <w:tabs>
          <w:tab w:val="clear" w:pos="720"/>
          <w:tab w:val="left" w:pos="0" w:leader="none"/>
          <w:tab w:val="left" w:pos="4950" w:leader="none"/>
        </w:tabs>
        <w:jc w:val="both"/>
        <w:rPr>
          <w:b/>
          <w:bCs/>
        </w:rPr>
      </w:pPr>
      <w:r>
        <w:rPr>
          <w:b/>
          <w:bCs/>
        </w:rPr>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1. </w:t>
      </w:r>
      <w:r>
        <w:rPr>
          <w:b/>
          <w:bCs/>
        </w:rPr>
        <w:t>“HSC Spot Price (Midpoint)</w:t>
      </w:r>
      <w:r>
        <w:rPr/>
        <w:t xml:space="preserve">” means the Spot Price (Midpoint) set forth in </w:t>
      </w:r>
      <w:r>
        <w:rPr>
          <w:u w:val="single"/>
        </w:rPr>
        <w:t>Gas Daily</w:t>
      </w:r>
      <w:r>
        <w:rPr/>
        <w:t>® (Financial Times Energy), or successor publication, in the column "Daily Price Survey" under Houston Ship Channel as reported on the Gas Day following the Gas Day on which the Customer Swing-Volume Quantity occurred; provided, if there is no midpoint price published on such Gas Day, then the Spot Price (Midpoint) shall be deemed to be the midpoint price for the next Gas Day for which a Spot Price (Midpoint) can be determined in accordance herewith.</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jc w:val="both"/>
        <w:rPr/>
      </w:pPr>
      <w:r>
        <w:rPr/>
        <w:t xml:space="preserve">2. </w:t>
      </w:r>
      <w:r>
        <w:rPr>
          <w:b/>
          <w:bCs/>
        </w:rPr>
        <w:t>“Index Price”</w:t>
      </w:r>
      <w:r>
        <w:rPr/>
        <w:t xml:space="preserve"> means the Index Price published in Inside F.E.R.C.’s Gas Market Report for Houston Ship Channel index (large packages only), as listed in the table entitled “Delivered Spot-Gas Price” in the first-of-the-month issue of such publication for each Month during the Period of Delivery.</w:t>
      </w:r>
    </w:p>
    <w:p>
      <w:pPr>
        <w:pStyle w:val="Normal"/>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3.  </w:t>
      </w:r>
      <w:r>
        <w:rPr>
          <w:b/>
          <w:bCs/>
        </w:rPr>
        <w:t>“Katy Spot Price (Midpoint)</w:t>
      </w:r>
      <w:r>
        <w:rPr/>
        <w:t xml:space="preserve">” means the Spot Price (Midpoint) set forth in </w:t>
      </w:r>
      <w:r>
        <w:rPr>
          <w:u w:val="single"/>
        </w:rPr>
        <w:t>Gas Daily</w:t>
      </w:r>
      <w:r>
        <w:rPr/>
        <w:t>® (Financial Times Energy.), or successor publication, in the column "Daily Price Survey" under East-Houston-Katy as reported on the Gas Day following the Gas Day on which the Customer Deficit Quantity occurred; provided, if there is no midpoint price published on such Gas Day, then the Spot Price (Midpoint) shall be deemed to be the midpoint price for the next Gas Day for which a Spot Price (Midpoint) can be determined in accordance herewith.</w:t>
      </w:r>
    </w:p>
    <w:p>
      <w:pPr>
        <w:pStyle w:val="Normal"/>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Transaction Agreement No. 2 is being provided pursuant to and in accordance with the Master Purchase/Sale Agreement dated effective as of August 1, 1995 between Customer and Company (successor in interest to HPL Resources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u w:val="single"/>
        </w:rPr>
        <w:t>Section 2.2(i)</w:t>
      </w:r>
      <w:r>
        <w:rPr/>
        <w:t xml:space="preserve"> of the above referenced Master Agreement.  In the event Customer alters the terms of this Transaction Agreement in any manner or fails to execute and return to Company this Transaction Agreement within 5 days of its receipt thereof, there will be no Transaction under the above referenced Master Agreement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328" w:type="dxa"/>
        <w:jc w:val="start"/>
        <w:tblInd w:w="4590" w:type="dxa"/>
        <w:tblLayout w:type="fixed"/>
        <w:tblCellMar>
          <w:top w:w="0" w:type="dxa"/>
          <w:start w:w="108" w:type="dxa"/>
          <w:bottom w:w="0" w:type="dxa"/>
          <w:end w:w="108" w:type="dxa"/>
        </w:tblCellMar>
      </w:tblPr>
      <w:tblGrid>
        <w:gridCol w:w="5328"/>
      </w:tblGrid>
      <w:tr>
        <w:trPr/>
        <w:tc>
          <w:tcPr>
            <w:tcW w:w="5328" w:type="dxa"/>
            <w:tcBorders>
              <w:top w:val="dashed" w:sz="6" w:space="0" w:color="auto"/>
              <w:start w:val="dashed" w:sz="6" w:space="0" w:color="auto"/>
              <w:bottom w:val="dashed" w:sz="6" w:space="0" w:color="auto"/>
              <w:end w:val="dashed" w:sz="6" w:space="0" w:color="auto"/>
            </w:tcBorders>
          </w:tcPr>
          <w:p>
            <w:pPr>
              <w:pStyle w:val="Normal"/>
              <w:tabs>
                <w:tab w:val="clear" w:pos="720"/>
                <w:tab w:val="left" w:pos="4770" w:leader="none"/>
                <w:tab w:val="left" w:pos="4968" w:leader="none"/>
                <w:tab w:val="left" w:pos="9468" w:leader="none"/>
              </w:tabs>
              <w:jc w:val="both"/>
              <w:rPr/>
            </w:pPr>
            <w:r>
              <w:rPr/>
              <w:t>HOUSTON PIPE LINE COMPANY</w:t>
            </w:r>
          </w:p>
        </w:tc>
      </w:tr>
      <w:tr>
        <w:trPr/>
        <w:tc>
          <w:tcPr>
            <w:tcW w:w="5328" w:type="dxa"/>
            <w:tcBorders>
              <w:top w:val="dashed" w:sz="6" w:space="0" w:color="auto"/>
              <w:start w:val="dashed" w:sz="6" w:space="0" w:color="auto"/>
              <w:bottom w:val="dashed" w:sz="6" w:space="0" w:color="auto"/>
              <w:end w:val="dashed" w:sz="6" w:space="0" w:color="auto"/>
            </w:tcBorders>
          </w:tcPr>
          <w:p>
            <w:pPr>
              <w:pStyle w:val="Normal"/>
              <w:tabs>
                <w:tab w:val="clear" w:pos="720"/>
                <w:tab w:val="left" w:pos="4770" w:leader="none"/>
                <w:tab w:val="left" w:pos="4968" w:leader="none"/>
                <w:tab w:val="left" w:pos="9468" w:leader="none"/>
              </w:tabs>
              <w:snapToGrid w:val="false"/>
              <w:jc w:val="both"/>
              <w:rPr/>
            </w:pPr>
            <w:r>
              <w:rPr/>
            </w:r>
          </w:p>
          <w:p>
            <w:pPr>
              <w:pStyle w:val="Normal"/>
              <w:tabs>
                <w:tab w:val="clear" w:pos="720"/>
                <w:tab w:val="left" w:pos="4770" w:leader="none"/>
                <w:tab w:val="left" w:pos="4968" w:leader="none"/>
                <w:tab w:val="left" w:pos="9468" w:leader="none"/>
              </w:tabs>
              <w:jc w:val="both"/>
              <w:rPr/>
            </w:pPr>
            <w:r>
              <w:rPr/>
            </w:r>
          </w:p>
          <w:p>
            <w:pPr>
              <w:pStyle w:val="Normal"/>
              <w:tabs>
                <w:tab w:val="clear" w:pos="720"/>
                <w:tab w:val="left" w:pos="4770" w:leader="none"/>
                <w:tab w:val="left" w:pos="4968" w:leader="none"/>
                <w:tab w:val="left" w:pos="9468" w:leader="none"/>
              </w:tabs>
              <w:jc w:val="both"/>
              <w:rPr/>
            </w:pPr>
            <w:r>
              <w:rPr/>
              <w:t xml:space="preserve">By: </w:t>
            </w:r>
            <w:r>
              <w:rPr>
                <w:u w:val="single"/>
              </w:rPr>
              <w:tab/>
            </w:r>
          </w:p>
        </w:tc>
      </w:tr>
      <w:tr>
        <w:trPr/>
        <w:tc>
          <w:tcPr>
            <w:tcW w:w="5328" w:type="dxa"/>
            <w:tcBorders>
              <w:top w:val="dashed" w:sz="6" w:space="0" w:color="auto"/>
              <w:start w:val="dashed" w:sz="6" w:space="0" w:color="auto"/>
              <w:bottom w:val="dashed" w:sz="6" w:space="0" w:color="auto"/>
              <w:end w:val="dashed" w:sz="6" w:space="0" w:color="auto"/>
            </w:tcBorders>
          </w:tcPr>
          <w:p>
            <w:pPr>
              <w:pStyle w:val="Normal"/>
              <w:tabs>
                <w:tab w:val="clear" w:pos="720"/>
                <w:tab w:val="left" w:pos="4770" w:leader="none"/>
                <w:tab w:val="left" w:pos="4968" w:leader="none"/>
                <w:tab w:val="left" w:pos="9468" w:leader="none"/>
              </w:tabs>
              <w:jc w:val="both"/>
              <w:rPr/>
            </w:pPr>
            <w:r>
              <w:rPr/>
              <w:t xml:space="preserve">Title </w:t>
            </w:r>
            <w:r>
              <w:rPr>
                <w:u w:val="single"/>
              </w:rPr>
              <w:tab/>
            </w:r>
          </w:p>
        </w:tc>
      </w:tr>
      <w:tr>
        <w:trPr/>
        <w:tc>
          <w:tcPr>
            <w:tcW w:w="5328" w:type="dxa"/>
            <w:tcBorders>
              <w:top w:val="dashed" w:sz="6" w:space="0" w:color="auto"/>
              <w:start w:val="dashed" w:sz="6" w:space="0" w:color="auto"/>
              <w:bottom w:val="dashed" w:sz="6" w:space="0" w:color="auto"/>
              <w:end w:val="dashed" w:sz="6" w:space="0" w:color="auto"/>
            </w:tcBorders>
          </w:tcPr>
          <w:p>
            <w:pPr>
              <w:pStyle w:val="Normal"/>
              <w:tabs>
                <w:tab w:val="clear" w:pos="720"/>
                <w:tab w:val="left" w:pos="4770" w:leader="none"/>
              </w:tabs>
              <w:jc w:val="center"/>
              <w:rPr/>
            </w:pPr>
            <w:r>
              <w:rPr/>
              <w:t>"Company"</w:t>
            </w:r>
          </w:p>
        </w:tc>
      </w:tr>
      <w:tr>
        <w:trPr/>
        <w:tc>
          <w:tcPr>
            <w:tcW w:w="5328" w:type="dxa"/>
            <w:tcBorders>
              <w:top w:val="dashed" w:sz="6" w:space="0" w:color="auto"/>
              <w:start w:val="dashed" w:sz="6" w:space="0" w:color="auto"/>
              <w:bottom w:val="dashed" w:sz="6" w:space="0" w:color="auto"/>
              <w:end w:val="dashed" w:sz="6" w:space="0" w:color="auto"/>
            </w:tcBorders>
          </w:tcPr>
          <w:p>
            <w:pPr>
              <w:pStyle w:val="Normal"/>
              <w:tabs>
                <w:tab w:val="clear" w:pos="720"/>
                <w:tab w:val="left" w:pos="4770" w:leader="none"/>
              </w:tabs>
              <w:snapToGrid w:val="false"/>
              <w:jc w:val="both"/>
              <w:rPr/>
            </w:pPr>
            <w:r>
              <w:rPr/>
            </w:r>
          </w:p>
        </w:tc>
      </w:tr>
      <w:tr>
        <w:trPr/>
        <w:tc>
          <w:tcPr>
            <w:tcW w:w="5328" w:type="dxa"/>
            <w:tcBorders>
              <w:top w:val="dashed" w:sz="6" w:space="0" w:color="auto"/>
              <w:start w:val="dashed" w:sz="6" w:space="0" w:color="auto"/>
              <w:bottom w:val="dashed" w:sz="6" w:space="0" w:color="auto"/>
              <w:end w:val="dashed" w:sz="6" w:space="0" w:color="auto"/>
            </w:tcBorders>
          </w:tcPr>
          <w:p>
            <w:pPr>
              <w:pStyle w:val="Normal"/>
              <w:tabs>
                <w:tab w:val="clear" w:pos="720"/>
                <w:tab w:val="left" w:pos="4770" w:leader="none"/>
              </w:tabs>
              <w:jc w:val="both"/>
              <w:rPr/>
            </w:pPr>
            <w:r>
              <w:rPr/>
              <w:t>FORMOSA HYDROCARBONS COMPANY, INC.</w:t>
            </w:r>
          </w:p>
        </w:tc>
      </w:tr>
      <w:tr>
        <w:trPr/>
        <w:tc>
          <w:tcPr>
            <w:tcW w:w="5328" w:type="dxa"/>
            <w:tcBorders>
              <w:top w:val="dashed" w:sz="6" w:space="0" w:color="auto"/>
              <w:start w:val="dashed" w:sz="6" w:space="0" w:color="auto"/>
              <w:bottom w:val="dashed" w:sz="6" w:space="0" w:color="auto"/>
              <w:end w:val="dashed" w:sz="6" w:space="0" w:color="auto"/>
            </w:tcBorders>
          </w:tcPr>
          <w:p>
            <w:pPr>
              <w:pStyle w:val="Normal"/>
              <w:tabs>
                <w:tab w:val="clear" w:pos="720"/>
                <w:tab w:val="left" w:pos="4770" w:leader="none"/>
                <w:tab w:val="left" w:pos="4968" w:leader="none"/>
                <w:tab w:val="left" w:pos="9468" w:leader="none"/>
              </w:tabs>
              <w:snapToGrid w:val="false"/>
              <w:jc w:val="both"/>
              <w:rPr/>
            </w:pPr>
            <w:r>
              <w:rPr/>
            </w:r>
          </w:p>
          <w:p>
            <w:pPr>
              <w:pStyle w:val="Normal"/>
              <w:tabs>
                <w:tab w:val="clear" w:pos="720"/>
                <w:tab w:val="left" w:pos="4770" w:leader="none"/>
                <w:tab w:val="left" w:pos="4968" w:leader="none"/>
                <w:tab w:val="left" w:pos="9468" w:leader="none"/>
              </w:tabs>
              <w:jc w:val="both"/>
              <w:rPr/>
            </w:pPr>
            <w:r>
              <w:rPr/>
            </w:r>
          </w:p>
          <w:p>
            <w:pPr>
              <w:pStyle w:val="Normal"/>
              <w:tabs>
                <w:tab w:val="clear" w:pos="720"/>
                <w:tab w:val="left" w:pos="4770" w:leader="none"/>
                <w:tab w:val="left" w:pos="4968" w:leader="none"/>
                <w:tab w:val="left" w:pos="9468" w:leader="none"/>
              </w:tabs>
              <w:jc w:val="both"/>
              <w:rPr/>
            </w:pPr>
            <w:r>
              <w:rPr/>
              <w:t xml:space="preserve">By: </w:t>
            </w:r>
            <w:r>
              <w:rPr>
                <w:u w:val="single"/>
              </w:rPr>
              <w:tab/>
            </w:r>
          </w:p>
        </w:tc>
      </w:tr>
      <w:tr>
        <w:trPr/>
        <w:tc>
          <w:tcPr>
            <w:tcW w:w="5328" w:type="dxa"/>
            <w:tcBorders>
              <w:top w:val="dashed" w:sz="6" w:space="0" w:color="auto"/>
              <w:start w:val="dashed" w:sz="6" w:space="0" w:color="auto"/>
              <w:bottom w:val="dashed" w:sz="6" w:space="0" w:color="auto"/>
              <w:end w:val="dashed" w:sz="6" w:space="0" w:color="auto"/>
            </w:tcBorders>
          </w:tcPr>
          <w:p>
            <w:pPr>
              <w:pStyle w:val="Normal"/>
              <w:tabs>
                <w:tab w:val="clear" w:pos="720"/>
                <w:tab w:val="left" w:pos="4770" w:leader="none"/>
                <w:tab w:val="left" w:pos="4968" w:leader="none"/>
                <w:tab w:val="left" w:pos="9468" w:leader="none"/>
              </w:tabs>
              <w:jc w:val="both"/>
              <w:rPr/>
            </w:pPr>
            <w:r>
              <w:rPr/>
              <w:t xml:space="preserve">Title </w:t>
            </w:r>
            <w:r>
              <w:rPr>
                <w:u w:val="single"/>
              </w:rPr>
              <w:tab/>
            </w:r>
          </w:p>
        </w:tc>
      </w:tr>
      <w:tr>
        <w:trPr/>
        <w:tc>
          <w:tcPr>
            <w:tcW w:w="5328" w:type="dxa"/>
            <w:tcBorders>
              <w:top w:val="dashed" w:sz="6" w:space="0" w:color="auto"/>
              <w:start w:val="dashed" w:sz="6" w:space="0" w:color="auto"/>
              <w:bottom w:val="dashed" w:sz="6" w:space="0" w:color="auto"/>
              <w:end w:val="dashed" w:sz="6" w:space="0" w:color="auto"/>
            </w:tcBorders>
          </w:tcPr>
          <w:p>
            <w:pPr>
              <w:pStyle w:val="Normal"/>
              <w:tabs>
                <w:tab w:val="clear" w:pos="720"/>
                <w:tab w:val="left" w:pos="4770" w:leader="none"/>
                <w:tab w:val="left" w:pos="4968" w:leader="none"/>
                <w:tab w:val="left" w:pos="9468" w:leader="none"/>
              </w:tabs>
              <w:jc w:val="center"/>
              <w:rPr/>
            </w:pPr>
            <w:r>
              <w:rPr/>
              <w:t>"Customer"</w:t>
            </w:r>
          </w:p>
        </w:tc>
      </w:tr>
    </w:tbl>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008" w:right="1008" w:gutter="0" w:header="720" w:top="1008" w:footer="576" w:bottom="72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both"/>
      <w:rPr>
        <w:rFonts w:ascii="Arial" w:hAnsi="Arial" w:eastAsia="Arial" w:cs="Arial"/>
        <w:sz w:val="12"/>
        <w:szCs w:val="12"/>
      </w:rPr>
    </w:pPr>
    <w:r>
      <w:rPr>
        <w:rFonts w:eastAsia="Arial" w:cs="Arial" w:ascii="Arial" w:hAnsi="Arial"/>
        <w:sz w:val="12"/>
        <w:szCs w:val="12"/>
      </w:rPr>
      <w:fldChar w:fldCharType="begin"/>
    </w:r>
    <w:r>
      <w:rPr>
        <w:sz w:val="12"/>
        <w:szCs w:val="12"/>
        <w:rFonts w:eastAsia="Arial" w:cs="Arial" w:ascii="Arial" w:hAnsi="Arial"/>
      </w:rPr>
      <w:instrText xml:space="preserve"> FILENAME \p </w:instrText>
    </w:r>
    <w:r>
      <w:rPr>
        <w:sz w:val="12"/>
        <w:szCs w:val="12"/>
        <w:rFonts w:eastAsia="Arial" w:cs="Arial" w:ascii="Arial" w:hAnsi="Arial"/>
      </w:rPr>
      <w:fldChar w:fldCharType="separate"/>
    </w:r>
    <w:r>
      <w:rPr>
        <w:sz w:val="12"/>
        <w:szCs w:val="12"/>
        <w:rFonts w:eastAsia="Arial" w:cs="Arial" w:ascii="Arial" w:hAnsi="Arial"/>
      </w:rPr>
      <w:t>/mnt/main-storage/datasets/enron-docs/doc/2000_01crfm.doc</w:t>
    </w:r>
    <w:r>
      <w:rPr>
        <w:sz w:val="12"/>
        <w:szCs w:val="12"/>
        <w:rFonts w:eastAsia="Arial"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fldChar w:fldCharType="begin"/>
    </w:r>
    <w:r>
      <w:rPr>
        <w:sz w:val="14"/>
        <w:szCs w:val="14"/>
      </w:rPr>
      <w:instrText xml:space="preserve"> FILENAME \p </w:instrText>
    </w:r>
    <w:r>
      <w:rPr>
        <w:sz w:val="14"/>
        <w:szCs w:val="14"/>
      </w:rPr>
      <w:fldChar w:fldCharType="separate"/>
    </w:r>
    <w:r>
      <w:rPr>
        <w:sz w:val="14"/>
        <w:szCs w:val="14"/>
      </w:rPr>
      <w:t>/mnt/main-storage/datasets/enron-docs/doc/2000_01crfm.doc</w:t>
    </w:r>
    <w:r>
      <w:rPr>
        <w:sz w:val="14"/>
        <w:szCs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Formosa Hydrocarbons Company, Inc.</w:t>
    </w:r>
  </w:p>
  <w:p>
    <w:pPr>
      <w:pStyle w:val="Normal"/>
      <w:rPr/>
    </w:pPr>
    <w:r>
      <w:rPr/>
      <w:t>November 13, 2000</w:t>
    </w:r>
  </w:p>
  <w:p>
    <w:pPr>
      <w:pStyle w:val="Normal"/>
      <w:rPr/>
    </w:pPr>
    <w:r>
      <w:rPr/>
      <w:t xml:space="preserve">Page  </w:t>
    </w:r>
    <w:r>
      <w:rPr/>
      <w:fldChar w:fldCharType="begin"/>
    </w:r>
    <w:r>
      <w:rPr/>
      <w:instrText xml:space="preserve"> PAGE </w:instrText>
    </w:r>
    <w:r>
      <w:rPr/>
      <w:fldChar w:fldCharType="separate"/>
    </w:r>
    <w:r>
      <w:rPr/>
      <w:t>2</w:t>
    </w:r>
    <w:r>
      <w:rPr/>
      <w:fldChar w:fldCharType="end"/>
    </w:r>
  </w:p>
  <w:p>
    <w:pPr>
      <w:pStyle w:val="Normal"/>
      <w:rPr/>
    </w:pPr>
    <w:r>
      <w:rPr/>
      <w:t>_____________________________</w:t>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4950" w:leader="none"/>
      </w:tabs>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eastAsia="Tms Rmn" w:cs="Tms Rmn"/>
      <w:sz w:val="26"/>
      <w:szCs w:val="26"/>
    </w:rPr>
  </w:style>
  <w:style w:type="paragraph" w:styleId="Header">
    <w:name w:val="header"/>
    <w:basedOn w:val="Normal"/>
    <w:pPr>
      <w:tabs>
        <w:tab w:val="clear" w:pos="720"/>
        <w:tab w:val="center" w:pos="4320" w:leader="none"/>
        <w:tab w:val="right" w:pos="8640" w:leader="none"/>
      </w:tabs>
    </w:pPr>
    <w:rPr>
      <w:rFonts w:ascii="Tms Rmn" w:hAnsi="Tms Rmn" w:eastAsia="Tms Rmn" w:cs="Tms Rmn"/>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2000-11-13T12:11:00Z</dcterms:created>
  <dc:creator>Daniel J. Hyvl</dc:creator>
  <dc:description/>
  <dc:language>en-CA</dc:language>
  <cp:lastModifiedBy>dhyvl</cp:lastModifiedBy>
  <cp:lastPrinted>2000-11-13T15:26:00Z</cp:lastPrinted>
  <dcterms:modified xsi:type="dcterms:W3CDTF">2000-11-13T18:56:00Z</dcterms:modified>
  <cp:revision>7</cp:revision>
  <dc:subject/>
  <dc:title>July 7, 1998</dc:title>
</cp:coreProperties>
</file>