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rPr/>
      </w:pPr>
      <w:r>
        <w:rPr>
          <w:b/>
        </w:rPr>
        <w:t>James R. M</w:t>
      </w:r>
      <w:r>
        <w:rPr>
          <w:b/>
          <w:sz w:val="40"/>
          <w:u w:val="single"/>
          <w:vertAlign w:val="superscript"/>
        </w:rPr>
        <w:t>c</w:t>
      </w:r>
      <w:r>
        <w:rPr>
          <w:b/>
        </w:rPr>
        <w:t>CorD</w:t>
      </w:r>
    </w:p>
    <w:p>
      <w:pPr>
        <w:pStyle w:val="Address2"/>
        <w:rPr>
          <w:b/>
          <w:sz w:val="2"/>
        </w:rPr>
      </w:pPr>
      <w:r>
        <w:rPr>
          <w:b/>
          <w:sz w:val="2"/>
        </w:rPr>
      </w:r>
      <w:r>
        <mc:AlternateContent>
          <mc:Choice Requires="wps">
            <w:drawing>
              <wp:anchor behindDoc="0" distT="0" distB="0" distL="0" distR="0" simplePos="0" locked="0" layoutInCell="0" allowOverlap="1" relativeHeight="2">
                <wp:simplePos x="0" y="0"/>
                <wp:positionH relativeFrom="page">
                  <wp:align>center</wp:align>
                </wp:positionH>
                <wp:positionV relativeFrom="page">
                  <wp:align>bottom</wp:align>
                </wp:positionV>
                <wp:extent cx="5486400" cy="831850"/>
                <wp:effectExtent l="0" t="0" r="0" b="0"/>
                <wp:wrapTopAndBottom/>
                <wp:docPr id="1" name="Frame1"/>
                <a:graphic xmlns:a="http://schemas.openxmlformats.org/drawingml/2006/main">
                  <a:graphicData uri="http://schemas.microsoft.com/office/word/2010/wordprocessingShape">
                    <wps:wsp>
                      <wps:cNvSpPr txBox="1"/>
                      <wps:spPr>
                        <a:xfrm>
                          <a:off x="0" y="0"/>
                          <a:ext cx="5486400" cy="831850"/>
                        </a:xfrm>
                        <a:prstGeom prst="rect"/>
                        <a:solidFill>
                          <a:srgbClr val="FFFFFF">
                            <a:alpha val="0"/>
                          </a:srgbClr>
                        </a:solidFill>
                      </wps:spPr>
                      <wps:txbx>
                        <w:txbxContent>
                          <w:p>
                            <w:pPr>
                              <w:pStyle w:val="Address2"/>
                              <w:rPr/>
                            </w:pPr>
                            <w:r>
                              <w:rPr/>
                              <w:t>13519 Barryknoll • Houston, Texas 77079</w:t>
                            </w:r>
                          </w:p>
                        </w:txbxContent>
                      </wps:txbx>
                      <wps:bodyPr anchor="t" lIns="0" tIns="0" rIns="0" bIns="0">
                        <a:noAutofit/>
                      </wps:bodyPr>
                    </wps:wsp>
                  </a:graphicData>
                </a:graphic>
              </wp:anchor>
            </w:drawing>
          </mc:Choice>
          <mc:Fallback>
            <w:pict>
              <v:rect fillcolor="#FFFFFF" style="position:absolute;rotation:-0;width:432pt;height:65.5pt;mso-wrap-distance-left:0pt;mso-wrap-distance-right:0pt;mso-wrap-distance-top:0pt;mso-wrap-distance-bottom:0pt;margin-top:726.5pt;mso-position-vertical:bottom;mso-position-vertical-relative:page;margin-left:90pt;mso-position-horizontal:center;mso-position-horizontal-relative:page">
                <v:fill opacity="0f"/>
                <v:textbox inset="0in,0in,0in,0in">
                  <w:txbxContent>
                    <w:p>
                      <w:pPr>
                        <w:pStyle w:val="Address2"/>
                        <w:rPr/>
                      </w:pPr>
                      <w:r>
                        <w:rPr/>
                        <w:t>13519 Barryknoll • Houston, Texas 77079</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page">
                  <wp:align>center</wp:align>
                </wp:positionH>
                <wp:positionV relativeFrom="page">
                  <wp:align>bottom</wp:align>
                </wp:positionV>
                <wp:extent cx="5486400" cy="676910"/>
                <wp:effectExtent l="0" t="0" r="0" b="0"/>
                <wp:wrapTopAndBottom/>
                <wp:docPr id="2" name="Frame2"/>
                <a:graphic xmlns:a="http://schemas.openxmlformats.org/drawingml/2006/main">
                  <a:graphicData uri="http://schemas.microsoft.com/office/word/2010/wordprocessingShape">
                    <wps:wsp>
                      <wps:cNvSpPr txBox="1"/>
                      <wps:spPr>
                        <a:xfrm>
                          <a:off x="0" y="0"/>
                          <a:ext cx="5486400" cy="676910"/>
                        </a:xfrm>
                        <a:prstGeom prst="rect"/>
                        <a:solidFill>
                          <a:srgbClr val="FFFFFF">
                            <a:alpha val="0"/>
                          </a:srgbClr>
                        </a:solidFill>
                      </wps:spPr>
                      <wps:txbx>
                        <w:txbxContent>
                          <w:p>
                            <w:pPr>
                              <w:pStyle w:val="Address1"/>
                              <w:rPr/>
                            </w:pPr>
                            <w:r>
                              <w:rPr/>
                              <w:t xml:space="preserve">Phone 713.785.4141 • Fax 713.361.0470 • E-mail: </w:t>
                            </w:r>
                            <w:r>
                              <w:rPr>
                                <w:caps w:val="false"/>
                                <w:smallCaps w:val="false"/>
                              </w:rPr>
                              <w:t>jrmccord@hotmail.com</w:t>
                            </w:r>
                          </w:p>
                        </w:txbxContent>
                      </wps:txbx>
                      <wps:bodyPr anchor="t" lIns="0" tIns="0" rIns="0" bIns="0">
                        <a:noAutofit/>
                      </wps:bodyPr>
                    </wps:wsp>
                  </a:graphicData>
                </a:graphic>
              </wp:anchor>
            </w:drawing>
          </mc:Choice>
          <mc:Fallback>
            <w:pict>
              <v:rect fillcolor="#FFFFFF" style="position:absolute;rotation:-0;width:432pt;height:53.3pt;mso-wrap-distance-left:0pt;mso-wrap-distance-right:0pt;mso-wrap-distance-top:0pt;mso-wrap-distance-bottom:0pt;margin-top:738.7pt;mso-position-vertical:bottom;mso-position-vertical-relative:page;margin-left:90pt;mso-position-horizontal:center;mso-position-horizontal-relative:page">
                <v:fill opacity="0f"/>
                <v:textbox inset="0in,0in,0in,0in">
                  <w:txbxContent>
                    <w:p>
                      <w:pPr>
                        <w:pStyle w:val="Address1"/>
                        <w:rPr/>
                      </w:pPr>
                      <w:r>
                        <w:rPr/>
                        <w:t xml:space="preserve">Phone 713.785.4141 • Fax 713.361.0470 • E-mail: </w:t>
                      </w:r>
                      <w:r>
                        <w:rPr>
                          <w:caps w:val="false"/>
                          <w:smallCaps w:val="false"/>
                        </w:rPr>
                        <w:t>jrmccord@hotmail.com</w:t>
                      </w:r>
                    </w:p>
                  </w:txbxContent>
                </v:textbox>
                <w10:wrap type="topAndBottom"/>
              </v:rect>
            </w:pict>
          </mc:Fallback>
        </mc:AlternateContent>
      </w:r>
    </w:p>
    <w:tbl>
      <w:tblPr>
        <w:tblW w:w="9648" w:type="dxa"/>
        <w:jc w:val="start"/>
        <w:tblInd w:w="0" w:type="dxa"/>
        <w:tblLayout w:type="fixed"/>
        <w:tblCellMar>
          <w:top w:w="0" w:type="dxa"/>
          <w:start w:w="108" w:type="dxa"/>
          <w:bottom w:w="0" w:type="dxa"/>
          <w:end w:w="108" w:type="dxa"/>
        </w:tblCellMar>
      </w:tblPr>
      <w:tblGrid>
        <w:gridCol w:w="1188"/>
        <w:gridCol w:w="8370"/>
        <w:gridCol w:w="90"/>
      </w:tblGrid>
      <w:tr>
        <w:trPr/>
        <w:tc>
          <w:tcPr>
            <w:tcW w:w="9558" w:type="dxa"/>
            <w:gridSpan w:val="2"/>
            <w:tcBorders/>
          </w:tcPr>
          <w:p>
            <w:pPr>
              <w:pStyle w:val="SectionTitle"/>
              <w:spacing w:before="220" w:after="0"/>
              <w:rPr>
                <w:b/>
              </w:rPr>
            </w:pPr>
            <w:r>
              <w:rPr>
                <w:b/>
              </w:rPr>
              <w:t>Summary of qualifications</w:t>
            </w:r>
          </w:p>
        </w:tc>
        <w:tc>
          <w:tcPr>
            <w:tcW w:w="90" w:type="dxa"/>
            <w:tcBorders/>
            <w:tcMar>
              <w:start w:w="0" w:type="dxa"/>
              <w:end w:w="0" w:type="dxa"/>
            </w:tcMar>
          </w:tcPr>
          <w:p>
            <w:pPr>
              <w:pStyle w:val="Normal"/>
              <w:snapToGrid w:val="false"/>
              <w:rPr>
                <w:b/>
              </w:rPr>
            </w:pPr>
            <w:r>
              <w:rPr>
                <w:b/>
              </w:rPr>
            </w:r>
          </w:p>
        </w:tc>
      </w:tr>
      <w:tr>
        <w:trPr/>
        <w:tc>
          <w:tcPr>
            <w:tcW w:w="1188" w:type="dxa"/>
            <w:tcBorders/>
          </w:tcPr>
          <w:p>
            <w:pPr>
              <w:pStyle w:val="Normal"/>
              <w:snapToGrid w:val="false"/>
              <w:rPr/>
            </w:pPr>
            <w:r>
              <w:rPr/>
            </w:r>
          </w:p>
        </w:tc>
        <w:tc>
          <w:tcPr>
            <w:tcW w:w="8370" w:type="dxa"/>
            <w:tcBorders/>
          </w:tcPr>
          <w:p>
            <w:pPr>
              <w:pStyle w:val="Achievement"/>
              <w:numPr>
                <w:ilvl w:val="0"/>
                <w:numId w:val="0"/>
              </w:numPr>
              <w:snapToGrid w:val="false"/>
              <w:spacing w:lineRule="atLeast" w:line="200" w:before="0" w:after="0"/>
              <w:ind w:hanging="0" w:start="0"/>
              <w:rPr/>
            </w:pPr>
            <w:r>
              <w:rPr/>
            </w:r>
          </w:p>
          <w:p>
            <w:pPr>
              <w:pStyle w:val="Achievement"/>
              <w:numPr>
                <w:ilvl w:val="0"/>
                <w:numId w:val="0"/>
              </w:numPr>
              <w:spacing w:lineRule="atLeast" w:line="200" w:before="0" w:after="0"/>
              <w:ind w:hanging="0" w:start="0"/>
              <w:rPr/>
            </w:pPr>
            <w:r>
              <w:rPr/>
              <w:t>Multi-dimensional business executive with a 23 year proven track record in international business development and marketing. Broad and diverse experience in market development, turn-arounds, license and distribution arrangements, distributor selection and approval, advertising, administration and sales promotion.  Demonstrated distinctive abilities in:</w:t>
            </w:r>
          </w:p>
          <w:p>
            <w:pPr>
              <w:pStyle w:val="Achievement"/>
              <w:numPr>
                <w:ilvl w:val="0"/>
                <w:numId w:val="0"/>
              </w:numPr>
              <w:spacing w:lineRule="atLeast" w:line="200" w:before="0" w:after="0"/>
              <w:ind w:hanging="0" w:start="0"/>
              <w:rPr/>
            </w:pPr>
            <w:r>
              <w:rPr/>
            </w:r>
          </w:p>
          <w:p>
            <w:pPr>
              <w:pStyle w:val="Achievement"/>
              <w:numPr>
                <w:ilvl w:val="0"/>
                <w:numId w:val="4"/>
              </w:numPr>
              <w:spacing w:lineRule="atLeast" w:line="200" w:before="0" w:after="0"/>
              <w:rPr>
                <w:i/>
                <w:i/>
                <w:sz w:val="24"/>
              </w:rPr>
            </w:pPr>
            <w:r>
              <w:rPr>
                <w:i/>
                <w:sz w:val="24"/>
              </w:rPr>
              <w:t>Market Penetration and Revenue Enhancement</w:t>
            </w:r>
          </w:p>
          <w:p>
            <w:pPr>
              <w:pStyle w:val="Achievement"/>
              <w:numPr>
                <w:ilvl w:val="0"/>
                <w:numId w:val="4"/>
              </w:numPr>
              <w:spacing w:lineRule="atLeast" w:line="200" w:before="0" w:after="0"/>
              <w:rPr>
                <w:i/>
                <w:i/>
                <w:sz w:val="24"/>
              </w:rPr>
            </w:pPr>
            <w:r>
              <w:rPr>
                <w:i/>
                <w:sz w:val="24"/>
              </w:rPr>
              <w:t>Profit Improvement</w:t>
            </w:r>
          </w:p>
          <w:p>
            <w:pPr>
              <w:pStyle w:val="Achievement"/>
              <w:numPr>
                <w:ilvl w:val="0"/>
                <w:numId w:val="4"/>
              </w:numPr>
              <w:spacing w:lineRule="atLeast" w:line="200" w:before="0" w:after="0"/>
              <w:rPr>
                <w:i/>
                <w:i/>
                <w:sz w:val="24"/>
              </w:rPr>
            </w:pPr>
            <w:r>
              <w:rPr>
                <w:i/>
                <w:sz w:val="24"/>
              </w:rPr>
              <w:t>Strategic Planning and Partnering</w:t>
            </w:r>
          </w:p>
          <w:p>
            <w:pPr>
              <w:pStyle w:val="Achievement"/>
              <w:numPr>
                <w:ilvl w:val="0"/>
                <w:numId w:val="4"/>
              </w:numPr>
              <w:spacing w:lineRule="atLeast" w:line="200" w:before="0" w:after="0"/>
              <w:rPr>
                <w:i/>
                <w:i/>
                <w:sz w:val="24"/>
              </w:rPr>
            </w:pPr>
            <w:r>
              <w:rPr>
                <w:i/>
                <w:sz w:val="24"/>
              </w:rPr>
              <w:t>Opening New Markets and Start-ups</w:t>
            </w:r>
          </w:p>
          <w:p>
            <w:pPr>
              <w:pStyle w:val="Achievement"/>
              <w:numPr>
                <w:ilvl w:val="0"/>
                <w:numId w:val="4"/>
              </w:numPr>
              <w:spacing w:lineRule="atLeast" w:line="200" w:before="0" w:after="0"/>
              <w:rPr>
                <w:i/>
                <w:i/>
                <w:sz w:val="24"/>
              </w:rPr>
            </w:pPr>
            <w:r>
              <w:rPr>
                <w:i/>
                <w:sz w:val="24"/>
              </w:rPr>
              <w:t>Bi-lingual Spanish and English</w:t>
            </w:r>
          </w:p>
          <w:p>
            <w:pPr>
              <w:pStyle w:val="Achievement"/>
              <w:numPr>
                <w:ilvl w:val="0"/>
                <w:numId w:val="0"/>
              </w:numPr>
              <w:spacing w:lineRule="atLeast" w:line="200" w:before="0" w:after="0"/>
              <w:ind w:hanging="0" w:start="0"/>
              <w:rPr>
                <w:i/>
                <w:i/>
                <w:sz w:val="24"/>
              </w:rPr>
            </w:pPr>
            <w:r>
              <w:rPr>
                <w:i/>
                <w:sz w:val="24"/>
              </w:rPr>
            </w:r>
          </w:p>
          <w:p>
            <w:pPr>
              <w:pStyle w:val="Achievement"/>
              <w:numPr>
                <w:ilvl w:val="0"/>
                <w:numId w:val="0"/>
              </w:numPr>
              <w:spacing w:lineRule="atLeast" w:line="200" w:before="0" w:after="0"/>
              <w:ind w:hanging="0" w:start="0"/>
              <w:rPr/>
            </w:pPr>
            <w:r>
              <w:rPr/>
              <w:t>A high integrity professional possessing exceptional team building and interpersonal skills recognized for outstanding problem solving and negotiating abilities.  Results oriented leader with a high energy level who cuts through issues and implements successful solutions.</w:t>
            </w:r>
          </w:p>
        </w:tc>
        <w:tc>
          <w:tcPr>
            <w:tcW w:w="90" w:type="dxa"/>
            <w:tcBorders/>
            <w:tcMar>
              <w:start w:w="0" w:type="dxa"/>
              <w:end w:w="0" w:type="dxa"/>
            </w:tcMar>
          </w:tcPr>
          <w:p>
            <w:pPr>
              <w:pStyle w:val="Normal"/>
              <w:snapToGrid w:val="false"/>
              <w:rPr/>
            </w:pPr>
            <w:r>
              <w:rPr/>
            </w:r>
          </w:p>
        </w:tc>
      </w:tr>
      <w:tr>
        <w:trPr>
          <w:trHeight w:val="783" w:hRule="atLeast"/>
        </w:trPr>
        <w:tc>
          <w:tcPr>
            <w:tcW w:w="9558" w:type="dxa"/>
            <w:gridSpan w:val="2"/>
            <w:tcBorders/>
          </w:tcPr>
          <w:p>
            <w:pPr>
              <w:pStyle w:val="SectionTitle"/>
              <w:spacing w:before="220" w:after="0"/>
              <w:rPr>
                <w:b/>
              </w:rPr>
            </w:pPr>
            <w:r>
              <w:rPr>
                <w:b/>
              </w:rPr>
              <w:t>Selected Accomplishments</w:t>
            </w:r>
          </w:p>
          <w:p>
            <w:pPr>
              <w:pStyle w:val="BodyText"/>
              <w:spacing w:before="0" w:after="220"/>
              <w:rPr>
                <w:b/>
              </w:rPr>
            </w:pPr>
            <w:r>
              <w:rPr>
                <w:b/>
              </w:rPr>
            </w:r>
          </w:p>
        </w:tc>
        <w:tc>
          <w:tcPr>
            <w:tcW w:w="90" w:type="dxa"/>
            <w:tcBorders/>
            <w:tcMar>
              <w:start w:w="0" w:type="dxa"/>
              <w:end w:w="0" w:type="dxa"/>
            </w:tcMar>
          </w:tcPr>
          <w:p>
            <w:pPr>
              <w:pStyle w:val="Normal"/>
              <w:snapToGrid w:val="false"/>
              <w:rPr/>
            </w:pPr>
            <w:r>
              <w:rPr/>
            </w:r>
          </w:p>
        </w:tc>
      </w:tr>
      <w:tr>
        <w:trPr>
          <w:trHeight w:val="2250" w:hRule="atLeast"/>
        </w:trPr>
        <w:tc>
          <w:tcPr>
            <w:tcW w:w="1188" w:type="dxa"/>
            <w:tcBorders/>
          </w:tcPr>
          <w:p>
            <w:pPr>
              <w:pStyle w:val="Normal"/>
              <w:snapToGrid w:val="false"/>
              <w:rPr/>
            </w:pPr>
            <w:r>
              <w:rPr/>
            </w:r>
          </w:p>
        </w:tc>
        <w:tc>
          <w:tcPr>
            <w:tcW w:w="8460" w:type="dxa"/>
            <w:gridSpan w:val="2"/>
            <w:tcBorders/>
          </w:tcPr>
          <w:p>
            <w:pPr>
              <w:pStyle w:val="Objective"/>
              <w:keepLines/>
              <w:numPr>
                <w:ilvl w:val="0"/>
                <w:numId w:val="3"/>
              </w:numPr>
              <w:spacing w:before="120" w:after="120"/>
              <w:rPr/>
            </w:pPr>
            <w:r>
              <w:rPr/>
              <w:t>As President and CEO, directed the successful start-up of the company.  Responsible for all aspects of company organization including establishment of financial administration and control policies and procedures, oversight of all marketing and sales functions, negotiation and execution of all license and distribution agreements, operations, customer relations and new business development. Identified and selected distributors and licensees in the U.S., Singapore, Mexico, Venezuela, Argentina, Brazil and Saudi Arabia.</w:t>
            </w:r>
          </w:p>
          <w:p>
            <w:pPr>
              <w:pStyle w:val="BodyText"/>
              <w:keepLines/>
              <w:numPr>
                <w:ilvl w:val="0"/>
                <w:numId w:val="5"/>
              </w:numPr>
              <w:spacing w:before="120" w:after="120"/>
              <w:rPr/>
            </w:pPr>
            <w:r>
              <w:rPr/>
              <w:t>As Vice President - International Marketing, identified and selected potential master licensees and/or joint venture partners in Brazil, Bolivia, Honduras, Costa Rica, Guatemala, Dominican Republic and Puerto Rico.  Also responsible for market development of existing operations in Argentina, Chile and El Salvador. Produced net income of over $500,000 in first year.</w:t>
            </w:r>
          </w:p>
          <w:p>
            <w:pPr>
              <w:pStyle w:val="BodyText"/>
              <w:keepLines/>
              <w:numPr>
                <w:ilvl w:val="0"/>
                <w:numId w:val="5"/>
              </w:numPr>
              <w:spacing w:before="120" w:after="120"/>
              <w:rPr/>
            </w:pPr>
            <w:r>
              <w:rPr/>
              <w:t>As Director General - Mexico, established Pennzoil's first office in Latin America.  Mexico Headquarters were established in Guadalajara, with branches in Mexico City and Tijuana.  Led team responsible for selection of office and warehouse locations, as well as hiring of all sales and administrative personnel. Responsible for oversight of our master licensee, 37 distributors, selection of advertising agencies, and direction of Pennzoil Racing Team, which increased consumer brand awareness over 350%.</w:t>
            </w:r>
          </w:p>
          <w:p>
            <w:pPr>
              <w:pStyle w:val="BodyText"/>
              <w:keepLines/>
              <w:numPr>
                <w:ilvl w:val="0"/>
                <w:numId w:val="5"/>
              </w:numPr>
              <w:spacing w:before="120" w:after="120"/>
              <w:rPr/>
            </w:pPr>
            <w:r>
              <w:rPr/>
              <w:t>As Division Manager - Americas, was responsible for business development throughout the region.  Position required extensive knowledge of the language, business practices and cultures of the different countries in Latin America and Caribbean, with heavy travel requirement.  Maintained and expanded relationships with key distributors and licensees in the region.</w:t>
            </w:r>
          </w:p>
          <w:p>
            <w:pPr>
              <w:pStyle w:val="BodyText"/>
              <w:numPr>
                <w:ilvl w:val="0"/>
                <w:numId w:val="5"/>
              </w:numPr>
              <w:spacing w:before="120" w:after="120"/>
              <w:rPr/>
            </w:pPr>
            <w:r>
              <w:rPr/>
              <w:t>As Managing Director - Asia, directed the turnaround of this Singapore based joint venture company, which went from a loss of U.S.$ 600,000 in 1983 to U.S.$1.7 MM profit in 1984.  Personally negotiated contract for $3.5 MM with a third world government, which was completed on time and under budget.  Cut SG&amp;A expenses over 33% and streamlined existing organization which consisted of twenty-nine local Singaporean employees and seven expatriates, with branch offices in Jakarta, Bangkok and Hong Kong.</w:t>
            </w:r>
          </w:p>
          <w:p>
            <w:pPr>
              <w:pStyle w:val="BodyText"/>
              <w:numPr>
                <w:ilvl w:val="0"/>
                <w:numId w:val="5"/>
              </w:numPr>
              <w:spacing w:before="120" w:after="120"/>
              <w:rPr/>
            </w:pPr>
            <w:r>
              <w:rPr/>
              <w:t>As District Manager - Venezuela, increased profitability of regional office by over 60% in the first year.  Responsible for nine local employees and daily contact and communication with the government owned oil company, Petroleos de Venezuela (PDVSA).</w:t>
            </w:r>
          </w:p>
        </w:tc>
      </w:tr>
      <w:tr>
        <w:trPr/>
        <w:tc>
          <w:tcPr>
            <w:tcW w:w="9558" w:type="dxa"/>
            <w:gridSpan w:val="2"/>
            <w:tcBorders/>
          </w:tcPr>
          <w:p>
            <w:pPr>
              <w:pStyle w:val="SectionTitle"/>
              <w:snapToGrid w:val="false"/>
              <w:spacing w:before="220" w:after="0"/>
              <w:rPr>
                <w:b/>
              </w:rPr>
            </w:pPr>
            <w:r>
              <w:rPr>
                <w:b/>
              </w:rPr>
            </w:r>
          </w:p>
          <w:p>
            <w:pPr>
              <w:pStyle w:val="SectionTitle"/>
              <w:rPr>
                <w:b/>
              </w:rPr>
            </w:pPr>
            <w:r>
              <w:rPr>
                <w:b/>
              </w:rPr>
              <w:t>Professional experience</w:t>
            </w:r>
          </w:p>
        </w:tc>
        <w:tc>
          <w:tcPr>
            <w:tcW w:w="90" w:type="dxa"/>
            <w:tcBorders/>
            <w:tcMar>
              <w:start w:w="0" w:type="dxa"/>
              <w:end w:w="0" w:type="dxa"/>
            </w:tcMar>
          </w:tcPr>
          <w:p>
            <w:pPr>
              <w:pStyle w:val="Normal"/>
              <w:snapToGrid w:val="false"/>
              <w:rPr>
                <w:b/>
              </w:rPr>
            </w:pPr>
            <w:r>
              <w:rPr>
                <w:b/>
              </w:rPr>
            </w:r>
          </w:p>
        </w:tc>
      </w:tr>
      <w:tr>
        <w:trPr/>
        <w:tc>
          <w:tcPr>
            <w:tcW w:w="1188" w:type="dxa"/>
            <w:tcBorders/>
          </w:tcPr>
          <w:p>
            <w:pPr>
              <w:pStyle w:val="Normal"/>
              <w:snapToGrid w:val="false"/>
              <w:rPr/>
            </w:pPr>
            <w:r>
              <w:rPr/>
            </w:r>
          </w:p>
        </w:tc>
        <w:tc>
          <w:tcPr>
            <w:tcW w:w="8370" w:type="dxa"/>
            <w:tcBorders/>
          </w:tcPr>
          <w:p>
            <w:pPr>
              <w:pStyle w:val="CompanyName"/>
              <w:snapToGrid w:val="false"/>
              <w:spacing w:before="220" w:after="0"/>
              <w:rPr/>
            </w:pPr>
            <w:r>
              <w:rPr/>
            </w:r>
          </w:p>
          <w:p>
            <w:pPr>
              <w:pStyle w:val="CompanyName"/>
              <w:rPr/>
            </w:pPr>
            <w:r>
              <w:rPr/>
              <w:t>1997 - Present</w:t>
              <w:tab/>
              <w:t>Global Corrosion Technologies</w:t>
              <w:tab/>
              <w:t>Houston, Texas</w:t>
            </w:r>
          </w:p>
          <w:p>
            <w:pPr>
              <w:pStyle w:val="JobTitle"/>
              <w:rPr>
                <w:b/>
              </w:rPr>
            </w:pPr>
            <w:r>
              <w:rPr>
                <w:b/>
              </w:rPr>
              <w:t>President &amp; CEO</w:t>
            </w:r>
          </w:p>
          <w:p>
            <w:pPr>
              <w:pStyle w:val="Achievement"/>
              <w:numPr>
                <w:ilvl w:val="0"/>
                <w:numId w:val="6"/>
              </w:numPr>
              <w:ind w:hanging="0" w:start="0"/>
              <w:rPr/>
            </w:pPr>
            <w:r>
              <w:rPr/>
              <w:t>Responsible for start-up of company including strategic planning, marketing, property selection, staff hiring, and all other administrative duties.  Full P/L responsibility.  Functional duties include domestic and international business development, preparation of advertising and marketing plans, identification and selection of strategic partners, credit and other financial and administrative functions.</w:t>
            </w:r>
          </w:p>
          <w:p>
            <w:pPr>
              <w:pStyle w:val="CompanyName"/>
              <w:rPr/>
            </w:pPr>
            <w:r>
              <w:rPr/>
              <w:t>1995 - 1997</w:t>
              <w:tab/>
              <w:t>Coastal Corporation</w:t>
              <w:tab/>
              <w:t>Houston, Texas</w:t>
            </w:r>
          </w:p>
          <w:p>
            <w:pPr>
              <w:pStyle w:val="JobTitle"/>
              <w:rPr>
                <w:b/>
              </w:rPr>
            </w:pPr>
            <w:r>
              <w:rPr>
                <w:b/>
              </w:rPr>
              <w:t>Vice President - International Marketing</w:t>
            </w:r>
          </w:p>
          <w:p>
            <w:pPr>
              <w:pStyle w:val="Achievement"/>
              <w:numPr>
                <w:ilvl w:val="0"/>
                <w:numId w:val="2"/>
              </w:numPr>
              <w:rPr/>
            </w:pPr>
            <w:r>
              <w:rPr/>
              <w:t>Responsible for developing and implementing retail, commercial and industrial marketing strategies for selling a full line of refined petroleum products.  Reported to Executive Vice President - Refining and Marketing.</w:t>
            </w:r>
          </w:p>
          <w:p>
            <w:pPr>
              <w:pStyle w:val="CompanyName"/>
              <w:rPr/>
            </w:pPr>
            <w:r>
              <w:rPr/>
              <w:t>1995</w:t>
              <w:tab/>
              <w:t>Pennzoil - Argentina</w:t>
              <w:tab/>
              <w:t>Buenos Aires, Argentina</w:t>
            </w:r>
          </w:p>
          <w:p>
            <w:pPr>
              <w:pStyle w:val="JobTitle"/>
              <w:rPr>
                <w:b/>
              </w:rPr>
            </w:pPr>
            <w:r>
              <w:rPr>
                <w:b/>
              </w:rPr>
              <w:t>Managing Director</w:t>
            </w:r>
          </w:p>
          <w:p>
            <w:pPr>
              <w:pStyle w:val="Achievement"/>
              <w:numPr>
                <w:ilvl w:val="0"/>
                <w:numId w:val="2"/>
              </w:numPr>
              <w:rPr/>
            </w:pPr>
            <w:r>
              <w:rPr/>
              <w:t>Responsible for start-up of Argentine joint venture, and day-to-day communication with partners.  Duties included formulation and execution of marketing strategies for retailing a complete line of consumer products and services.</w:t>
            </w:r>
          </w:p>
          <w:p>
            <w:pPr>
              <w:pStyle w:val="CompanyName"/>
              <w:rPr/>
            </w:pPr>
            <w:r>
              <w:rPr/>
              <w:t>1992 - 1994</w:t>
              <w:tab/>
              <w:t>Pennzoil de Mexico</w:t>
              <w:tab/>
              <w:t>Guadalajara, Mexico</w:t>
            </w:r>
          </w:p>
          <w:p>
            <w:pPr>
              <w:pStyle w:val="JobTitle"/>
              <w:rPr>
                <w:b/>
              </w:rPr>
            </w:pPr>
            <w:r>
              <w:rPr>
                <w:b/>
              </w:rPr>
              <w:t>Director General</w:t>
            </w:r>
          </w:p>
          <w:p>
            <w:pPr>
              <w:pStyle w:val="Achievement"/>
              <w:numPr>
                <w:ilvl w:val="0"/>
                <w:numId w:val="2"/>
              </w:numPr>
              <w:rPr/>
            </w:pPr>
            <w:r>
              <w:rPr/>
              <w:t>Responsible for start-up of Mexican headquarters and branch offices for U.S. Corporation. Duties included full P/L responsibility, formulation and execution of profit and strategic plans, and coordination of advertising, racing and sales promotion activities.</w:t>
            </w:r>
          </w:p>
          <w:p>
            <w:pPr>
              <w:pStyle w:val="CompanyName"/>
              <w:rPr/>
            </w:pPr>
            <w:r>
              <w:rPr/>
              <w:t>1988 - 1992</w:t>
              <w:tab/>
              <w:t>Pennzoil Products Company</w:t>
              <w:tab/>
              <w:t>Houston, Texas</w:t>
            </w:r>
          </w:p>
          <w:p>
            <w:pPr>
              <w:pStyle w:val="JobTitle"/>
              <w:rPr>
                <w:b/>
              </w:rPr>
            </w:pPr>
            <w:r>
              <w:rPr>
                <w:b/>
              </w:rPr>
              <w:t>Division Manager</w:t>
            </w:r>
          </w:p>
          <w:p>
            <w:pPr>
              <w:pStyle w:val="Achievement"/>
              <w:numPr>
                <w:ilvl w:val="0"/>
                <w:numId w:val="2"/>
              </w:numPr>
              <w:rPr/>
            </w:pPr>
            <w:r>
              <w:rPr/>
              <w:t>Responsible for 15 distributors and 3 licensees in 18 countries in Latin America and Caribbean, in addition to new business development in the region.  Duties included formulation and execution of profit and strategic plans, market research and advertising activities, and direction of racing and other promotional activities.</w:t>
            </w:r>
          </w:p>
          <w:p>
            <w:pPr>
              <w:pStyle w:val="CompanyName"/>
              <w:rPr/>
            </w:pPr>
            <w:r>
              <w:rPr/>
              <w:t>1986 - 1988</w:t>
              <w:tab/>
              <w:t>Joint Marketing Services</w:t>
              <w:tab/>
              <w:t>Houston, Texas</w:t>
            </w:r>
          </w:p>
          <w:p>
            <w:pPr>
              <w:pStyle w:val="JobTitle"/>
              <w:rPr>
                <w:b/>
              </w:rPr>
            </w:pPr>
            <w:r>
              <w:rPr>
                <w:b/>
              </w:rPr>
              <w:t>Marketing Consultant</w:t>
            </w:r>
          </w:p>
          <w:p>
            <w:pPr>
              <w:pStyle w:val="Achievement"/>
              <w:numPr>
                <w:ilvl w:val="0"/>
                <w:numId w:val="2"/>
              </w:numPr>
              <w:rPr/>
            </w:pPr>
            <w:r>
              <w:rPr/>
              <w:t>Provided sales, marketing and advertising development and support to four client companies.  Opened new markets for products and services with domestic and international corporations.</w:t>
            </w:r>
          </w:p>
          <w:p>
            <w:pPr>
              <w:pStyle w:val="CompanyName"/>
              <w:spacing w:lineRule="atLeast" w:line="120"/>
              <w:rPr/>
            </w:pPr>
            <w:r>
              <w:rPr/>
              <w:t>1978 - 1986</w:t>
              <w:tab/>
              <w:t xml:space="preserve">Hughes Production Tools (now Baker Hughes)  </w:t>
              <w:tab/>
              <w:t>Various locations</w:t>
            </w:r>
          </w:p>
          <w:p>
            <w:pPr>
              <w:pStyle w:val="JobTitle"/>
              <w:spacing w:lineRule="atLeast" w:line="120"/>
              <w:rPr/>
            </w:pPr>
            <w:r>
              <w:rPr/>
              <w:t>Various responsibilities</w:t>
            </w:r>
          </w:p>
          <w:p>
            <w:pPr>
              <w:pStyle w:val="Achievement"/>
              <w:numPr>
                <w:ilvl w:val="0"/>
                <w:numId w:val="2"/>
              </w:numPr>
              <w:spacing w:before="0" w:after="60"/>
              <w:rPr/>
            </w:pPr>
            <w:r>
              <w:rPr>
                <w:b/>
              </w:rPr>
              <w:t>Regional Manager</w:t>
            </w:r>
            <w:r>
              <w:rPr/>
              <w:t xml:space="preserve">, Rocky Mountains (1985-1986); </w:t>
            </w:r>
            <w:r>
              <w:rPr>
                <w:b/>
              </w:rPr>
              <w:t>Managing Director</w:t>
            </w:r>
            <w:r>
              <w:rPr/>
              <w:t xml:space="preserve">, APSCO Asia, Singapore (1983-1985); </w:t>
            </w:r>
            <w:r>
              <w:rPr>
                <w:b/>
              </w:rPr>
              <w:t>District Manager</w:t>
            </w:r>
            <w:r>
              <w:rPr/>
              <w:t xml:space="preserve">, Maracaibo, Venezuela (1981-1983); </w:t>
            </w:r>
            <w:r>
              <w:rPr>
                <w:b/>
              </w:rPr>
              <w:t>Regional Sales Manager</w:t>
            </w:r>
            <w:r>
              <w:rPr/>
              <w:t xml:space="preserve">, Mexico City, Mexico (1980-1981); </w:t>
            </w:r>
            <w:r>
              <w:rPr>
                <w:b/>
              </w:rPr>
              <w:t>Sales &amp; Service Engineer</w:t>
            </w:r>
            <w:r>
              <w:rPr/>
              <w:t>, Saudi Arabia and United Arab Emirates (1978-1980).</w:t>
            </w:r>
          </w:p>
        </w:tc>
        <w:tc>
          <w:tcPr>
            <w:tcW w:w="90" w:type="dxa"/>
            <w:tcBorders/>
            <w:tcMar>
              <w:start w:w="0" w:type="dxa"/>
              <w:end w:w="0" w:type="dxa"/>
            </w:tcMar>
          </w:tcPr>
          <w:p>
            <w:pPr>
              <w:pStyle w:val="Normal"/>
              <w:snapToGrid w:val="false"/>
              <w:rPr/>
            </w:pPr>
            <w:r>
              <w:rPr/>
            </w:r>
          </w:p>
        </w:tc>
      </w:tr>
      <w:tr>
        <w:trPr/>
        <w:tc>
          <w:tcPr>
            <w:tcW w:w="9558" w:type="dxa"/>
            <w:gridSpan w:val="2"/>
            <w:tcBorders/>
          </w:tcPr>
          <w:p>
            <w:pPr>
              <w:pStyle w:val="SectionTitle"/>
              <w:spacing w:before="220" w:after="0"/>
              <w:rPr>
                <w:b/>
              </w:rPr>
            </w:pPr>
            <w:r>
              <w:rPr>
                <w:b/>
              </w:rPr>
              <w:t>Education</w:t>
            </w:r>
          </w:p>
        </w:tc>
        <w:tc>
          <w:tcPr>
            <w:tcW w:w="90" w:type="dxa"/>
            <w:tcBorders/>
            <w:tcMar>
              <w:start w:w="0" w:type="dxa"/>
              <w:end w:w="0" w:type="dxa"/>
            </w:tcMar>
          </w:tcPr>
          <w:p>
            <w:pPr>
              <w:pStyle w:val="Normal"/>
              <w:snapToGrid w:val="false"/>
              <w:rPr>
                <w:b/>
              </w:rPr>
            </w:pPr>
            <w:r>
              <w:rPr>
                <w:b/>
              </w:rPr>
            </w:r>
          </w:p>
        </w:tc>
      </w:tr>
      <w:tr>
        <w:trPr/>
        <w:tc>
          <w:tcPr>
            <w:tcW w:w="1188" w:type="dxa"/>
            <w:tcBorders/>
          </w:tcPr>
          <w:p>
            <w:pPr>
              <w:pStyle w:val="Normal"/>
              <w:snapToGrid w:val="false"/>
              <w:rPr/>
            </w:pPr>
            <w:r>
              <w:rPr/>
            </w:r>
          </w:p>
        </w:tc>
        <w:tc>
          <w:tcPr>
            <w:tcW w:w="8370" w:type="dxa"/>
            <w:tcBorders/>
          </w:tcPr>
          <w:p>
            <w:pPr>
              <w:pStyle w:val="CompanyName"/>
              <w:spacing w:lineRule="atLeast" w:line="220" w:before="220" w:after="0"/>
              <w:jc w:val="start"/>
              <w:rPr/>
            </w:pPr>
            <w:r>
              <w:rPr/>
              <w:t>1990 - 1992</w:t>
              <w:tab/>
              <w:t>University of Houston</w:t>
              <w:tab/>
              <w:t>Houston, Texas</w:t>
            </w:r>
          </w:p>
          <w:p>
            <w:pPr>
              <w:pStyle w:val="JobTitle"/>
              <w:rPr>
                <w:b/>
              </w:rPr>
            </w:pPr>
            <w:r>
              <w:rPr>
                <w:b/>
              </w:rPr>
              <w:t>Executive Master of Business Administration (EMBA)</w:t>
            </w:r>
          </w:p>
          <w:p>
            <w:pPr>
              <w:pStyle w:val="CompanyName"/>
              <w:rPr/>
            </w:pPr>
            <w:r>
              <w:rPr/>
              <w:t>1973 - 1977</w:t>
              <w:tab/>
              <w:t>Southwestern University</w:t>
              <w:tab/>
              <w:t>Georgetown, Texas</w:t>
            </w:r>
          </w:p>
          <w:p>
            <w:pPr>
              <w:pStyle w:val="JobTitle"/>
              <w:spacing w:before="40" w:after="40"/>
              <w:rPr>
                <w:b/>
              </w:rPr>
            </w:pPr>
            <w:r>
              <w:rPr>
                <w:b/>
              </w:rPr>
              <w:t>Bachelor of Science</w:t>
            </w:r>
          </w:p>
        </w:tc>
        <w:tc>
          <w:tcPr>
            <w:tcW w:w="90" w:type="dxa"/>
            <w:tcBorders/>
            <w:tcMar>
              <w:start w:w="0" w:type="dxa"/>
              <w:end w:w="0" w:type="dxa"/>
            </w:tcMar>
          </w:tcPr>
          <w:p>
            <w:pPr>
              <w:pStyle w:val="Normal"/>
              <w:snapToGrid w:val="false"/>
              <w:rPr>
                <w:b/>
              </w:rPr>
            </w:pPr>
            <w:r>
              <w:rPr>
                <w:b/>
              </w:rPr>
            </w:r>
          </w:p>
        </w:tc>
      </w:tr>
      <w:tr>
        <w:trPr/>
        <w:tc>
          <w:tcPr>
            <w:tcW w:w="9558" w:type="dxa"/>
            <w:gridSpan w:val="2"/>
            <w:tcBorders/>
          </w:tcPr>
          <w:p>
            <w:pPr>
              <w:pStyle w:val="SectionTitle"/>
              <w:spacing w:before="220" w:after="0"/>
              <w:rPr>
                <w:b/>
              </w:rPr>
            </w:pPr>
            <w:r>
              <w:rPr>
                <w:b/>
              </w:rPr>
              <w:t>Languages</w:t>
            </w:r>
          </w:p>
        </w:tc>
        <w:tc>
          <w:tcPr>
            <w:tcW w:w="90" w:type="dxa"/>
            <w:tcBorders/>
            <w:tcMar>
              <w:start w:w="0" w:type="dxa"/>
              <w:end w:w="0" w:type="dxa"/>
            </w:tcMar>
          </w:tcPr>
          <w:p>
            <w:pPr>
              <w:pStyle w:val="Normal"/>
              <w:snapToGrid w:val="false"/>
              <w:rPr>
                <w:b/>
              </w:rPr>
            </w:pPr>
            <w:r>
              <w:rPr>
                <w:b/>
              </w:rPr>
            </w:r>
          </w:p>
        </w:tc>
      </w:tr>
      <w:tr>
        <w:trPr/>
        <w:tc>
          <w:tcPr>
            <w:tcW w:w="1188" w:type="dxa"/>
            <w:tcBorders/>
          </w:tcPr>
          <w:p>
            <w:pPr>
              <w:pStyle w:val="Normal"/>
              <w:snapToGrid w:val="false"/>
              <w:rPr/>
            </w:pPr>
            <w:r>
              <w:rPr/>
            </w:r>
          </w:p>
        </w:tc>
        <w:tc>
          <w:tcPr>
            <w:tcW w:w="8370" w:type="dxa"/>
            <w:tcBorders/>
          </w:tcPr>
          <w:p>
            <w:pPr>
              <w:pStyle w:val="Objective"/>
              <w:snapToGrid w:val="false"/>
              <w:spacing w:before="60" w:after="0"/>
              <w:rPr/>
            </w:pPr>
            <w:r>
              <w:rPr/>
            </w:r>
          </w:p>
          <w:p>
            <w:pPr>
              <w:pStyle w:val="Objective"/>
              <w:spacing w:before="120" w:after="0"/>
              <w:rPr/>
            </w:pPr>
            <w:r>
              <w:rPr/>
              <w:t>Spanish and English - 100%</w:t>
            </w:r>
          </w:p>
          <w:p>
            <w:pPr>
              <w:pStyle w:val="BodyText"/>
              <w:spacing w:before="120" w:after="0"/>
              <w:rPr/>
            </w:pPr>
            <w:r>
              <w:rPr/>
              <w:t>Portuguese - 25%</w:t>
            </w:r>
          </w:p>
        </w:tc>
        <w:tc>
          <w:tcPr>
            <w:tcW w:w="90" w:type="dxa"/>
            <w:tcBorders/>
            <w:tcMar>
              <w:start w:w="0" w:type="dxa"/>
              <w:end w:w="0" w:type="dxa"/>
            </w:tcMar>
          </w:tcPr>
          <w:p>
            <w:pPr>
              <w:pStyle w:val="Normal"/>
              <w:snapToGrid w:val="false"/>
              <w:rPr/>
            </w:pPr>
            <w:r>
              <w:rPr/>
            </w:r>
          </w:p>
        </w:tc>
      </w:tr>
      <w:tr>
        <w:trPr/>
        <w:tc>
          <w:tcPr>
            <w:tcW w:w="9558" w:type="dxa"/>
            <w:gridSpan w:val="2"/>
            <w:tcBorders/>
          </w:tcPr>
          <w:p>
            <w:pPr>
              <w:pStyle w:val="SectionTitle"/>
              <w:spacing w:before="220" w:after="0"/>
              <w:rPr>
                <w:b/>
              </w:rPr>
            </w:pPr>
            <w:r>
              <w:rPr>
                <w:b/>
              </w:rPr>
              <w:t>Community activities</w:t>
            </w:r>
          </w:p>
        </w:tc>
        <w:tc>
          <w:tcPr>
            <w:tcW w:w="90" w:type="dxa"/>
            <w:tcBorders/>
            <w:tcMar>
              <w:start w:w="0" w:type="dxa"/>
              <w:end w:w="0" w:type="dxa"/>
            </w:tcMar>
          </w:tcPr>
          <w:p>
            <w:pPr>
              <w:pStyle w:val="Normal"/>
              <w:snapToGrid w:val="false"/>
              <w:rPr>
                <w:b/>
              </w:rPr>
            </w:pPr>
            <w:r>
              <w:rPr>
                <w:b/>
              </w:rPr>
            </w:r>
          </w:p>
        </w:tc>
      </w:tr>
      <w:tr>
        <w:trPr/>
        <w:tc>
          <w:tcPr>
            <w:tcW w:w="1188" w:type="dxa"/>
            <w:tcBorders/>
          </w:tcPr>
          <w:p>
            <w:pPr>
              <w:pStyle w:val="Normal"/>
              <w:snapToGrid w:val="false"/>
              <w:rPr/>
            </w:pPr>
            <w:r>
              <w:rPr/>
            </w:r>
          </w:p>
        </w:tc>
        <w:tc>
          <w:tcPr>
            <w:tcW w:w="8370" w:type="dxa"/>
            <w:tcBorders/>
          </w:tcPr>
          <w:p>
            <w:pPr>
              <w:pStyle w:val="Objective"/>
              <w:snapToGrid w:val="false"/>
              <w:spacing w:before="60" w:after="0"/>
              <w:rPr/>
            </w:pPr>
            <w:r>
              <w:rPr/>
            </w:r>
          </w:p>
          <w:p>
            <w:pPr>
              <w:pStyle w:val="Objective"/>
              <w:spacing w:lineRule="atLeast" w:line="120" w:before="120" w:after="120"/>
              <w:rPr/>
            </w:pPr>
            <w:r>
              <w:rPr/>
              <w:t xml:space="preserve">Life Member - </w:t>
            </w:r>
            <w:r>
              <w:rPr>
                <w:b/>
              </w:rPr>
              <w:t>Houston Livestock Show and Rodeo</w:t>
            </w:r>
          </w:p>
          <w:p>
            <w:pPr>
              <w:pStyle w:val="BodyText"/>
              <w:spacing w:lineRule="atLeast" w:line="120" w:before="120" w:after="120"/>
              <w:rPr/>
            </w:pPr>
            <w:r>
              <w:rPr/>
              <w:t xml:space="preserve">Member, International Committee - </w:t>
            </w:r>
            <w:r>
              <w:rPr>
                <w:b/>
              </w:rPr>
              <w:t>Houston Livestock Show and Rodeo</w:t>
            </w:r>
          </w:p>
          <w:p>
            <w:pPr>
              <w:pStyle w:val="Objective"/>
              <w:spacing w:lineRule="atLeast" w:line="120" w:before="120" w:after="120"/>
              <w:rPr/>
            </w:pPr>
            <w:r>
              <w:rPr/>
              <w:t xml:space="preserve">Member, Americas Business Forum Committee - </w:t>
            </w:r>
            <w:r>
              <w:rPr>
                <w:b/>
              </w:rPr>
              <w:t>Greater Houston Partnership</w:t>
            </w:r>
          </w:p>
          <w:p>
            <w:pPr>
              <w:pStyle w:val="Objective"/>
              <w:spacing w:lineRule="atLeast" w:line="120" w:before="120" w:after="120"/>
              <w:rPr/>
            </w:pPr>
            <w:r>
              <w:rPr/>
              <w:t xml:space="preserve">Member, CEO Roundtable - </w:t>
            </w:r>
            <w:r>
              <w:rPr>
                <w:b/>
              </w:rPr>
              <w:t>Greater Houston Partnership</w:t>
            </w:r>
          </w:p>
          <w:p>
            <w:pPr>
              <w:pStyle w:val="BodyText"/>
              <w:spacing w:lineRule="atLeast" w:line="120" w:before="120" w:after="120"/>
              <w:rPr/>
            </w:pPr>
            <w:r>
              <w:rPr/>
              <w:t xml:space="preserve">Board of Directors, Houston Chapter - </w:t>
            </w:r>
            <w:r>
              <w:rPr>
                <w:b/>
              </w:rPr>
              <w:t>Coastal Conservation Association (CCA)</w:t>
            </w:r>
          </w:p>
          <w:p>
            <w:pPr>
              <w:pStyle w:val="BodyText"/>
              <w:spacing w:lineRule="atLeast" w:line="120" w:before="120" w:after="120"/>
              <w:rPr/>
            </w:pPr>
            <w:r>
              <w:rPr/>
              <w:t xml:space="preserve">Board of Directors, Houston Chapter - </w:t>
            </w:r>
            <w:r>
              <w:rPr>
                <w:b/>
              </w:rPr>
              <w:t>Quail Unlimited (QU)</w:t>
            </w:r>
          </w:p>
        </w:tc>
        <w:tc>
          <w:tcPr>
            <w:tcW w:w="90" w:type="dxa"/>
            <w:tcBorders/>
            <w:tcMar>
              <w:start w:w="0" w:type="dxa"/>
              <w:end w:w="0" w:type="dxa"/>
            </w:tcMar>
          </w:tcPr>
          <w:p>
            <w:pPr>
              <w:pStyle w:val="Normal"/>
              <w:snapToGrid w:val="false"/>
              <w:rPr/>
            </w:pPr>
            <w:r>
              <w:rPr/>
            </w:r>
          </w:p>
        </w:tc>
      </w:tr>
      <w:tr>
        <w:trPr/>
        <w:tc>
          <w:tcPr>
            <w:tcW w:w="9558" w:type="dxa"/>
            <w:gridSpan w:val="2"/>
            <w:tcBorders/>
          </w:tcPr>
          <w:p>
            <w:pPr>
              <w:pStyle w:val="SectionTitle"/>
              <w:spacing w:before="220" w:after="0"/>
              <w:rPr>
                <w:b/>
              </w:rPr>
            </w:pPr>
            <w:r>
              <w:rPr>
                <w:b/>
              </w:rPr>
              <w:t>Computer Skills</w:t>
            </w:r>
          </w:p>
        </w:tc>
        <w:tc>
          <w:tcPr>
            <w:tcW w:w="90" w:type="dxa"/>
            <w:tcBorders/>
            <w:tcMar>
              <w:start w:w="0" w:type="dxa"/>
              <w:end w:w="0" w:type="dxa"/>
            </w:tcMar>
          </w:tcPr>
          <w:p>
            <w:pPr>
              <w:pStyle w:val="Normal"/>
              <w:snapToGrid w:val="false"/>
              <w:rPr>
                <w:b/>
              </w:rPr>
            </w:pPr>
            <w:r>
              <w:rPr>
                <w:b/>
              </w:rPr>
            </w:r>
          </w:p>
        </w:tc>
      </w:tr>
      <w:tr>
        <w:trPr/>
        <w:tc>
          <w:tcPr>
            <w:tcW w:w="1188" w:type="dxa"/>
            <w:tcBorders/>
          </w:tcPr>
          <w:p>
            <w:pPr>
              <w:pStyle w:val="Normal"/>
              <w:snapToGrid w:val="false"/>
              <w:rPr/>
            </w:pPr>
            <w:r>
              <w:rPr/>
            </w:r>
          </w:p>
        </w:tc>
        <w:tc>
          <w:tcPr>
            <w:tcW w:w="8370" w:type="dxa"/>
            <w:tcBorders/>
          </w:tcPr>
          <w:p>
            <w:pPr>
              <w:pStyle w:val="Objective"/>
              <w:snapToGrid w:val="false"/>
              <w:spacing w:before="60" w:after="220"/>
              <w:rPr/>
            </w:pPr>
            <w:r>
              <w:rPr/>
            </w:r>
          </w:p>
          <w:p>
            <w:pPr>
              <w:pStyle w:val="Objective"/>
              <w:spacing w:lineRule="atLeast" w:line="220" w:before="60" w:after="220"/>
              <w:rPr/>
            </w:pPr>
            <w:r>
              <w:rPr/>
              <w:t>Windows, Excel, WordPerfect, Outlook, QuickBooks Pro, PowerPoint, BizPlan Builder, etc.</w:t>
            </w:r>
          </w:p>
        </w:tc>
        <w:tc>
          <w:tcPr>
            <w:tcW w:w="90" w:type="dxa"/>
            <w:tcBorders/>
            <w:tcMar>
              <w:start w:w="0" w:type="dxa"/>
              <w:end w:w="0" w:type="dxa"/>
            </w:tcMar>
          </w:tcPr>
          <w:p>
            <w:pPr>
              <w:pStyle w:val="Normal"/>
              <w:snapToGrid w:val="false"/>
              <w:rPr/>
            </w:pPr>
            <w:r>
              <w:rPr/>
            </w:r>
          </w:p>
        </w:tc>
      </w:tr>
    </w:tbl>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numFmt w:val="bullet"/>
      <w:lvlText w:val=""/>
      <w:lvlJc w:val="start"/>
      <w:pPr>
        <w:tabs>
          <w:tab w:val="num" w:pos="240"/>
        </w:tabs>
        <w:ind w:start="240" w:hanging="240"/>
      </w:pPr>
      <w:rPr>
        <w:rFonts w:ascii="Wingdings" w:hAnsi="Wingdings" w:cs="Wingdings" w:hint="default"/>
        <w:sz w:val="12"/>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ResumeStyle" w:val="2"/>
    <w:docVar w:name="Resume Post Wizard Ballo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Garamond" w:hAnsi="Garamond" w:eastAsia="Times New Roman" w:cs="Garamond"/>
      <w:color w:val="auto"/>
      <w:sz w:val="22"/>
      <w:szCs w:val="20"/>
      <w:lang w:val="en-US" w:bidi="ar-SA" w:eastAsia="zh-CN"/>
    </w:rPr>
  </w:style>
  <w:style w:type="paragraph" w:styleId="Heading1">
    <w:name w:val="heading 1"/>
    <w:basedOn w:val="HeadingBase"/>
    <w:next w:val="BodyText"/>
    <w:qFormat/>
    <w:pPr>
      <w:numPr>
        <w:ilvl w:val="0"/>
        <w:numId w:val="1"/>
      </w:numPr>
      <w:ind w:hanging="0" w:start="-2160" w:end="0"/>
      <w:jc w:val="start"/>
      <w:outlineLvl w:val="0"/>
    </w:pPr>
    <w:rPr>
      <w:spacing w:val="20"/>
      <w:kern w:val="2"/>
      <w:sz w:val="23"/>
    </w:rPr>
  </w:style>
  <w:style w:type="paragraph" w:styleId="Heading2">
    <w:name w:val="heading 2"/>
    <w:basedOn w:val="HeadingBase"/>
    <w:next w:val="BodyText"/>
    <w:qFormat/>
    <w:pPr>
      <w:numPr>
        <w:ilvl w:val="1"/>
        <w:numId w:val="1"/>
      </w:numPr>
      <w:jc w:val="start"/>
      <w:outlineLvl w:val="1"/>
    </w:pPr>
    <w:rPr>
      <w:spacing w:val="5"/>
      <w:sz w:val="20"/>
    </w:rPr>
  </w:style>
  <w:style w:type="paragraph" w:styleId="Heading3">
    <w:name w:val="heading 3"/>
    <w:basedOn w:val="HeadingBase"/>
    <w:next w:val="BodyText"/>
    <w:qFormat/>
    <w:pPr>
      <w:numPr>
        <w:ilvl w:val="2"/>
        <w:numId w:val="1"/>
      </w:numPr>
      <w:spacing w:before="240" w:after="220"/>
      <w:jc w:val="start"/>
      <w:outlineLvl w:val="2"/>
    </w:pPr>
    <w:rPr>
      <w:i/>
      <w:spacing w:val="-2"/>
      <w:sz w:val="20"/>
    </w:rPr>
  </w:style>
  <w:style w:type="paragraph" w:styleId="Heading4">
    <w:name w:val="heading 4"/>
    <w:basedOn w:val="HeadingBase"/>
    <w:next w:val="BodyText"/>
    <w:qFormat/>
    <w:pPr>
      <w:numPr>
        <w:ilvl w:val="3"/>
        <w:numId w:val="1"/>
      </w:numPr>
      <w:spacing w:before="240" w:after="0"/>
      <w:jc w:val="start"/>
      <w:outlineLvl w:val="3"/>
    </w:pPr>
    <w:rPr>
      <w:i/>
      <w:caps w:val="false"/>
      <w:smallCaps w:val="false"/>
      <w:spacing w:val="5"/>
      <w:sz w:val="24"/>
    </w:rPr>
  </w:style>
  <w:style w:type="paragraph" w:styleId="Heading5">
    <w:name w:val="heading 5"/>
    <w:basedOn w:val="HeadingBase"/>
    <w:next w:val="BodyText"/>
    <w:qFormat/>
    <w:pPr>
      <w:numPr>
        <w:ilvl w:val="4"/>
        <w:numId w:val="1"/>
      </w:numPr>
      <w:spacing w:before="240" w:after="220"/>
      <w:jc w:val="start"/>
      <w:outlineLvl w:val="4"/>
    </w:pPr>
    <w:rPr>
      <w:b/>
      <w:spacing w:val="20"/>
      <w:sz w:val="18"/>
    </w:rPr>
  </w:style>
  <w:style w:type="paragraph" w:styleId="Heading6">
    <w:name w:val="heading 6"/>
    <w:basedOn w:val="Normal"/>
    <w:next w:val="Normal"/>
    <w:qFormat/>
    <w:pPr>
      <w:numPr>
        <w:ilvl w:val="5"/>
        <w:numId w:val="1"/>
      </w:numPr>
      <w:spacing w:lineRule="atLeast" w:line="240" w:before="240" w:after="0"/>
      <w:outlineLvl w:val="5"/>
    </w:pPr>
    <w:rPr>
      <w:b/>
    </w:rPr>
  </w:style>
  <w:style w:type="character" w:styleId="WW8Num3z0">
    <w:name w:val="WW8Num3z0"/>
    <w:qFormat/>
    <w:rPr>
      <w:rFonts w:ascii="Wingdings" w:hAnsi="Wingdings" w:cs="Wingdings"/>
    </w:rPr>
  </w:style>
  <w:style w:type="character" w:styleId="WW8Num5z0">
    <w:name w:val="WW8Num5z0"/>
    <w:qFormat/>
    <w:rPr>
      <w:rFonts w:ascii="Wingdings" w:hAnsi="Wingdings" w:cs="Wingdings"/>
    </w:rPr>
  </w:style>
  <w:style w:type="character" w:styleId="WW8Num7z0">
    <w:name w:val="WW8Num7z0"/>
    <w:qFormat/>
    <w:rPr>
      <w:rFonts w:ascii="Wingdings" w:hAnsi="Wingdings" w:cs="Wingdings"/>
    </w:rPr>
  </w:style>
  <w:style w:type="character" w:styleId="WW8Num9z0">
    <w:name w:val="WW8Num9z0"/>
    <w:qFormat/>
    <w:rPr>
      <w:rFonts w:ascii="Wingdings" w:hAnsi="Wingdings" w:cs="Wingdings"/>
    </w:rPr>
  </w:style>
  <w:style w:type="character" w:styleId="WW8Num12z0">
    <w:name w:val="WW8Num12z0"/>
    <w:qFormat/>
    <w:rPr>
      <w:rFonts w:ascii="Wingdings" w:hAnsi="Wingdings" w:cs="Wingdings"/>
      <w:sz w:val="16"/>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rPr>
  </w:style>
  <w:style w:type="character" w:styleId="WW8NumSt1z0">
    <w:name w:val="WW8NumSt1z0"/>
    <w:qFormat/>
    <w:rPr>
      <w:rFonts w:ascii="Wingdings" w:hAnsi="Wingdings" w:cs="Wingdings"/>
      <w:sz w:val="12"/>
    </w:rPr>
  </w:style>
  <w:style w:type="character" w:styleId="WW8NumSt2z0">
    <w:name w:val="WW8NumSt2z0"/>
    <w:qFormat/>
    <w:rPr>
      <w:rFonts w:ascii="Wingdings" w:hAnsi="Wingdings" w:cs="Wingdings"/>
      <w:sz w:val="12"/>
    </w:rPr>
  </w:style>
  <w:style w:type="character" w:styleId="WW8NumSt3z0">
    <w:name w:val="WW8NumSt3z0"/>
    <w:qFormat/>
    <w:rPr>
      <w:rFonts w:ascii="Wingdings" w:hAnsi="Wingdings" w:cs="Wingdings"/>
      <w:sz w:val="12"/>
    </w:rPr>
  </w:style>
  <w:style w:type="character" w:styleId="WW8NumSt4z0">
    <w:name w:val="WW8NumSt4z0"/>
    <w:qFormat/>
    <w:rPr>
      <w:rFonts w:ascii="Wingdings" w:hAnsi="Wingdings" w:cs="Wingdings"/>
      <w:sz w:val="12"/>
    </w:rPr>
  </w:style>
  <w:style w:type="character" w:styleId="WW8NumSt5z0">
    <w:name w:val="WW8NumSt5z0"/>
    <w:qFormat/>
    <w:rPr>
      <w:rFonts w:ascii="Wingdings" w:hAnsi="Wingdings" w:cs="Wingdings"/>
      <w:sz w:val="12"/>
    </w:rPr>
  </w:style>
  <w:style w:type="character" w:styleId="WW8NumSt6z0">
    <w:name w:val="WW8NumSt6z0"/>
    <w:qFormat/>
    <w:rPr>
      <w:rFonts w:ascii="Wingdings" w:hAnsi="Wingdings" w:cs="Wingdings"/>
      <w:sz w:val="12"/>
    </w:rPr>
  </w:style>
  <w:style w:type="character" w:styleId="WW8NumSt7z0">
    <w:name w:val="WW8NumSt7z0"/>
    <w:qFormat/>
    <w:rPr>
      <w:rFonts w:ascii="Wingdings" w:hAnsi="Wingdings" w:cs="Wingdings"/>
    </w:rPr>
  </w:style>
  <w:style w:type="character" w:styleId="WW8NumSt8z0">
    <w:name w:val="WW8NumSt8z0"/>
    <w:qFormat/>
    <w:rPr>
      <w:rFonts w:ascii="Wingdings" w:hAnsi="Wingdings" w:cs="Wingdings"/>
      <w:sz w:val="12"/>
    </w:rPr>
  </w:style>
  <w:style w:type="character" w:styleId="WW8NumSt9z0">
    <w:name w:val="WW8NumSt9z0"/>
    <w:qFormat/>
    <w:rPr>
      <w:rFonts w:ascii="Wingdings" w:hAnsi="Wingdings" w:cs="Wingdings"/>
      <w:sz w:val="12"/>
    </w:rPr>
  </w:style>
  <w:style w:type="character" w:styleId="WW8NumSt10z0">
    <w:name w:val="WW8NumSt10z0"/>
    <w:qFormat/>
    <w:rPr>
      <w:rFonts w:ascii="Wingdings" w:hAnsi="Wingdings" w:cs="Wingdings"/>
      <w:sz w:val="12"/>
    </w:rPr>
  </w:style>
  <w:style w:type="character" w:styleId="WW8NumSt11z0">
    <w:name w:val="WW8NumSt11z0"/>
    <w:qFormat/>
    <w:rPr>
      <w:rFonts w:ascii="Wingdings" w:hAnsi="Wingdings" w:cs="Wingdings"/>
      <w:sz w:val="12"/>
    </w:rPr>
  </w:style>
  <w:style w:type="character" w:styleId="WW8NumSt12z0">
    <w:name w:val="WW8NumSt12z0"/>
    <w:qFormat/>
    <w:rPr>
      <w:rFonts w:ascii="Times" w:hAnsi="Times" w:cs="Times"/>
      <w:sz w:val="12"/>
    </w:rPr>
  </w:style>
  <w:style w:type="character" w:styleId="WW8NumSt13z0">
    <w:name w:val="WW8NumSt13z0"/>
    <w:qFormat/>
    <w:rPr>
      <w:rFonts w:ascii="Tms Rmn" w:hAnsi="Tms Rmn" w:cs="Tms Rmn"/>
      <w:sz w:val="16"/>
    </w:rPr>
  </w:style>
  <w:style w:type="character" w:styleId="WW8NumSt14z0">
    <w:name w:val="WW8NumSt14z0"/>
    <w:qFormat/>
    <w:rPr>
      <w:rFonts w:ascii="Tms Rmn" w:hAnsi="Tms Rmn" w:cs="Tms Rmn"/>
      <w:sz w:val="12"/>
    </w:rPr>
  </w:style>
  <w:style w:type="character" w:styleId="WW8NumSt15z0">
    <w:name w:val="WW8NumSt15z0"/>
    <w:qFormat/>
    <w:rPr>
      <w:rFonts w:ascii="Tms Rmn" w:hAnsi="Tms Rmn" w:cs="Tms Rmn"/>
      <w:sz w:val="12"/>
    </w:rPr>
  </w:style>
  <w:style w:type="character" w:styleId="WW8NumSt16z0">
    <w:name w:val="WW8NumSt16z0"/>
    <w:qFormat/>
    <w:rPr>
      <w:rFonts w:ascii="Tms Rmn" w:hAnsi="Tms Rmn" w:cs="Tms Rmn"/>
      <w:sz w:val="12"/>
    </w:rPr>
  </w:style>
  <w:style w:type="character" w:styleId="WW8NumSt17z0">
    <w:name w:val="WW8NumSt17z0"/>
    <w:qFormat/>
    <w:rPr>
      <w:rFonts w:ascii="Tms Rmn" w:hAnsi="Tms Rmn" w:cs="Tms Rmn"/>
      <w:sz w:val="12"/>
    </w:rPr>
  </w:style>
  <w:style w:type="character" w:styleId="WW8NumSt28z0">
    <w:name w:val="WW8NumSt28z0"/>
    <w:qFormat/>
    <w:rPr>
      <w:rFonts w:ascii="Times New Roman" w:hAnsi="Times New Roman" w:cs="Times New Roman"/>
      <w:sz w:val="12"/>
    </w:rPr>
  </w:style>
  <w:style w:type="character" w:styleId="DefaultParagraphFont">
    <w:name w:val="Default Paragraph Font"/>
    <w:qFormat/>
    <w:rPr/>
  </w:style>
  <w:style w:type="character" w:styleId="Lead-inEmphasis">
    <w:name w:val="Lead-in Emphasis"/>
    <w:qFormat/>
    <w:rPr>
      <w:rFonts w:ascii="Arial Black" w:hAnsi="Arial Black" w:cs="Arial Black"/>
      <w:spacing w:val="-6"/>
      <w:sz w:val="18"/>
    </w:rPr>
  </w:style>
  <w:style w:type="character" w:styleId="PageNumber">
    <w:name w:val="page number"/>
    <w:rPr>
      <w:sz w:val="24"/>
    </w:rPr>
  </w:style>
  <w:style w:type="character" w:styleId="Emphasis">
    <w:name w:val="Emphasis"/>
    <w:qFormat/>
    <w:rPr>
      <w:rFonts w:ascii="Garamond" w:hAnsi="Garamond" w:cs="Garamond"/>
      <w:caps/>
      <w:spacing w:val="0"/>
      <w:sz w:val="18"/>
    </w:rPr>
  </w:style>
  <w:style w:type="character" w:styleId="Job">
    <w:name w:val="Job"/>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240" w:after="240"/>
    </w:pPr>
    <w:rPr>
      <w:caps/>
    </w:rPr>
  </w:style>
  <w:style w:type="paragraph" w:styleId="HeaderBase">
    <w:name w:val="Header Base"/>
    <w:basedOn w:val="Normal"/>
    <w:qFormat/>
    <w:pPr>
      <w:spacing w:lineRule="atLeast" w:line="220" w:before="220" w:after="220"/>
      <w:ind w:hanging="0" w:start="-2160" w:end="0"/>
    </w:pPr>
    <w:rPr>
      <w:caps/>
    </w:rPr>
  </w:style>
  <w:style w:type="paragraph" w:styleId="DocumentLabel">
    <w:name w:val="Document Label"/>
    <w:basedOn w:val="Normal"/>
    <w:next w:val="SectionTitle"/>
    <w:qFormat/>
    <w:pPr>
      <w:spacing w:before="0" w:after="220"/>
    </w:pPr>
    <w:rPr>
      <w:spacing w:val="-20"/>
      <w:sz w:val="48"/>
    </w:rPr>
  </w:style>
  <w:style w:type="paragraph" w:styleId="SectionTitle">
    <w:name w:val="Section Title"/>
    <w:basedOn w:val="Normal"/>
    <w:next w:val="Objective"/>
    <w:qFormat/>
    <w:pPr>
      <w:pBdr>
        <w:bottom w:val="single" w:sz="6" w:space="1" w:color="808080"/>
      </w:pBdr>
      <w:spacing w:lineRule="atLeast" w:line="220" w:before="220" w:after="0"/>
      <w:jc w:val="start"/>
    </w:pPr>
    <w:rPr>
      <w:caps/>
      <w:spacing w:val="15"/>
      <w:sz w:val="20"/>
    </w:rPr>
  </w:style>
  <w:style w:type="paragraph" w:styleId="Objective">
    <w:name w:val="Objective"/>
    <w:basedOn w:val="Normal"/>
    <w:next w:val="BodyText"/>
    <w:qFormat/>
    <w:pPr>
      <w:spacing w:lineRule="atLeast" w:line="220" w:before="60" w:after="220"/>
    </w:pPr>
    <w:rPr/>
  </w:style>
  <w:style w:type="paragraph" w:styleId="CompanyName">
    <w:name w:val="Company Name"/>
    <w:basedOn w:val="Normal"/>
    <w:next w:val="JobTitle"/>
    <w:qFormat/>
    <w:pPr>
      <w:tabs>
        <w:tab w:val="clear" w:pos="720"/>
        <w:tab w:val="left" w:pos="1440" w:leader="none"/>
        <w:tab w:val="right" w:pos="6480" w:leader="none"/>
      </w:tabs>
      <w:spacing w:lineRule="atLeast" w:line="220" w:before="220" w:after="0"/>
      <w:jc w:val="start"/>
    </w:pPr>
    <w:rPr/>
  </w:style>
  <w:style w:type="paragraph" w:styleId="JobTitle">
    <w:name w:val="Job Title"/>
    <w:next w:val="Achievement"/>
    <w:qFormat/>
    <w:pPr>
      <w:widowControl/>
      <w:bidi w:val="0"/>
      <w:spacing w:lineRule="atLeast" w:line="220" w:before="40" w:after="40"/>
    </w:pPr>
    <w:rPr>
      <w:rFonts w:ascii="Garamond" w:hAnsi="Garamond" w:eastAsia="Times New Roman" w:cs="Garamond"/>
      <w:i/>
      <w:color w:val="auto"/>
      <w:spacing w:val="5"/>
      <w:sz w:val="23"/>
      <w:szCs w:val="20"/>
      <w:lang w:val="en-US" w:bidi="ar-SA" w:eastAsia="zh-CN"/>
    </w:rPr>
  </w:style>
  <w:style w:type="paragraph" w:styleId="Achievement">
    <w:name w:val="Achievement"/>
    <w:basedOn w:val="BodyText"/>
    <w:qFormat/>
    <w:pPr>
      <w:numPr>
        <w:ilvl w:val="0"/>
        <w:numId w:val="6"/>
      </w:numPr>
      <w:spacing w:before="0" w:after="60"/>
    </w:pPr>
    <w:rPr/>
  </w:style>
  <w:style w:type="paragraph" w:styleId="Name">
    <w:name w:val="Name"/>
    <w:basedOn w:val="Normal"/>
    <w:next w:val="Normal"/>
    <w:qFormat/>
    <w:pPr>
      <w:spacing w:lineRule="atLeast" w:line="240" w:before="0" w:after="440"/>
      <w:jc w:val="center"/>
    </w:pPr>
    <w:rPr>
      <w:caps/>
      <w:spacing w:val="80"/>
      <w:sz w:val="44"/>
      <w:vertAlign w:val="superscript"/>
    </w:rPr>
  </w:style>
  <w:style w:type="paragraph" w:styleId="Date">
    <w:name w:val="Date"/>
    <w:basedOn w:val="BodyText"/>
    <w:qFormat/>
    <w:pPr>
      <w:keepNext w:val="true"/>
    </w:pPr>
    <w:rPr/>
  </w:style>
  <w:style w:type="paragraph" w:styleId="CityState">
    <w:name w:val="City/State"/>
    <w:basedOn w:val="BodyText"/>
    <w:next w:val="BodyText"/>
    <w:qFormat/>
    <w:pPr>
      <w:keepNext w:val="true"/>
    </w:pPr>
    <w:rPr/>
  </w:style>
  <w:style w:type="paragraph" w:styleId="Institution">
    <w:name w:val="Institution"/>
    <w:basedOn w:val="Normal"/>
    <w:next w:val="Achievement"/>
    <w:qFormat/>
    <w:pPr>
      <w:tabs>
        <w:tab w:val="clear" w:pos="720"/>
        <w:tab w:val="left" w:pos="1440" w:leader="none"/>
        <w:tab w:val="right" w:pos="6480" w:leader="none"/>
      </w:tabs>
      <w:spacing w:lineRule="atLeast" w:line="220" w:before="60" w:after="0"/>
      <w:jc w:val="star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Base"/>
    <w:pPr/>
    <w:rPr/>
  </w:style>
  <w:style w:type="paragraph" w:styleId="Footer">
    <w:name w:val="footer"/>
    <w:basedOn w:val="HeaderBase"/>
    <w:pPr>
      <w:tabs>
        <w:tab w:val="clear" w:pos="720"/>
        <w:tab w:val="right" w:pos="7320" w:leader="none"/>
      </w:tabs>
      <w:spacing w:lineRule="atLeast" w:line="240"/>
      <w:ind w:hanging="0" w:start="-2160" w:end="-840"/>
      <w:jc w:val="start"/>
    </w:pPr>
    <w:rPr/>
  </w:style>
  <w:style w:type="paragraph" w:styleId="Address1">
    <w:name w:val="Address 1"/>
    <w:basedOn w:val="Normal"/>
    <w:qFormat/>
    <w:pPr>
      <w:spacing w:lineRule="atLeast" w:line="160"/>
      <w:jc w:val="center"/>
    </w:pPr>
    <w:rPr>
      <w:caps/>
      <w:spacing w:val="30"/>
      <w:sz w:val="15"/>
    </w:rPr>
  </w:style>
  <w:style w:type="paragraph" w:styleId="SectionSubtitle">
    <w:name w:val="Section Subtitle"/>
    <w:basedOn w:val="SectionTitle"/>
    <w:next w:val="Normal"/>
    <w:qFormat/>
    <w:pPr/>
    <w:rPr>
      <w:i/>
      <w:caps w:val="false"/>
      <w:smallCaps w:val="false"/>
      <w:spacing w:val="10"/>
      <w:sz w:val="24"/>
    </w:rPr>
  </w:style>
  <w:style w:type="paragraph" w:styleId="Address2">
    <w:name w:val="Address 2"/>
    <w:basedOn w:val="Normal"/>
    <w:qFormat/>
    <w:pPr>
      <w:spacing w:lineRule="atLeast" w:line="160"/>
      <w:jc w:val="center"/>
    </w:pPr>
    <w:rPr>
      <w:caps/>
      <w:spacing w:val="30"/>
      <w:sz w:val="15"/>
    </w:rPr>
  </w:style>
  <w:style w:type="paragraph" w:styleId="BodyTextIndent">
    <w:name w:val="Body Text Indent"/>
    <w:basedOn w:val="BodyText"/>
    <w:pPr>
      <w:ind w:hanging="0" w:start="720" w:end="0"/>
    </w:pPr>
    <w:rPr/>
  </w:style>
  <w:style w:type="paragraph" w:styleId="PersonalData">
    <w:name w:val="Personal Data"/>
    <w:basedOn w:val="BodyText"/>
    <w:qFormat/>
    <w:pPr>
      <w:spacing w:lineRule="exact" w:line="240" w:before="0" w:after="120"/>
      <w:ind w:hanging="0" w:start="-1080" w:end="1080"/>
    </w:pPr>
    <w:rPr>
      <w:rFonts w:ascii="Arial" w:hAnsi="Arial" w:cs="Arial"/>
      <w:i/>
    </w:rPr>
  </w:style>
  <w:style w:type="paragraph" w:styleId="CompanyNameOne">
    <w:name w:val="Company Name One"/>
    <w:basedOn w:val="CompanyName"/>
    <w:next w:val="JobTitle"/>
    <w:qFormat/>
    <w:pPr>
      <w:spacing w:before="60" w:after="0"/>
    </w:pPr>
    <w:rPr/>
  </w:style>
  <w:style w:type="paragraph" w:styleId="NoTitle">
    <w:name w:val="No Title"/>
    <w:basedOn w:val="SectionTitle"/>
    <w:qFormat/>
    <w:pPr>
      <w:pBdr>
        <w:bottom w:val="nil"/>
      </w:pBdr>
    </w:pPr>
    <w:rPr/>
  </w:style>
  <w:style w:type="paragraph" w:styleId="PersonalInfo">
    <w:name w:val="Personal Info"/>
    <w:basedOn w:val="Achievement"/>
    <w:next w:val="Achievement"/>
    <w:qFormat/>
    <w:pPr>
      <w:spacing w:before="220" w:after="60"/>
      <w:ind w:hanging="245" w:start="245"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Resume Wizard</Template>
  <TotalTime>287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1999-04-03T15:50:00Z</dcterms:created>
  <dc:creator>JRM</dc:creator>
  <dc:description/>
  <dc:language>en-CA</dc:language>
  <cp:lastModifiedBy>James R. McCord</cp:lastModifiedBy>
  <cp:lastPrinted>2000-06-16T09:16:00Z</cp:lastPrinted>
  <dcterms:modified xsi:type="dcterms:W3CDTF">2000-06-16T11:53:00Z</dcterms:modified>
  <cp:revision>23</cp:revision>
  <dc:subject/>
  <dc:title>Resume</dc:title>
</cp:coreProperties>
</file>