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18" w:type="dxa"/>
        <w:jc w:val="start"/>
        <w:tblInd w:w="0" w:type="dxa"/>
        <w:tblLayout w:type="fixed"/>
        <w:tblCellMar>
          <w:top w:w="0" w:type="dxa"/>
          <w:start w:w="108" w:type="dxa"/>
          <w:bottom w:w="0" w:type="dxa"/>
          <w:end w:w="108" w:type="dxa"/>
        </w:tblCellMar>
      </w:tblPr>
      <w:tblGrid>
        <w:gridCol w:w="4632"/>
        <w:gridCol w:w="6096"/>
        <w:gridCol w:w="3690"/>
      </w:tblGrid>
      <w:tr>
        <w:trPr>
          <w:trHeight w:val="215" w:hRule="atLeast"/>
        </w:trPr>
        <w:tc>
          <w:tcPr>
            <w:tcW w:w="463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sz w:val="24"/>
              </w:rPr>
            </w:pPr>
            <w:r>
              <w:rPr>
                <w:rFonts w:cs="Tahoma" w:ascii="Tahoma" w:hAnsi="Tahoma"/>
                <w:b/>
                <w:sz w:val="24"/>
              </w:rPr>
              <w:t>Objective</w:t>
            </w:r>
          </w:p>
        </w:tc>
        <w:tc>
          <w:tcPr>
            <w:tcW w:w="6096"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Measure</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sz w:val="24"/>
              </w:rPr>
            </w:pPr>
            <w:r>
              <w:rPr>
                <w:rFonts w:cs="Tahoma" w:ascii="Tahoma" w:hAnsi="Tahoma"/>
                <w:b/>
                <w:sz w:val="24"/>
              </w:rPr>
              <w:t>Completion</w:t>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 xml:space="preserve">Meet jointly with Allan Weatherford and Ken Crowl monthly to review and process Best Practices Submission to the Controls &amp; Electrical Library. </w:t>
            </w:r>
          </w:p>
          <w:p>
            <w:pPr>
              <w:pStyle w:val="Normal"/>
              <w:rPr>
                <w:rFonts w:ascii="Tahoma" w:hAnsi="Tahoma" w:cs="Tahoma"/>
                <w:sz w:val="18"/>
              </w:rPr>
            </w:pPr>
            <w:r>
              <w:rPr>
                <w:rFonts w:cs="Tahoma" w:ascii="Tahoma" w:hAnsi="Tahoma"/>
                <w:sz w:val="18"/>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Best Practices Library</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Monthly and Year-end</w:t>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Assist the teams to maintain UAF on NNG at or below .3 % level</w:t>
            </w:r>
          </w:p>
          <w:p>
            <w:pPr>
              <w:pStyle w:val="Normal"/>
              <w:rPr>
                <w:rFonts w:ascii="Tahoma" w:hAnsi="Tahoma" w:cs="Tahoma"/>
                <w:sz w:val="18"/>
              </w:rPr>
            </w:pPr>
            <w:r>
              <w:rPr>
                <w:rFonts w:cs="Tahoma" w:ascii="Tahoma" w:hAnsi="Tahoma"/>
                <w:sz w:val="18"/>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UAF Reports</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Year-end</w:t>
            </w:r>
          </w:p>
          <w:p>
            <w:pPr>
              <w:pStyle w:val="Normal"/>
              <w:rPr>
                <w:rFonts w:ascii="Tahoma" w:hAnsi="Tahoma" w:cs="Tahoma"/>
                <w:sz w:val="18"/>
              </w:rPr>
            </w:pPr>
            <w:r>
              <w:rPr>
                <w:rFonts w:cs="Tahoma" w:ascii="Tahoma" w:hAnsi="Tahoma"/>
                <w:sz w:val="18"/>
              </w:rPr>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Assist the teams and continue the Data Review process to maintain UAF on TW at or below a .2% level</w:t>
            </w:r>
          </w:p>
          <w:p>
            <w:pPr>
              <w:pStyle w:val="Normal"/>
              <w:rPr>
                <w:rFonts w:ascii="Tahoma" w:hAnsi="Tahoma" w:cs="Tahoma"/>
                <w:sz w:val="18"/>
              </w:rPr>
            </w:pPr>
            <w:r>
              <w:rPr>
                <w:rFonts w:cs="Tahoma" w:ascii="Tahoma" w:hAnsi="Tahoma"/>
                <w:sz w:val="18"/>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UAF Reports</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Year-end</w:t>
            </w:r>
          </w:p>
          <w:p>
            <w:pPr>
              <w:pStyle w:val="Normal"/>
              <w:rPr>
                <w:rFonts w:ascii="Tahoma" w:hAnsi="Tahoma" w:cs="Tahoma"/>
                <w:sz w:val="18"/>
              </w:rPr>
            </w:pPr>
            <w:r>
              <w:rPr>
                <w:rFonts w:cs="Tahoma" w:ascii="Tahoma" w:hAnsi="Tahoma"/>
                <w:sz w:val="18"/>
              </w:rPr>
            </w:r>
          </w:p>
        </w:tc>
      </w:tr>
      <w:tr>
        <w:trPr/>
        <w:tc>
          <w:tcPr>
            <w:tcW w:w="463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Continuously improve Environmental Compliance Performance</w:t>
            </w:r>
          </w:p>
        </w:tc>
        <w:tc>
          <w:tcPr>
            <w:tcW w:w="6096"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Reduce the NOV’s and penalties received compared to 1999 for operating and construction activities. (1999 2-NOV’s  7-NOC’s $5000 paid in fines)</w:t>
            </w:r>
          </w:p>
          <w:p>
            <w:pPr>
              <w:pStyle w:val="Normal"/>
              <w:rPr>
                <w:rFonts w:ascii="Tahoma" w:hAnsi="Tahoma" w:cs="Tahoma"/>
              </w:rPr>
            </w:pPr>
            <w:r>
              <w:rPr>
                <w:rFonts w:cs="Tahoma" w:ascii="Tahoma" w:hAnsi="Tahoma"/>
              </w:rPr>
              <w:t>Achieve zero NOV’s for untimely reporting and permit administrative certification failures.</w:t>
            </w:r>
          </w:p>
          <w:p>
            <w:pPr>
              <w:pStyle w:val="Normal"/>
              <w:rPr>
                <w:rFonts w:ascii="Tahoma" w:hAnsi="Tahoma" w:cs="Tahoma"/>
              </w:rPr>
            </w:pPr>
            <w:r>
              <w:rPr>
                <w:rFonts w:cs="Tahoma" w:ascii="Tahoma" w:hAnsi="Tahoma"/>
              </w:rPr>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Year-end</w:t>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Control the O&amp;M and Capital Budgets within the latest approved plan – Support charges of $250,000 to customers outside GPG for services provided</w:t>
            </w:r>
          </w:p>
          <w:p>
            <w:pPr>
              <w:pStyle w:val="Normal"/>
              <w:rPr>
                <w:rFonts w:ascii="Tahoma" w:hAnsi="Tahoma" w:cs="Tahoma"/>
                <w:sz w:val="18"/>
              </w:rPr>
            </w:pPr>
            <w:r>
              <w:rPr>
                <w:rFonts w:cs="Tahoma" w:ascii="Tahoma" w:hAnsi="Tahoma"/>
                <w:sz w:val="18"/>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Financial Reports</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Year-end</w:t>
            </w:r>
          </w:p>
          <w:p>
            <w:pPr>
              <w:pStyle w:val="Normal"/>
              <w:rPr>
                <w:rFonts w:ascii="Tahoma" w:hAnsi="Tahoma" w:cs="Tahoma"/>
                <w:sz w:val="18"/>
              </w:rPr>
            </w:pPr>
            <w:r>
              <w:rPr>
                <w:rFonts w:cs="Tahoma" w:ascii="Tahoma" w:hAnsi="Tahoma"/>
                <w:sz w:val="18"/>
              </w:rPr>
            </w:r>
          </w:p>
        </w:tc>
      </w:tr>
      <w:tr>
        <w:trPr>
          <w:trHeight w:val="710" w:hRule="atLeast"/>
        </w:trPr>
        <w:tc>
          <w:tcPr>
            <w:tcW w:w="463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Provide support for submission of 2001 Capital Plan by providing Project Review Services</w:t>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Submission of Plan</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June 1, 2000</w:t>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Maintain accident (lost time, OSHA Reportable, and vehicle) frequency rates that rank in the top quartile as compared to industry rates and demonstrate continuous improvement toward an ultimate goal of zero accidents</w:t>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Safety Statistical Report</w:t>
            </w:r>
          </w:p>
          <w:p>
            <w:pPr>
              <w:pStyle w:val="Header"/>
              <w:tabs>
                <w:tab w:val="clear" w:pos="4320"/>
                <w:tab w:val="clear" w:pos="8640"/>
              </w:tabs>
              <w:rPr>
                <w:rFonts w:ascii="Tahoma" w:hAnsi="Tahoma" w:cs="Tahoma"/>
              </w:rPr>
            </w:pPr>
            <w:r>
              <w:rPr>
                <w:rFonts w:cs="Tahoma" w:ascii="Tahoma" w:hAnsi="Tahoma"/>
              </w:rPr>
              <w:t>This equates to “0” accidents for the Teams</w:t>
            </w:r>
          </w:p>
          <w:p>
            <w:pPr>
              <w:pStyle w:val="Header"/>
              <w:tabs>
                <w:tab w:val="clear" w:pos="4320"/>
                <w:tab w:val="clear" w:pos="8640"/>
              </w:tabs>
              <w:rPr>
                <w:rFonts w:ascii="Tahoma" w:hAnsi="Tahoma" w:cs="Tahoma"/>
              </w:rPr>
            </w:pPr>
            <w:r>
              <w:rPr>
                <w:rFonts w:cs="Tahoma" w:ascii="Tahoma" w:hAnsi="Tahoma"/>
              </w:rPr>
            </w:r>
          </w:p>
          <w:p>
            <w:pPr>
              <w:pStyle w:val="Header"/>
              <w:tabs>
                <w:tab w:val="clear" w:pos="4320"/>
                <w:tab w:val="clear" w:pos="8640"/>
              </w:tabs>
              <w:rPr>
                <w:rFonts w:ascii="Tahoma" w:hAnsi="Tahoma" w:cs="Tahoma"/>
              </w:rPr>
            </w:pPr>
            <w:r>
              <w:rPr>
                <w:rFonts w:cs="Tahoma" w:ascii="Tahoma" w:hAnsi="Tahoma"/>
              </w:rPr>
            </w:r>
          </w:p>
          <w:p>
            <w:pPr>
              <w:pStyle w:val="Header"/>
              <w:tabs>
                <w:tab w:val="clear" w:pos="4320"/>
                <w:tab w:val="clear" w:pos="8640"/>
              </w:tabs>
              <w:rPr>
                <w:rFonts w:ascii="Tahoma" w:hAnsi="Tahoma" w:cs="Tahoma"/>
              </w:rPr>
            </w:pPr>
            <w:r>
              <w:rPr>
                <w:rFonts w:cs="Tahoma" w:ascii="Tahoma" w:hAnsi="Tahoma"/>
              </w:rPr>
            </w:r>
          </w:p>
          <w:p>
            <w:pPr>
              <w:pStyle w:val="Header"/>
              <w:tabs>
                <w:tab w:val="clear" w:pos="4320"/>
                <w:tab w:val="clear" w:pos="8640"/>
              </w:tabs>
              <w:rPr>
                <w:rFonts w:ascii="Tahoma" w:hAnsi="Tahoma" w:cs="Tahoma"/>
              </w:rPr>
            </w:pPr>
            <w:r>
              <w:rPr>
                <w:rFonts w:cs="Tahoma" w:ascii="Tahoma" w:hAnsi="Tahoma"/>
              </w:rPr>
            </w:r>
          </w:p>
          <w:p>
            <w:pPr>
              <w:pStyle w:val="Header"/>
              <w:tabs>
                <w:tab w:val="clear" w:pos="4320"/>
                <w:tab w:val="clear" w:pos="8640"/>
              </w:tabs>
              <w:rPr>
                <w:rFonts w:ascii="Tahoma" w:hAnsi="Tahoma" w:cs="Tahoma"/>
              </w:rPr>
            </w:pPr>
            <w:r>
              <w:rPr>
                <w:rFonts w:cs="Tahoma" w:ascii="Tahoma" w:hAnsi="Tahoma"/>
              </w:rPr>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Year-end</w:t>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Implement strategy that produces a reduction to Construction Overhead charges to a 10% level</w:t>
            </w:r>
          </w:p>
          <w:p>
            <w:pPr>
              <w:pStyle w:val="Normal"/>
              <w:rPr>
                <w:rFonts w:ascii="Tahoma" w:hAnsi="Tahoma" w:cs="Tahoma"/>
                <w:sz w:val="18"/>
              </w:rPr>
            </w:pPr>
            <w:r>
              <w:rPr>
                <w:rFonts w:cs="Tahoma" w:ascii="Tahoma" w:hAnsi="Tahoma"/>
                <w:sz w:val="18"/>
              </w:rPr>
            </w:r>
          </w:p>
          <w:p>
            <w:pPr>
              <w:pStyle w:val="Normal"/>
              <w:rPr>
                <w:rFonts w:ascii="Tahoma" w:hAnsi="Tahoma" w:cs="Tahoma"/>
                <w:sz w:val="18"/>
              </w:rPr>
            </w:pPr>
            <w:r>
              <w:rPr>
                <w:rFonts w:cs="Tahoma" w:ascii="Tahoma" w:hAnsi="Tahoma"/>
                <w:sz w:val="18"/>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Financial Reports</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Year-end</w:t>
            </w:r>
          </w:p>
        </w:tc>
      </w:tr>
      <w:tr>
        <w:trPr>
          <w:trHeight w:val="296" w:hRule="atLeast"/>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Avoid any interruption of service related to the Y2K date issue</w:t>
            </w:r>
          </w:p>
          <w:p>
            <w:pPr>
              <w:pStyle w:val="Normal"/>
              <w:rPr>
                <w:rFonts w:ascii="Tahoma" w:hAnsi="Tahoma" w:cs="Tahoma"/>
              </w:rPr>
            </w:pPr>
            <w:r>
              <w:rPr>
                <w:rFonts w:cs="Tahoma" w:ascii="Tahoma" w:hAnsi="Tahoma"/>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Outage Reports</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First Quarter 2000</w:t>
            </w:r>
          </w:p>
        </w:tc>
      </w:tr>
    </w:tbl>
    <w:p>
      <w:pPr>
        <w:pStyle w:val="Header"/>
        <w:tabs>
          <w:tab w:val="clear" w:pos="4320"/>
          <w:tab w:val="clear" w:pos="8640"/>
        </w:tabs>
        <w:rPr/>
      </w:pPr>
      <w:r>
        <w:rPr/>
      </w:r>
      <w:r>
        <w:br w:type="page"/>
      </w:r>
    </w:p>
    <w:p>
      <w:pPr>
        <w:pStyle w:val="Normal"/>
        <w:rPr/>
      </w:pPr>
      <w:r>
        <w:rPr/>
      </w:r>
    </w:p>
    <w:tbl>
      <w:tblPr>
        <w:tblW w:w="14418" w:type="dxa"/>
        <w:jc w:val="start"/>
        <w:tblInd w:w="0" w:type="dxa"/>
        <w:tblLayout w:type="fixed"/>
        <w:tblCellMar>
          <w:top w:w="0" w:type="dxa"/>
          <w:start w:w="108" w:type="dxa"/>
          <w:bottom w:w="0" w:type="dxa"/>
          <w:end w:w="108" w:type="dxa"/>
        </w:tblCellMar>
      </w:tblPr>
      <w:tblGrid>
        <w:gridCol w:w="4632"/>
        <w:gridCol w:w="6096"/>
        <w:gridCol w:w="3690"/>
      </w:tblGrid>
      <w:tr>
        <w:trPr>
          <w:trHeight w:val="215" w:hRule="atLeast"/>
        </w:trPr>
        <w:tc>
          <w:tcPr>
            <w:tcW w:w="4632"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sz w:val="24"/>
              </w:rPr>
            </w:pPr>
            <w:r>
              <w:rPr>
                <w:rFonts w:cs="Tahoma" w:ascii="Tahoma" w:hAnsi="Tahoma"/>
                <w:b/>
                <w:sz w:val="24"/>
              </w:rPr>
              <w:t>Objective</w:t>
            </w:r>
          </w:p>
        </w:tc>
        <w:tc>
          <w:tcPr>
            <w:tcW w:w="6096"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Measure</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rFonts w:ascii="Tahoma" w:hAnsi="Tahoma" w:cs="Tahoma"/>
                <w:b/>
                <w:sz w:val="24"/>
              </w:rPr>
            </w:pPr>
            <w:r>
              <w:rPr>
                <w:rFonts w:cs="Tahoma" w:ascii="Tahoma" w:hAnsi="Tahoma"/>
                <w:b/>
                <w:sz w:val="24"/>
              </w:rPr>
              <w:t>Completion</w:t>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Continued support of the Codes &amp; Compliance Taskforce by providing members from the Service Teams to review and assure the Envision system continues to service the field teams needs</w:t>
            </w:r>
          </w:p>
          <w:p>
            <w:pPr>
              <w:pStyle w:val="Normal"/>
              <w:rPr>
                <w:rFonts w:ascii="Tahoma" w:hAnsi="Tahoma" w:cs="Tahoma"/>
                <w:sz w:val="18"/>
              </w:rPr>
            </w:pPr>
            <w:r>
              <w:rPr>
                <w:rFonts w:cs="Tahoma" w:ascii="Tahoma" w:hAnsi="Tahoma"/>
                <w:sz w:val="18"/>
              </w:rPr>
            </w:r>
          </w:p>
          <w:p>
            <w:pPr>
              <w:pStyle w:val="Normal"/>
              <w:rPr>
                <w:rFonts w:ascii="Tahoma" w:hAnsi="Tahoma" w:cs="Tahoma"/>
                <w:sz w:val="18"/>
              </w:rPr>
            </w:pPr>
            <w:r>
              <w:rPr>
                <w:rFonts w:cs="Tahoma" w:ascii="Tahoma" w:hAnsi="Tahoma"/>
                <w:sz w:val="18"/>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Members Service</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Year-end</w:t>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Publish a Grounding Standard in 2000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Completion of Standards</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Year-end</w:t>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Meet with Arthur Andersen during the first quarter to define the Measurement audit issues.</w:t>
            </w:r>
          </w:p>
          <w:p>
            <w:pPr>
              <w:pStyle w:val="Normal"/>
              <w:rPr>
                <w:rFonts w:ascii="Tahoma" w:hAnsi="Tahoma" w:cs="Tahoma"/>
              </w:rPr>
            </w:pPr>
            <w:r>
              <w:rPr>
                <w:rFonts w:cs="Tahoma" w:ascii="Tahoma" w:hAnsi="Tahoma"/>
              </w:rPr>
              <w:t>Before years end publish a proposed policy/procedure to address those issues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Completion of Proposal</w:t>
            </w:r>
          </w:p>
        </w:tc>
        <w:tc>
          <w:tcPr>
            <w:tcW w:w="36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April 1, 2000</w:t>
            </w:r>
          </w:p>
          <w:p>
            <w:pPr>
              <w:pStyle w:val="Header"/>
              <w:tabs>
                <w:tab w:val="clear" w:pos="4320"/>
                <w:tab w:val="clear" w:pos="8640"/>
              </w:tabs>
              <w:rPr>
                <w:rFonts w:ascii="Tahoma" w:hAnsi="Tahoma" w:cs="Tahoma"/>
              </w:rPr>
            </w:pPr>
            <w:r>
              <w:rPr>
                <w:rFonts w:cs="Tahoma" w:ascii="Tahoma" w:hAnsi="Tahoma"/>
              </w:rPr>
              <w:t>Year-end</w:t>
            </w:r>
          </w:p>
          <w:p>
            <w:pPr>
              <w:pStyle w:val="Normal"/>
              <w:rPr>
                <w:rFonts w:ascii="Tahoma" w:hAnsi="Tahoma" w:cs="Tahoma"/>
                <w:sz w:val="18"/>
              </w:rPr>
            </w:pPr>
            <w:r>
              <w:rPr>
                <w:rFonts w:cs="Tahoma" w:ascii="Tahoma" w:hAnsi="Tahoma"/>
                <w:sz w:val="18"/>
              </w:rPr>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Communicate Tech Service Objectives across Operating Regions and develop aligned objectives with the Operating Regions</w:t>
            </w:r>
          </w:p>
          <w:p>
            <w:pPr>
              <w:pStyle w:val="Normal"/>
              <w:rPr>
                <w:rFonts w:ascii="Tahoma" w:hAnsi="Tahoma" w:cs="Tahoma"/>
                <w:sz w:val="18"/>
              </w:rPr>
            </w:pPr>
            <w:r>
              <w:rPr>
                <w:rFonts w:cs="Tahoma" w:ascii="Tahoma" w:hAnsi="Tahoma"/>
                <w:sz w:val="18"/>
              </w:rPr>
            </w:r>
          </w:p>
          <w:p>
            <w:pPr>
              <w:pStyle w:val="Normal"/>
              <w:rPr>
                <w:rFonts w:ascii="Tahoma" w:hAnsi="Tahoma" w:cs="Tahoma"/>
                <w:sz w:val="18"/>
              </w:rPr>
            </w:pPr>
            <w:r>
              <w:rPr>
                <w:rFonts w:cs="Tahoma" w:ascii="Tahoma" w:hAnsi="Tahoma"/>
                <w:sz w:val="18"/>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Presentations to Operations</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May 1, 2000</w:t>
            </w:r>
          </w:p>
          <w:p>
            <w:pPr>
              <w:pStyle w:val="Normal"/>
              <w:rPr>
                <w:rFonts w:ascii="Tahoma" w:hAnsi="Tahoma" w:cs="Tahoma"/>
              </w:rPr>
            </w:pPr>
            <w:r>
              <w:rPr>
                <w:rFonts w:cs="Tahoma" w:ascii="Tahoma" w:hAnsi="Tahoma"/>
              </w:rPr>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Provide technical support to field compressor station teams throughout ET&amp;S in implementing the recommendations of the Energy Conservation task force.  Reduce total ET&amp;S energy consumption by $100,000</w:t>
            </w:r>
          </w:p>
          <w:p>
            <w:pPr>
              <w:pStyle w:val="Normal"/>
              <w:rPr>
                <w:rFonts w:ascii="Tahoma" w:hAnsi="Tahoma" w:cs="Tahoma"/>
              </w:rPr>
            </w:pPr>
            <w:r>
              <w:rPr>
                <w:rFonts w:cs="Tahoma" w:ascii="Tahoma" w:hAnsi="Tahoma"/>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O&amp;M Costs</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Year-end</w:t>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 xml:space="preserve">Review new innovations in technology for reducing operating costs and promote at least two of those for implementation across the GPG system  </w:t>
            </w:r>
          </w:p>
          <w:p>
            <w:pPr>
              <w:pStyle w:val="Normal"/>
              <w:rPr>
                <w:rFonts w:ascii="Tahoma" w:hAnsi="Tahoma" w:cs="Tahoma"/>
              </w:rPr>
            </w:pPr>
            <w:r>
              <w:rPr>
                <w:rFonts w:cs="Tahoma" w:ascii="Tahoma" w:hAnsi="Tahoma"/>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Implementation of New Technologies</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Year-end</w:t>
            </w:r>
          </w:p>
        </w:tc>
      </w:tr>
      <w:tr>
        <w:trPr/>
        <w:tc>
          <w:tcPr>
            <w:tcW w:w="4632"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Support the Continuous Improvement Process and implement those recommendations from all the Service Teams</w:t>
            </w:r>
          </w:p>
          <w:p>
            <w:pPr>
              <w:pStyle w:val="Normal"/>
              <w:rPr>
                <w:rFonts w:ascii="Tahoma" w:hAnsi="Tahoma" w:cs="Tahoma"/>
              </w:rPr>
            </w:pPr>
            <w:r>
              <w:rPr>
                <w:rFonts w:cs="Tahoma" w:ascii="Tahoma" w:hAnsi="Tahoma"/>
              </w:rPr>
            </w:r>
          </w:p>
        </w:tc>
        <w:tc>
          <w:tcPr>
            <w:tcW w:w="609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ahoma" w:hAnsi="Tahoma" w:cs="Tahoma"/>
              </w:rPr>
            </w:pPr>
            <w:r>
              <w:rPr>
                <w:rFonts w:cs="Tahoma" w:ascii="Tahoma" w:hAnsi="Tahoma"/>
              </w:rPr>
              <w:t>Implementation of Recommendations</w:t>
            </w:r>
          </w:p>
        </w:tc>
        <w:tc>
          <w:tcPr>
            <w:tcW w:w="3690"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Year-end</w:t>
            </w:r>
          </w:p>
        </w:tc>
      </w:tr>
    </w:tbl>
    <w:p>
      <w:pPr>
        <w:pStyle w:val="Normal"/>
        <w:rPr/>
      </w:pPr>
      <w:r>
        <w:rPr/>
      </w:r>
    </w:p>
    <w:p>
      <w:pPr>
        <w:pStyle w:val="Normal"/>
        <w:rPr/>
      </w:pPr>
      <w:r>
        <w:rPr/>
      </w:r>
    </w:p>
    <w:sectPr>
      <w:headerReference w:type="default" r:id="rId2"/>
      <w:type w:val="nextPage"/>
      <w:pgSz w:orient="landscape" w:w="15840" w:h="12240"/>
      <w:pgMar w:left="720" w:right="1440" w:gutter="0" w:header="720" w:top="776"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ahoma" w:hAnsi="Tahoma" w:cs="Tahoma"/>
        <w:b/>
        <w:sz w:val="28"/>
      </w:rPr>
    </w:pPr>
    <w:r>
      <w:rPr>
        <w:rFonts w:cs="Tahoma" w:ascii="Tahoma" w:hAnsi="Tahoma"/>
        <w:b/>
        <w:sz w:val="28"/>
      </w:rPr>
      <w:t>ET&amp;S Tech Services Objectives – 2000</w:t>
    </w:r>
  </w:p>
  <w:p>
    <w:pPr>
      <w:pStyle w:val="Header"/>
      <w:jc w:val="center"/>
      <w:rPr>
        <w:rFonts w:ascii="Tahoma" w:hAnsi="Tahoma" w:cs="Tahoma"/>
        <w:b/>
        <w:sz w:val="28"/>
      </w:rPr>
    </w:pPr>
    <w:r>
      <w:rPr>
        <w:rFonts w:cs="Tahoma" w:ascii="Tahoma" w:hAnsi="Tahoma"/>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ahoma" w:hAnsi="Tahoma" w:cs="Tahoma"/>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2000-02-17T20:46:00Z</dcterms:created>
  <dc:creator>Phil Lowry</dc:creator>
  <dc:description/>
  <dc:language>en-CA</dc:language>
  <cp:lastModifiedBy>ET&amp;S</cp:lastModifiedBy>
  <cp:lastPrinted>2000-01-06T21:44:00Z</cp:lastPrinted>
  <dcterms:modified xsi:type="dcterms:W3CDTF">2000-02-17T20:46:00Z</dcterms:modified>
  <cp:revision>2</cp:revision>
  <dc:subject/>
  <dc:title>Objective</dc:title>
</cp:coreProperties>
</file>