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3"/>
        </w:numPr>
        <w:jc w:val="both"/>
        <w:rPr>
          <w:b/>
          <w:sz w:val="24"/>
        </w:rPr>
      </w:pPr>
      <w:r>
        <w:rPr>
          <w:b/>
          <w:sz w:val="24"/>
        </w:rPr>
        <w:t>Obtain a final FERC certificate for NBPL's Project 2000 by the 2</w:t>
      </w:r>
      <w:r>
        <w:rPr>
          <w:b/>
          <w:sz w:val="24"/>
          <w:vertAlign w:val="superscript"/>
        </w:rPr>
        <w:t>nd</w:t>
      </w:r>
      <w:r>
        <w:rPr>
          <w:b/>
          <w:sz w:val="24"/>
        </w:rPr>
        <w:t xml:space="preserve"> Quarter of 2000.</w:t>
      </w:r>
    </w:p>
    <w:p>
      <w:pPr>
        <w:pStyle w:val="Normal"/>
        <w:jc w:val="both"/>
        <w:rPr>
          <w:b/>
          <w:sz w:val="24"/>
        </w:rPr>
      </w:pPr>
      <w:r>
        <w:rPr>
          <w:b/>
          <w:sz w:val="24"/>
        </w:rPr>
      </w:r>
    </w:p>
    <w:p>
      <w:pPr>
        <w:pStyle w:val="Normal"/>
        <w:jc w:val="both"/>
        <w:rPr>
          <w:sz w:val="24"/>
          <w:u w:val="single"/>
        </w:rPr>
      </w:pPr>
      <w:r>
        <w:rPr>
          <w:b/>
          <w:sz w:val="24"/>
        </w:rPr>
        <w:t xml:space="preserve">Status:  </w:t>
      </w:r>
      <w:r>
        <w:rPr>
          <w:b/>
          <w:sz w:val="24"/>
          <w:u w:val="single"/>
        </w:rPr>
        <w:t>Accomplished.</w:t>
      </w:r>
    </w:p>
    <w:p>
      <w:pPr>
        <w:pStyle w:val="Normal"/>
        <w:jc w:val="both"/>
        <w:rPr>
          <w:sz w:val="24"/>
        </w:rPr>
      </w:pPr>
      <w:r>
        <w:rPr>
          <w:sz w:val="24"/>
        </w:rPr>
        <w:t xml:space="preserve"> </w:t>
      </w:r>
    </w:p>
    <w:p>
      <w:pPr>
        <w:pStyle w:val="Normal"/>
        <w:jc w:val="both"/>
        <w:rPr>
          <w:sz w:val="24"/>
        </w:rPr>
      </w:pPr>
      <w:r>
        <w:rPr>
          <w:sz w:val="24"/>
        </w:rPr>
        <w:tab/>
        <w:t>On March 16, 2000, the Commission issued a certificate to construct and operate Project 2000.  On April 27, Northern Border accepted the certificate and is in the process of complying with its conditions.  Northern Border also filed and received an extension of the one-year construction completion condition in order to permit an efficient construction and an anticipated in-service date of November 1, 2001.</w:t>
      </w:r>
    </w:p>
    <w:p>
      <w:pPr>
        <w:pStyle w:val="Normal"/>
        <w:jc w:val="both"/>
        <w:rPr>
          <w:sz w:val="24"/>
        </w:rPr>
      </w:pPr>
      <w:r>
        <w:rPr>
          <w:sz w:val="24"/>
        </w:rPr>
        <w:tab/>
      </w:r>
    </w:p>
    <w:p>
      <w:pPr>
        <w:pStyle w:val="Normal"/>
        <w:jc w:val="both"/>
        <w:rPr>
          <w:b/>
          <w:sz w:val="24"/>
        </w:rPr>
      </w:pPr>
      <w:r>
        <w:rPr>
          <w:b/>
          <w:sz w:val="24"/>
        </w:rPr>
      </w:r>
    </w:p>
    <w:p>
      <w:pPr>
        <w:pStyle w:val="Normal"/>
        <w:numPr>
          <w:ilvl w:val="0"/>
          <w:numId w:val="2"/>
        </w:numPr>
        <w:jc w:val="both"/>
        <w:rPr>
          <w:b/>
          <w:sz w:val="24"/>
        </w:rPr>
      </w:pPr>
      <w:r>
        <w:rPr>
          <w:b/>
          <w:sz w:val="24"/>
        </w:rPr>
        <w:t>Close accretive acquisitions of $150 million for NBPL by year-end 2000.</w:t>
      </w:r>
    </w:p>
    <w:p>
      <w:pPr>
        <w:pStyle w:val="Normal"/>
        <w:jc w:val="both"/>
        <w:rPr>
          <w:b/>
          <w:sz w:val="24"/>
        </w:rPr>
      </w:pPr>
      <w:r>
        <w:rPr>
          <w:b/>
          <w:sz w:val="24"/>
        </w:rPr>
      </w:r>
    </w:p>
    <w:p>
      <w:pPr>
        <w:pStyle w:val="Normal"/>
        <w:jc w:val="both"/>
        <w:rPr/>
      </w:pPr>
      <w:r>
        <w:rPr>
          <w:b/>
          <w:sz w:val="24"/>
        </w:rPr>
        <w:t xml:space="preserve">Status:  </w:t>
      </w:r>
      <w:r>
        <w:rPr>
          <w:b/>
          <w:sz w:val="24"/>
          <w:u w:val="single"/>
        </w:rPr>
        <w:t>Accomplished.</w:t>
      </w:r>
      <w:r>
        <w:rPr>
          <w:b/>
          <w:sz w:val="24"/>
        </w:rPr>
        <w:t xml:space="preserve">  The acquisitions listed below are all expected to be accretive</w:t>
      </w:r>
    </w:p>
    <w:p>
      <w:pPr>
        <w:pStyle w:val="Normal"/>
        <w:ind w:firstLine="720" w:end="0"/>
        <w:jc w:val="both"/>
        <w:rPr>
          <w:b/>
          <w:sz w:val="24"/>
        </w:rPr>
      </w:pPr>
      <w:r>
        <w:rPr>
          <w:b/>
          <w:sz w:val="24"/>
        </w:rPr>
        <w:t xml:space="preserve">  </w:t>
      </w:r>
      <w:r>
        <w:rPr>
          <w:b/>
          <w:sz w:val="24"/>
        </w:rPr>
        <w:t>in their first year.</w:t>
      </w:r>
    </w:p>
    <w:p>
      <w:pPr>
        <w:pStyle w:val="Normal"/>
        <w:jc w:val="both"/>
        <w:rPr>
          <w:b/>
          <w:sz w:val="24"/>
        </w:rPr>
      </w:pPr>
      <w:r>
        <w:rPr>
          <w:b/>
          <w:sz w:val="24"/>
        </w:rPr>
      </w:r>
    </w:p>
    <w:p>
      <w:pPr>
        <w:pStyle w:val="Normal"/>
        <w:jc w:val="both"/>
        <w:rPr/>
      </w:pPr>
      <w:r>
        <w:rPr>
          <w:sz w:val="24"/>
        </w:rPr>
        <w:tab/>
      </w:r>
      <w:r>
        <w:rPr>
          <w:sz w:val="24"/>
          <w:u w:val="single"/>
        </w:rPr>
        <w:t>Bighorn Preferred Interest</w:t>
      </w:r>
      <w:r>
        <w:rPr>
          <w:sz w:val="24"/>
        </w:rPr>
        <w:t xml:space="preserve"> - In June, NBP Energy Pipelines, L.L.C. acquired 80% of the Preferred "A" Interest in Bighorn Gas Gathering for $20 million, completing the acquisition deal.</w:t>
      </w:r>
    </w:p>
    <w:p>
      <w:pPr>
        <w:pStyle w:val="Normal"/>
        <w:jc w:val="both"/>
        <w:rPr>
          <w:sz w:val="24"/>
        </w:rPr>
      </w:pPr>
      <w:r>
        <w:rPr>
          <w:sz w:val="24"/>
        </w:rPr>
      </w:r>
    </w:p>
    <w:p>
      <w:pPr>
        <w:pStyle w:val="Normal"/>
        <w:jc w:val="both"/>
        <w:rPr/>
      </w:pPr>
      <w:r>
        <w:rPr>
          <w:sz w:val="24"/>
        </w:rPr>
        <w:tab/>
      </w:r>
      <w:r>
        <w:rPr>
          <w:sz w:val="24"/>
          <w:u w:val="single"/>
        </w:rPr>
        <w:t>Bighorn Western Header Project</w:t>
      </w:r>
      <w:r>
        <w:rPr>
          <w:sz w:val="24"/>
        </w:rPr>
        <w:t xml:space="preserve"> - A large producer in the Powder River Basin, J.M. Huber has dedicated 100,000 acres to anchor the western header of Bighorn.  This is a 56-mile, 20-inch diameter extension of the gathering system.  NBP's share of which is $7mm.  In addition, NBP invested an additional $3 million this year to fund various Bighorn lateral projects.</w:t>
      </w:r>
    </w:p>
    <w:p>
      <w:pPr>
        <w:pStyle w:val="Normal"/>
        <w:jc w:val="both"/>
        <w:rPr>
          <w:sz w:val="24"/>
        </w:rPr>
      </w:pPr>
      <w:r>
        <w:rPr>
          <w:sz w:val="24"/>
        </w:rPr>
      </w:r>
    </w:p>
    <w:p>
      <w:pPr>
        <w:pStyle w:val="Normal"/>
        <w:jc w:val="both"/>
        <w:rPr/>
      </w:pPr>
      <w:r>
        <w:rPr>
          <w:sz w:val="24"/>
        </w:rPr>
        <w:tab/>
      </w:r>
      <w:r>
        <w:rPr>
          <w:sz w:val="24"/>
          <w:u w:val="single"/>
        </w:rPr>
        <w:t>Project 20/20</w:t>
      </w:r>
      <w:r>
        <w:rPr>
          <w:sz w:val="24"/>
        </w:rPr>
        <w:t xml:space="preserve"> - Acquired from ENA their 10% equity interest in Bighorn Gas Gathering, 33% equity interest in Fort Union Fort Union Gathering, 35% equity interest in Lost Creek Gas Gathering, and a 100% equity interest in EMS Gas Gathering for $205 million.  The deal closed in September and a new entity called Crestone Energy Ventures was formed to manage these assets and grow NBP's presence in the gathering business in the Rocky Mountain region.</w:t>
      </w:r>
    </w:p>
    <w:p>
      <w:pPr>
        <w:pStyle w:val="Normal"/>
        <w:jc w:val="both"/>
        <w:rPr>
          <w:sz w:val="24"/>
        </w:rPr>
      </w:pPr>
      <w:r>
        <w:rPr>
          <w:sz w:val="24"/>
        </w:rPr>
      </w:r>
    </w:p>
    <w:p>
      <w:pPr>
        <w:pStyle w:val="Normal"/>
        <w:jc w:val="both"/>
        <w:rPr>
          <w:b/>
          <w:sz w:val="24"/>
        </w:rPr>
      </w:pPr>
      <w:r>
        <w:rPr>
          <w:b/>
          <w:sz w:val="24"/>
        </w:rPr>
      </w:r>
    </w:p>
    <w:p>
      <w:pPr>
        <w:pStyle w:val="Normal"/>
        <w:numPr>
          <w:ilvl w:val="0"/>
          <w:numId w:val="1"/>
        </w:numPr>
        <w:jc w:val="both"/>
        <w:rPr>
          <w:b/>
          <w:sz w:val="24"/>
        </w:rPr>
      </w:pPr>
      <w:r>
        <w:rPr>
          <w:b/>
          <w:sz w:val="24"/>
        </w:rPr>
        <w:t>Settle NBPL's rate proceeding under terms and conditions consistent with the parameters discussed with the General Partners.</w:t>
      </w:r>
    </w:p>
    <w:p>
      <w:pPr>
        <w:pStyle w:val="Normal"/>
        <w:jc w:val="both"/>
        <w:rPr>
          <w:b/>
          <w:sz w:val="24"/>
        </w:rPr>
      </w:pPr>
      <w:r>
        <w:rPr>
          <w:b/>
          <w:sz w:val="24"/>
        </w:rPr>
      </w:r>
    </w:p>
    <w:p>
      <w:pPr>
        <w:pStyle w:val="Normal"/>
        <w:jc w:val="both"/>
        <w:rPr/>
      </w:pPr>
      <w:r>
        <w:rPr>
          <w:b/>
          <w:sz w:val="24"/>
        </w:rPr>
        <w:t xml:space="preserve">Status:  </w:t>
      </w:r>
      <w:r>
        <w:rPr>
          <w:b/>
          <w:sz w:val="24"/>
          <w:u w:val="single"/>
        </w:rPr>
        <w:t>Accomplished.</w:t>
      </w:r>
    </w:p>
    <w:p>
      <w:pPr>
        <w:pStyle w:val="Normal"/>
        <w:jc w:val="both"/>
        <w:rPr>
          <w:b/>
          <w:sz w:val="24"/>
          <w:u w:val="single"/>
        </w:rPr>
      </w:pPr>
      <w:r>
        <w:rPr>
          <w:b/>
          <w:sz w:val="24"/>
          <w:u w:val="single"/>
        </w:rPr>
      </w:r>
    </w:p>
    <w:p>
      <w:pPr>
        <w:pStyle w:val="Normal"/>
        <w:jc w:val="both"/>
        <w:rPr>
          <w:sz w:val="24"/>
        </w:rPr>
      </w:pPr>
      <w:r>
        <w:rPr>
          <w:sz w:val="24"/>
        </w:rPr>
        <w:tab/>
        <w:t xml:space="preserve">On June 7, 2000, an agreement in principle was reached with a majority of NBPL's customers and FERC Staff.  It was settled on the basis of converting NBPL's cost of service tariff to a stated rate form of tariff effective December 1, 1999, with system-wide mileage based rates and a moratorium on future rate case filings until November 1, 2005.  Northern Border achieved the full recovery of its Chicago Project construction expenditures and avoided any adverse impacts of the Project Cost Containment mechanism. </w:t>
      </w:r>
    </w:p>
    <w:p>
      <w:pPr>
        <w:pStyle w:val="Normal"/>
        <w:jc w:val="both"/>
        <w:rPr>
          <w:sz w:val="24"/>
        </w:rPr>
      </w:pPr>
      <w:r>
        <w:rPr>
          <w:sz w:val="24"/>
        </w:rPr>
      </w:r>
    </w:p>
    <w:p>
      <w:pPr>
        <w:pStyle w:val="Normal"/>
        <w:ind w:firstLine="720" w:end="0"/>
        <w:jc w:val="both"/>
        <w:rPr>
          <w:sz w:val="24"/>
        </w:rPr>
      </w:pPr>
      <w:r>
        <w:rPr>
          <w:sz w:val="24"/>
        </w:rPr>
        <w:t xml:space="preserve">In addition, Northern Border agreed to share certain other revenue with its shippers.  Beginning January 1, 2001, 50% of the revenue from a certain contract for microwave telecommunications service will be credited to T-l shippers.  From December 1, 1999, through October 31, 2003, NBPL will credit T-1 shippers 50% of its revenue from interruptible transportation, firm backhauls and new types of services that utilize the existing, plus Project 2000, facilities and the related capacities. </w:t>
      </w:r>
    </w:p>
    <w:p>
      <w:pPr>
        <w:pStyle w:val="Normal"/>
        <w:ind w:firstLine="720" w:end="0"/>
        <w:jc w:val="both"/>
        <w:rPr>
          <w:sz w:val="24"/>
        </w:rPr>
      </w:pPr>
      <w:r>
        <w:rPr>
          <w:sz w:val="24"/>
        </w:rPr>
      </w:r>
    </w:p>
    <w:p>
      <w:pPr>
        <w:pStyle w:val="Normal"/>
        <w:ind w:firstLine="720" w:end="0"/>
        <w:jc w:val="both"/>
        <w:rPr>
          <w:sz w:val="24"/>
        </w:rPr>
      </w:pPr>
      <w:r>
        <w:rPr>
          <w:sz w:val="24"/>
        </w:rPr>
        <w:t>On September 26, 2000, the Stipulation was filed with the ALJ.  On November 9, 2000, the ALJ certified the Stipulation to the Commission.  It is anticipated that the Commission will issue an order approving the Stipulation early the first quarter of 2001.  The targeted implementation date for billing and operating under the SFV Tariff is February 1, 2001.</w:t>
      </w:r>
    </w:p>
    <w:p>
      <w:pPr>
        <w:pStyle w:val="Normal"/>
        <w:jc w:val="both"/>
        <w:rPr>
          <w:sz w:val="24"/>
        </w:rPr>
      </w:pPr>
      <w:r>
        <w:rPr>
          <w:sz w:val="24"/>
        </w:rPr>
      </w:r>
    </w:p>
    <w:p>
      <w:pPr>
        <w:pStyle w:val="Normal"/>
        <w:jc w:val="both"/>
        <w:rPr>
          <w:sz w:val="24"/>
        </w:rPr>
      </w:pPr>
      <w:r>
        <w:rPr>
          <w:sz w:val="24"/>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w:instrText>
    </w:r>
    <w:r>
      <w:rPr>
        <w:lang w:eastAsia="en-US"/>
      </w:rPr>
      <w:fldChar w:fldCharType="separate"/>
    </w:r>
    <w:r>
      <w:rPr>
        <w:lang w:eastAsia="en-US"/>
      </w:rPr>
      <w:t>2000ObjRpt.doc</w:t>
    </w:r>
    <w:r>
      <w:rPr>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24"/>
      </w:rPr>
    </w:pPr>
    <w:r>
      <w:rPr>
        <w:b/>
        <w:sz w:val="24"/>
      </w:rPr>
      <w:t>ENRON GAS PIPELINE GROUP</w:t>
    </w:r>
  </w:p>
  <w:p>
    <w:pPr>
      <w:pStyle w:val="Header"/>
      <w:jc w:val="center"/>
      <w:rPr>
        <w:b/>
        <w:sz w:val="24"/>
      </w:rPr>
    </w:pPr>
    <w:r>
      <w:rPr>
        <w:b/>
        <w:sz w:val="24"/>
      </w:rPr>
      <w:t>YEAR 2000 GOALS &amp; OBJECTIVES</w:t>
    </w:r>
  </w:p>
  <w:p>
    <w:pPr>
      <w:pStyle w:val="Header"/>
      <w:jc w:val="center"/>
      <w:rPr>
        <w:b/>
        <w:sz w:val="24"/>
      </w:rPr>
    </w:pPr>
    <w:r>
      <w:rPr>
        <w:b/>
        <w:sz w:val="24"/>
      </w:rPr>
    </w:r>
  </w:p>
  <w:p>
    <w:pPr>
      <w:pStyle w:val="Header"/>
      <w:jc w:val="center"/>
      <w:rPr>
        <w:b/>
        <w:sz w:val="24"/>
      </w:rPr>
    </w:pPr>
    <w:r>
      <w:rPr>
        <w:b/>
        <w:sz w:val="24"/>
      </w:rPr>
      <w:t>NORTHERN BORDER PIPELINE COMPANY</w:t>
    </w:r>
  </w:p>
  <w:p>
    <w:pPr>
      <w:pStyle w:val="Header"/>
      <w:jc w:val="center"/>
      <w:rPr>
        <w:sz w:val="24"/>
      </w:rPr>
    </w:pPr>
    <w:r>
      <w:rPr>
        <w:b/>
        <w:sz w:val="24"/>
      </w:rPr>
      <w:t>NORTHERN PLAINS NATURAL GAS COMPANY</w:t>
    </w:r>
  </w:p>
  <w:p>
    <w:pPr>
      <w:pStyle w:val="Header"/>
      <w:jc w:val="center"/>
      <w:rPr>
        <w:sz w:val="24"/>
      </w:rPr>
    </w:pPr>
    <w:r>
      <w:rPr>
        <w:sz w:val="24"/>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2"/>
      <w:numFmt w:val="decimal"/>
      <w:lvlText w:val="%1."/>
      <w:lvlJc w:val="start"/>
      <w:pPr>
        <w:tabs>
          <w:tab w:val="num" w:pos="720"/>
        </w:tabs>
        <w:ind w:start="720" w:hanging="720"/>
      </w:pPr>
      <w:rPr/>
    </w:lvl>
  </w:abstractNum>
  <w:abstractNum w:abstractNumId="2">
    <w:lvl w:ilvl="0">
      <w:start w:val="9"/>
      <w:numFmt w:val="decimal"/>
      <w:lvlText w:val="%1."/>
      <w:lvlJc w:val="start"/>
      <w:pPr>
        <w:tabs>
          <w:tab w:val="num" w:pos="720"/>
        </w:tabs>
        <w:ind w:start="720" w:hanging="720"/>
      </w:pPr>
      <w:rPr/>
    </w:lvl>
  </w:abstractNum>
  <w:abstractNum w:abstractNumId="3">
    <w:lvl w:ilvl="0">
      <w:start w:val="4"/>
      <w:numFmt w:val="decimal"/>
      <w:lvlText w:val="%1."/>
      <w:lvlJc w:val="start"/>
      <w:pPr>
        <w:tabs>
          <w:tab w:val="num" w:pos="720"/>
        </w:tabs>
        <w:ind w:start="720" w:hanging="72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2000-11-27T20:32:00Z</dcterms:created>
  <dc:creator>...</dc:creator>
  <dc:description/>
  <dc:language>en-CA</dc:language>
  <cp:lastModifiedBy>Bill Cordes</cp:lastModifiedBy>
  <cp:lastPrinted>2000-11-27T17:04:00Z</cp:lastPrinted>
  <dcterms:modified xsi:type="dcterms:W3CDTF">2000-11-27T20:35:00Z</dcterms:modified>
  <cp:revision>4</cp:revision>
  <dc:subject/>
  <dc:title>4</dc:title>
</cp:coreProperties>
</file>