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bookmarkStart w:id="0" w:name="currPos"/>
      <w:bookmarkEnd w:id="0"/>
      <w:r>
        <w:rPr>
          <w:b/>
        </w:rPr>
        <w:t>ANNEX TO THE</w:t>
      </w:r>
    </w:p>
    <w:p>
      <w:pPr>
        <w:pStyle w:val="Normal"/>
        <w:jc w:val="center"/>
        <w:rPr>
          <w:b/>
        </w:rPr>
      </w:pPr>
      <w:r>
        <w:rPr>
          <w:b/>
        </w:rPr>
        <w:t>2000 ISDA DEFINITIONS</w:t>
      </w:r>
    </w:p>
    <w:p>
      <w:pPr>
        <w:pStyle w:val="Normal"/>
        <w:rPr>
          <w:b/>
        </w:rPr>
      </w:pPr>
      <w:r>
        <w:rPr>
          <w:b/>
        </w:rPr>
      </w:r>
    </w:p>
    <w:p>
      <w:pPr>
        <w:pStyle w:val="Normal"/>
        <w:ind w:firstLine="720" w:end="0"/>
        <w:rPr/>
      </w:pPr>
      <w:r>
        <w:rPr/>
        <w:t>The following definitions and provisions supplement and form a part of the 2000 ISDA Definitions (the "Definitions").  The definitions and provisions may be incorporated into a document by wording in the document indicating that, or the extent to which, the document is subject to the 2000 ISDA Definitions (as published by the International Swaps and Derivatives Association, Inc.).  Given the anticipated changes in the Annex, parties to a transaction may want to specify the version of the Annex that is being incorporated by reference to a date or an "as amended through" date.  Unless otherwise agreed, parties will be deemed to have incorporated the Annex as amended through the date on which the parties enter into</w:t>
      </w:r>
      <w:r>
        <w:rPr>
          <w:b/>
          <w:i/>
        </w:rPr>
        <w:t xml:space="preserve"> </w:t>
      </w:r>
      <w:r>
        <w:rPr/>
        <w:t>the relevant transaction.</w:t>
      </w:r>
    </w:p>
    <w:p>
      <w:pPr>
        <w:pStyle w:val="Normal"/>
        <w:ind w:firstLine="720" w:end="0"/>
        <w:rPr/>
      </w:pPr>
      <w:r>
        <w:rPr/>
      </w:r>
    </w:p>
    <w:p>
      <w:pPr>
        <w:pStyle w:val="Normal"/>
        <w:jc w:val="center"/>
        <w:rPr>
          <w:b/>
        </w:rPr>
      </w:pPr>
      <w:r>
        <w:rPr>
          <w:b/>
        </w:rPr>
        <w:t>ARTICLE 1</w:t>
      </w:r>
    </w:p>
    <w:p>
      <w:pPr>
        <w:pStyle w:val="Normal"/>
        <w:ind w:firstLine="720" w:end="0"/>
        <w:jc w:val="center"/>
        <w:rPr>
          <w:b/>
        </w:rPr>
      </w:pPr>
      <w:r>
        <w:rPr>
          <w:b/>
        </w:rPr>
      </w:r>
    </w:p>
    <w:p>
      <w:pPr>
        <w:pStyle w:val="Normal"/>
        <w:jc w:val="center"/>
        <w:rPr>
          <w:b/>
        </w:rPr>
      </w:pPr>
      <w:r>
        <w:rPr>
          <w:b/>
        </w:rPr>
        <w:t>CERTAIN GENERAL DEFINITIONS</w:t>
      </w:r>
    </w:p>
    <w:p>
      <w:pPr>
        <w:pStyle w:val="Normal"/>
        <w:rPr>
          <w:b/>
        </w:rPr>
      </w:pPr>
      <w:r>
        <w:rPr>
          <w:b/>
        </w:rPr>
      </w:r>
    </w:p>
    <w:p>
      <w:pPr>
        <w:pStyle w:val="Normal"/>
        <w:ind w:firstLine="720" w:end="0"/>
        <w:rPr/>
      </w:pPr>
      <w:bookmarkStart w:id="1" w:name="ARTICLE1"/>
      <w:bookmarkEnd w:id="1"/>
      <w:r>
        <w:rPr>
          <w:b/>
        </w:rPr>
        <w:t xml:space="preserve">Section 1.5. Financial Centers. </w:t>
      </w:r>
      <w:r>
        <w:rPr/>
        <w:t xml:space="preserve"> </w:t>
      </w:r>
      <w:r>
        <w:fldChar w:fldCharType="begin"/>
      </w:r>
      <w:r>
        <w:rPr/>
        <w:instrText xml:space="preserve"> TC "SECTION 1.5.</w:instrText>
        <w:tab/>
        <w:instrText xml:space="preserve">Financial Centers" \l 1 </w:instrText>
      </w:r>
      <w:r>
        <w:rPr/>
        <w:fldChar w:fldCharType="separate"/>
      </w:r>
      <w:r>
        <w:rPr/>
      </w:r>
      <w:r>
        <w:rPr/>
        <w:fldChar w:fldCharType="end"/>
      </w:r>
      <w:bookmarkStart w:id="2" w:name="__RefHeading___Toc474575104"/>
      <w:bookmarkEnd w:id="2"/>
      <w:r>
        <w:rPr/>
        <w:t>For purposes of Section 1.4(a)(i), the financial center for each of the following currencies is indicated below:</w:t>
      </w:r>
    </w:p>
    <w:p>
      <w:pPr>
        <w:pStyle w:val="Normal"/>
        <w:ind w:start="720" w:end="0"/>
        <w:rPr/>
      </w:pPr>
      <w:r>
        <w:rPr/>
      </w:r>
    </w:p>
    <w:tbl>
      <w:tblPr>
        <w:tblW w:w="4820" w:type="dxa"/>
        <w:jc w:val="start"/>
        <w:tblInd w:w="2518" w:type="dxa"/>
        <w:tblLayout w:type="fixed"/>
        <w:tblCellMar>
          <w:top w:w="0" w:type="dxa"/>
          <w:start w:w="108" w:type="dxa"/>
          <w:bottom w:w="0" w:type="dxa"/>
          <w:end w:w="108" w:type="dxa"/>
        </w:tblCellMar>
      </w:tblPr>
      <w:tblGrid>
        <w:gridCol w:w="2835"/>
        <w:gridCol w:w="1985"/>
      </w:tblGrid>
      <w:tr>
        <w:trPr/>
        <w:tc>
          <w:tcPr>
            <w:tcW w:w="2835" w:type="dxa"/>
            <w:tcBorders/>
          </w:tcPr>
          <w:p>
            <w:pPr>
              <w:pStyle w:val="Normal"/>
              <w:snapToGrid w:val="false"/>
              <w:ind w:hanging="720" w:start="720" w:end="0"/>
              <w:rPr>
                <w:b/>
                <w:u w:val="single"/>
              </w:rPr>
            </w:pPr>
            <w:r>
              <w:rPr>
                <w:b/>
                <w:u w:val="single"/>
              </w:rPr>
            </w:r>
          </w:p>
          <w:p>
            <w:pPr>
              <w:pStyle w:val="Normal"/>
              <w:ind w:hanging="720" w:start="720" w:end="0"/>
              <w:rPr>
                <w:b/>
                <w:u w:val="single"/>
              </w:rPr>
            </w:pPr>
            <w:r>
              <w:rPr>
                <w:b/>
                <w:u w:val="single"/>
              </w:rPr>
              <w:t>Currency</w:t>
            </w:r>
          </w:p>
          <w:p>
            <w:pPr>
              <w:pStyle w:val="Normal"/>
              <w:ind w:hanging="720" w:start="720" w:end="0"/>
              <w:rPr>
                <w:b/>
                <w:u w:val="single"/>
              </w:rPr>
            </w:pPr>
            <w:r>
              <w:rPr>
                <w:b/>
                <w:u w:val="single"/>
              </w:rPr>
            </w:r>
          </w:p>
        </w:tc>
        <w:tc>
          <w:tcPr>
            <w:tcW w:w="1985" w:type="dxa"/>
            <w:tcBorders/>
          </w:tcPr>
          <w:p>
            <w:pPr>
              <w:pStyle w:val="Normal"/>
              <w:jc w:val="end"/>
              <w:rPr>
                <w:b/>
                <w:u w:val="single"/>
              </w:rPr>
            </w:pPr>
            <w:r>
              <w:rPr>
                <w:b/>
              </w:rPr>
              <w:t>Financial</w:t>
            </w:r>
          </w:p>
          <w:p>
            <w:pPr>
              <w:pStyle w:val="Normal"/>
              <w:jc w:val="end"/>
              <w:rPr>
                <w:b/>
                <w:u w:val="single"/>
              </w:rPr>
            </w:pPr>
            <w:r>
              <w:rPr>
                <w:b/>
                <w:u w:val="single"/>
              </w:rPr>
              <w:t>Center(s)</w:t>
            </w:r>
          </w:p>
          <w:p>
            <w:pPr>
              <w:pStyle w:val="Normal"/>
              <w:jc w:val="end"/>
              <w:rPr>
                <w:b/>
                <w:u w:val="single"/>
              </w:rPr>
            </w:pPr>
            <w:r>
              <w:rPr>
                <w:b/>
                <w:u w:val="single"/>
              </w:rPr>
            </w:r>
          </w:p>
        </w:tc>
      </w:tr>
      <w:tr>
        <w:trPr/>
        <w:tc>
          <w:tcPr>
            <w:tcW w:w="2835" w:type="dxa"/>
            <w:tcBorders/>
          </w:tcPr>
          <w:p>
            <w:pPr>
              <w:pStyle w:val="Normal"/>
              <w:ind w:hanging="720" w:start="720" w:end="0"/>
              <w:rPr/>
            </w:pPr>
            <w:r>
              <w:rPr/>
              <w:t>Argentine Peso</w:t>
            </w:r>
          </w:p>
        </w:tc>
        <w:tc>
          <w:tcPr>
            <w:tcW w:w="1985" w:type="dxa"/>
            <w:tcBorders/>
          </w:tcPr>
          <w:p>
            <w:pPr>
              <w:pStyle w:val="Normal"/>
              <w:jc w:val="end"/>
              <w:rPr/>
            </w:pPr>
            <w:r>
              <w:rPr/>
              <w:t>Buenos Aires</w:t>
            </w:r>
          </w:p>
        </w:tc>
      </w:tr>
      <w:tr>
        <w:trPr/>
        <w:tc>
          <w:tcPr>
            <w:tcW w:w="2835" w:type="dxa"/>
            <w:tcBorders/>
          </w:tcPr>
          <w:p>
            <w:pPr>
              <w:pStyle w:val="Normal"/>
              <w:ind w:hanging="720" w:start="720" w:end="0"/>
              <w:rPr/>
            </w:pPr>
            <w:r>
              <w:rPr/>
              <w:t>Australian Dollar</w:t>
            </w:r>
          </w:p>
        </w:tc>
        <w:tc>
          <w:tcPr>
            <w:tcW w:w="1985" w:type="dxa"/>
            <w:tcBorders/>
          </w:tcPr>
          <w:p>
            <w:pPr>
              <w:pStyle w:val="Normal"/>
              <w:jc w:val="end"/>
              <w:rPr/>
            </w:pPr>
            <w:r>
              <w:rPr/>
              <w:t>Sydney</w:t>
            </w:r>
          </w:p>
        </w:tc>
      </w:tr>
      <w:tr>
        <w:trPr/>
        <w:tc>
          <w:tcPr>
            <w:tcW w:w="2835" w:type="dxa"/>
            <w:tcBorders/>
          </w:tcPr>
          <w:p>
            <w:pPr>
              <w:pStyle w:val="Normal"/>
              <w:ind w:hanging="720" w:start="720" w:end="0"/>
              <w:rPr/>
            </w:pPr>
            <w:r>
              <w:rPr/>
              <w:t>Brazilian Real</w:t>
            </w:r>
          </w:p>
        </w:tc>
        <w:tc>
          <w:tcPr>
            <w:tcW w:w="1985" w:type="dxa"/>
            <w:tcBorders/>
          </w:tcPr>
          <w:p>
            <w:pPr>
              <w:pStyle w:val="Normal"/>
              <w:jc w:val="end"/>
              <w:rPr/>
            </w:pPr>
            <w:r>
              <w:rPr/>
              <w:t>São Paulo</w:t>
            </w:r>
          </w:p>
        </w:tc>
      </w:tr>
      <w:tr>
        <w:trPr/>
        <w:tc>
          <w:tcPr>
            <w:tcW w:w="2835" w:type="dxa"/>
            <w:tcBorders/>
          </w:tcPr>
          <w:p>
            <w:pPr>
              <w:pStyle w:val="Normal"/>
              <w:ind w:hanging="720" w:start="720" w:end="0"/>
              <w:rPr/>
            </w:pPr>
            <w:r>
              <w:rPr/>
              <w:t>Chilean Peso</w:t>
            </w:r>
          </w:p>
        </w:tc>
        <w:tc>
          <w:tcPr>
            <w:tcW w:w="1985" w:type="dxa"/>
            <w:tcBorders/>
          </w:tcPr>
          <w:p>
            <w:pPr>
              <w:pStyle w:val="Normal"/>
              <w:jc w:val="end"/>
              <w:rPr/>
            </w:pPr>
            <w:r>
              <w:rPr/>
              <w:t>Santiago</w:t>
            </w:r>
          </w:p>
        </w:tc>
      </w:tr>
      <w:tr>
        <w:trPr/>
        <w:tc>
          <w:tcPr>
            <w:tcW w:w="2835" w:type="dxa"/>
            <w:tcBorders/>
          </w:tcPr>
          <w:p>
            <w:pPr>
              <w:pStyle w:val="Normal"/>
              <w:ind w:hanging="720" w:start="720" w:end="0"/>
              <w:rPr/>
            </w:pPr>
            <w:bookmarkStart w:id="3" w:name="startrev"/>
            <w:bookmarkEnd w:id="3"/>
            <w:r>
              <w:rPr/>
              <w:t>Czech Koruna</w:t>
            </w:r>
          </w:p>
        </w:tc>
        <w:tc>
          <w:tcPr>
            <w:tcW w:w="1985" w:type="dxa"/>
            <w:tcBorders/>
          </w:tcPr>
          <w:p>
            <w:pPr>
              <w:pStyle w:val="Normal"/>
              <w:jc w:val="end"/>
              <w:rPr/>
            </w:pPr>
            <w:r>
              <w:rPr/>
              <w:t>Prague</w:t>
            </w:r>
          </w:p>
        </w:tc>
      </w:tr>
      <w:tr>
        <w:trPr/>
        <w:tc>
          <w:tcPr>
            <w:tcW w:w="2835" w:type="dxa"/>
            <w:tcBorders/>
          </w:tcPr>
          <w:p>
            <w:pPr>
              <w:pStyle w:val="Normal"/>
              <w:ind w:hanging="720" w:start="720" w:end="0"/>
              <w:rPr/>
            </w:pPr>
            <w:r>
              <w:rPr/>
              <w:t>Danish Krone</w:t>
            </w:r>
          </w:p>
        </w:tc>
        <w:tc>
          <w:tcPr>
            <w:tcW w:w="1985" w:type="dxa"/>
            <w:tcBorders/>
          </w:tcPr>
          <w:p>
            <w:pPr>
              <w:pStyle w:val="Normal"/>
              <w:jc w:val="end"/>
              <w:rPr/>
            </w:pPr>
            <w:r>
              <w:rPr/>
              <w:t>Copenhagen</w:t>
            </w:r>
          </w:p>
        </w:tc>
      </w:tr>
      <w:tr>
        <w:trPr/>
        <w:tc>
          <w:tcPr>
            <w:tcW w:w="2835" w:type="dxa"/>
            <w:tcBorders/>
          </w:tcPr>
          <w:p>
            <w:pPr>
              <w:pStyle w:val="Normal"/>
              <w:ind w:hanging="720" w:start="720" w:end="0"/>
              <w:rPr/>
            </w:pPr>
            <w:r>
              <w:rPr/>
              <w:t>Greek Drachma</w:t>
            </w:r>
          </w:p>
        </w:tc>
        <w:tc>
          <w:tcPr>
            <w:tcW w:w="1985" w:type="dxa"/>
            <w:tcBorders/>
          </w:tcPr>
          <w:p>
            <w:pPr>
              <w:pStyle w:val="Normal"/>
              <w:jc w:val="end"/>
              <w:rPr/>
            </w:pPr>
            <w:r>
              <w:rPr/>
              <w:t>Athens</w:t>
            </w:r>
          </w:p>
        </w:tc>
      </w:tr>
      <w:tr>
        <w:trPr/>
        <w:tc>
          <w:tcPr>
            <w:tcW w:w="2835" w:type="dxa"/>
            <w:tcBorders/>
          </w:tcPr>
          <w:p>
            <w:pPr>
              <w:pStyle w:val="Normal"/>
              <w:ind w:hanging="720" w:start="720" w:end="0"/>
              <w:rPr/>
            </w:pPr>
            <w:r>
              <w:rPr/>
              <w:t>Hong Kong Dollar</w:t>
            </w:r>
          </w:p>
        </w:tc>
        <w:tc>
          <w:tcPr>
            <w:tcW w:w="1985" w:type="dxa"/>
            <w:tcBorders/>
          </w:tcPr>
          <w:p>
            <w:pPr>
              <w:pStyle w:val="Normal"/>
              <w:jc w:val="end"/>
              <w:rPr/>
            </w:pPr>
            <w:r>
              <w:rPr/>
              <w:t>Hong Kong</w:t>
            </w:r>
          </w:p>
        </w:tc>
      </w:tr>
      <w:tr>
        <w:trPr/>
        <w:tc>
          <w:tcPr>
            <w:tcW w:w="2835" w:type="dxa"/>
            <w:tcBorders/>
          </w:tcPr>
          <w:p>
            <w:pPr>
              <w:pStyle w:val="Normal"/>
              <w:ind w:hanging="720" w:start="720" w:end="0"/>
              <w:rPr/>
            </w:pPr>
            <w:r>
              <w:rPr/>
              <w:t>Hungarian Forint</w:t>
            </w:r>
          </w:p>
        </w:tc>
        <w:tc>
          <w:tcPr>
            <w:tcW w:w="1985" w:type="dxa"/>
            <w:tcBorders/>
          </w:tcPr>
          <w:p>
            <w:pPr>
              <w:pStyle w:val="Normal"/>
              <w:jc w:val="end"/>
              <w:rPr/>
            </w:pPr>
            <w:r>
              <w:rPr/>
              <w:t>Budapest</w:t>
            </w:r>
          </w:p>
        </w:tc>
      </w:tr>
      <w:tr>
        <w:trPr/>
        <w:tc>
          <w:tcPr>
            <w:tcW w:w="2835" w:type="dxa"/>
            <w:tcBorders/>
          </w:tcPr>
          <w:p>
            <w:pPr>
              <w:pStyle w:val="Normal"/>
              <w:ind w:hanging="720" w:start="720" w:end="0"/>
              <w:rPr/>
            </w:pPr>
            <w:r>
              <w:rPr/>
              <w:t>Indonesian Rupiah</w:t>
            </w:r>
          </w:p>
        </w:tc>
        <w:tc>
          <w:tcPr>
            <w:tcW w:w="1985" w:type="dxa"/>
            <w:tcBorders/>
          </w:tcPr>
          <w:p>
            <w:pPr>
              <w:pStyle w:val="Normal"/>
              <w:jc w:val="end"/>
              <w:rPr/>
            </w:pPr>
            <w:r>
              <w:rPr/>
              <w:t>Jakarta</w:t>
            </w:r>
          </w:p>
        </w:tc>
      </w:tr>
      <w:tr>
        <w:trPr/>
        <w:tc>
          <w:tcPr>
            <w:tcW w:w="2835" w:type="dxa"/>
            <w:tcBorders/>
          </w:tcPr>
          <w:p>
            <w:pPr>
              <w:pStyle w:val="Normal"/>
              <w:ind w:hanging="720" w:start="720" w:end="0"/>
              <w:rPr/>
            </w:pPr>
            <w:r>
              <w:rPr/>
              <w:t>Korean Won</w:t>
            </w:r>
          </w:p>
        </w:tc>
        <w:tc>
          <w:tcPr>
            <w:tcW w:w="1985" w:type="dxa"/>
            <w:tcBorders/>
          </w:tcPr>
          <w:p>
            <w:pPr>
              <w:pStyle w:val="Normal"/>
              <w:jc w:val="end"/>
              <w:rPr/>
            </w:pPr>
            <w:r>
              <w:rPr/>
              <w:t>Seoul</w:t>
            </w:r>
          </w:p>
        </w:tc>
      </w:tr>
      <w:tr>
        <w:trPr/>
        <w:tc>
          <w:tcPr>
            <w:tcW w:w="2835" w:type="dxa"/>
            <w:tcBorders/>
          </w:tcPr>
          <w:p>
            <w:pPr>
              <w:pStyle w:val="Normal"/>
              <w:ind w:hanging="720" w:start="720" w:end="0"/>
              <w:rPr/>
            </w:pPr>
            <w:r>
              <w:rPr/>
              <w:t>Lebanese Pound</w:t>
            </w:r>
          </w:p>
        </w:tc>
        <w:tc>
          <w:tcPr>
            <w:tcW w:w="1985" w:type="dxa"/>
            <w:tcBorders/>
          </w:tcPr>
          <w:p>
            <w:pPr>
              <w:pStyle w:val="Normal"/>
              <w:jc w:val="end"/>
              <w:rPr/>
            </w:pPr>
            <w:r>
              <w:rPr/>
              <w:t>Beirut</w:t>
            </w:r>
          </w:p>
        </w:tc>
      </w:tr>
      <w:tr>
        <w:trPr/>
        <w:tc>
          <w:tcPr>
            <w:tcW w:w="2835" w:type="dxa"/>
            <w:tcBorders/>
          </w:tcPr>
          <w:p>
            <w:pPr>
              <w:pStyle w:val="Normal"/>
              <w:ind w:hanging="720" w:start="720" w:end="0"/>
              <w:rPr/>
            </w:pPr>
            <w:r>
              <w:rPr/>
              <w:t>Malaysian Ringgit</w:t>
            </w:r>
          </w:p>
        </w:tc>
        <w:tc>
          <w:tcPr>
            <w:tcW w:w="1985" w:type="dxa"/>
            <w:tcBorders/>
          </w:tcPr>
          <w:p>
            <w:pPr>
              <w:pStyle w:val="Normal"/>
              <w:jc w:val="end"/>
              <w:rPr/>
            </w:pPr>
            <w:r>
              <w:rPr/>
              <w:t>Kuala Lumpur</w:t>
            </w:r>
          </w:p>
        </w:tc>
      </w:tr>
      <w:tr>
        <w:trPr/>
        <w:tc>
          <w:tcPr>
            <w:tcW w:w="2835" w:type="dxa"/>
            <w:tcBorders/>
          </w:tcPr>
          <w:p>
            <w:pPr>
              <w:pStyle w:val="Normal"/>
              <w:ind w:hanging="720" w:start="720" w:end="0"/>
              <w:rPr/>
            </w:pPr>
            <w:r>
              <w:rPr/>
              <w:t>Mexican Peso</w:t>
            </w:r>
          </w:p>
        </w:tc>
        <w:tc>
          <w:tcPr>
            <w:tcW w:w="1985" w:type="dxa"/>
            <w:tcBorders/>
          </w:tcPr>
          <w:p>
            <w:pPr>
              <w:pStyle w:val="Normal"/>
              <w:jc w:val="end"/>
              <w:rPr/>
            </w:pPr>
            <w:r>
              <w:rPr/>
              <w:t>Mexico City</w:t>
            </w:r>
          </w:p>
        </w:tc>
      </w:tr>
      <w:tr>
        <w:trPr/>
        <w:tc>
          <w:tcPr>
            <w:tcW w:w="2835" w:type="dxa"/>
            <w:tcBorders/>
          </w:tcPr>
          <w:p>
            <w:pPr>
              <w:pStyle w:val="Normal"/>
              <w:ind w:hanging="720" w:start="720" w:end="0"/>
              <w:rPr/>
            </w:pPr>
            <w:r>
              <w:rPr/>
              <w:t>New Zealand Dollar</w:t>
            </w:r>
          </w:p>
        </w:tc>
        <w:tc>
          <w:tcPr>
            <w:tcW w:w="1985" w:type="dxa"/>
            <w:tcBorders/>
          </w:tcPr>
          <w:p>
            <w:pPr>
              <w:pStyle w:val="Normal"/>
              <w:jc w:val="end"/>
              <w:rPr/>
            </w:pPr>
            <w:r>
              <w:rPr/>
              <w:t>Wellington and Auckland</w:t>
            </w:r>
          </w:p>
        </w:tc>
      </w:tr>
      <w:tr>
        <w:trPr/>
        <w:tc>
          <w:tcPr>
            <w:tcW w:w="2835" w:type="dxa"/>
            <w:tcBorders/>
          </w:tcPr>
          <w:p>
            <w:pPr>
              <w:pStyle w:val="Normal"/>
              <w:ind w:hanging="720" w:start="720" w:end="0"/>
              <w:rPr/>
            </w:pPr>
            <w:r>
              <w:rPr/>
              <w:t>Norwegian Krone</w:t>
            </w:r>
          </w:p>
        </w:tc>
        <w:tc>
          <w:tcPr>
            <w:tcW w:w="1985" w:type="dxa"/>
            <w:tcBorders/>
          </w:tcPr>
          <w:p>
            <w:pPr>
              <w:pStyle w:val="Normal"/>
              <w:jc w:val="end"/>
              <w:rPr/>
            </w:pPr>
            <w:r>
              <w:rPr/>
              <w:t>Oslo</w:t>
            </w:r>
          </w:p>
        </w:tc>
      </w:tr>
      <w:tr>
        <w:trPr/>
        <w:tc>
          <w:tcPr>
            <w:tcW w:w="2835" w:type="dxa"/>
            <w:tcBorders/>
          </w:tcPr>
          <w:p>
            <w:pPr>
              <w:pStyle w:val="Normal"/>
              <w:ind w:hanging="720" w:start="720" w:end="0"/>
              <w:rPr/>
            </w:pPr>
            <w:r>
              <w:rPr/>
              <w:t>Philippine Peso</w:t>
            </w:r>
          </w:p>
        </w:tc>
        <w:tc>
          <w:tcPr>
            <w:tcW w:w="1985" w:type="dxa"/>
            <w:tcBorders/>
          </w:tcPr>
          <w:p>
            <w:pPr>
              <w:pStyle w:val="Normal"/>
              <w:jc w:val="end"/>
              <w:rPr/>
            </w:pPr>
            <w:r>
              <w:rPr/>
              <w:t>Manila</w:t>
            </w:r>
          </w:p>
        </w:tc>
      </w:tr>
      <w:tr>
        <w:trPr/>
        <w:tc>
          <w:tcPr>
            <w:tcW w:w="2835" w:type="dxa"/>
            <w:tcBorders/>
          </w:tcPr>
          <w:p>
            <w:pPr>
              <w:pStyle w:val="Normal"/>
              <w:ind w:hanging="720" w:start="720" w:end="0"/>
              <w:rPr/>
            </w:pPr>
            <w:r>
              <w:rPr/>
              <w:t>Polish Zloty</w:t>
            </w:r>
          </w:p>
        </w:tc>
        <w:tc>
          <w:tcPr>
            <w:tcW w:w="1985" w:type="dxa"/>
            <w:tcBorders/>
          </w:tcPr>
          <w:p>
            <w:pPr>
              <w:pStyle w:val="Normal"/>
              <w:jc w:val="end"/>
              <w:rPr/>
            </w:pPr>
            <w:r>
              <w:rPr/>
              <w:t>Warsaw</w:t>
            </w:r>
          </w:p>
        </w:tc>
      </w:tr>
      <w:tr>
        <w:trPr/>
        <w:tc>
          <w:tcPr>
            <w:tcW w:w="2835" w:type="dxa"/>
            <w:tcBorders/>
          </w:tcPr>
          <w:p>
            <w:pPr>
              <w:pStyle w:val="Normal"/>
              <w:ind w:hanging="720" w:start="720" w:end="0"/>
              <w:rPr/>
            </w:pPr>
            <w:r>
              <w:rPr/>
              <w:t>Russian Ruble</w:t>
            </w:r>
          </w:p>
        </w:tc>
        <w:tc>
          <w:tcPr>
            <w:tcW w:w="1985" w:type="dxa"/>
            <w:tcBorders/>
          </w:tcPr>
          <w:p>
            <w:pPr>
              <w:pStyle w:val="Normal"/>
              <w:jc w:val="end"/>
              <w:rPr/>
            </w:pPr>
            <w:r>
              <w:rPr/>
              <w:t>Moscow</w:t>
            </w:r>
          </w:p>
        </w:tc>
      </w:tr>
      <w:tr>
        <w:trPr/>
        <w:tc>
          <w:tcPr>
            <w:tcW w:w="2835" w:type="dxa"/>
            <w:tcBorders/>
          </w:tcPr>
          <w:p>
            <w:pPr>
              <w:pStyle w:val="Normal"/>
              <w:ind w:hanging="720" w:start="720" w:end="0"/>
              <w:rPr/>
            </w:pPr>
            <w:r>
              <w:rPr/>
              <w:t>Saudi Arabian Riyal</w:t>
            </w:r>
          </w:p>
        </w:tc>
        <w:tc>
          <w:tcPr>
            <w:tcW w:w="1985" w:type="dxa"/>
            <w:tcBorders/>
          </w:tcPr>
          <w:p>
            <w:pPr>
              <w:pStyle w:val="Normal"/>
              <w:jc w:val="end"/>
              <w:rPr>
                <w:b/>
                <w:i/>
                <w:i/>
              </w:rPr>
            </w:pPr>
            <w:r>
              <w:rPr/>
              <w:t>Riyadh</w:t>
            </w:r>
          </w:p>
        </w:tc>
      </w:tr>
      <w:tr>
        <w:trPr/>
        <w:tc>
          <w:tcPr>
            <w:tcW w:w="2835" w:type="dxa"/>
            <w:tcBorders/>
          </w:tcPr>
          <w:p>
            <w:pPr>
              <w:pStyle w:val="Normal"/>
              <w:ind w:hanging="720" w:start="720" w:end="0"/>
              <w:rPr/>
            </w:pPr>
            <w:r>
              <w:rPr/>
              <w:t>Singapore Dollar</w:t>
            </w:r>
          </w:p>
        </w:tc>
        <w:tc>
          <w:tcPr>
            <w:tcW w:w="1985" w:type="dxa"/>
            <w:tcBorders/>
          </w:tcPr>
          <w:p>
            <w:pPr>
              <w:pStyle w:val="Normal"/>
              <w:jc w:val="end"/>
              <w:rPr/>
            </w:pPr>
            <w:r>
              <w:rPr/>
              <w:t>Singapore</w:t>
            </w:r>
          </w:p>
        </w:tc>
      </w:tr>
      <w:tr>
        <w:trPr/>
        <w:tc>
          <w:tcPr>
            <w:tcW w:w="2835" w:type="dxa"/>
            <w:tcBorders/>
          </w:tcPr>
          <w:p>
            <w:pPr>
              <w:pStyle w:val="Normal"/>
              <w:ind w:hanging="720" w:start="720" w:end="0"/>
              <w:rPr/>
            </w:pPr>
            <w:r>
              <w:rPr/>
              <w:t>Slovak Koruna</w:t>
            </w:r>
          </w:p>
        </w:tc>
        <w:tc>
          <w:tcPr>
            <w:tcW w:w="1985" w:type="dxa"/>
            <w:tcBorders/>
          </w:tcPr>
          <w:p>
            <w:pPr>
              <w:pStyle w:val="Normal"/>
              <w:jc w:val="end"/>
              <w:rPr/>
            </w:pPr>
            <w:r>
              <w:rPr/>
              <w:t>Bratislava</w:t>
            </w:r>
          </w:p>
        </w:tc>
      </w:tr>
      <w:tr>
        <w:trPr/>
        <w:tc>
          <w:tcPr>
            <w:tcW w:w="2835" w:type="dxa"/>
            <w:tcBorders/>
          </w:tcPr>
          <w:p>
            <w:pPr>
              <w:pStyle w:val="Normal"/>
              <w:ind w:hanging="720" w:start="720" w:end="0"/>
              <w:rPr/>
            </w:pPr>
            <w:r>
              <w:rPr/>
              <w:t>South African Rand</w:t>
            </w:r>
          </w:p>
        </w:tc>
        <w:tc>
          <w:tcPr>
            <w:tcW w:w="1985" w:type="dxa"/>
            <w:tcBorders/>
          </w:tcPr>
          <w:p>
            <w:pPr>
              <w:pStyle w:val="Normal"/>
              <w:jc w:val="end"/>
              <w:rPr/>
            </w:pPr>
            <w:r>
              <w:rPr/>
              <w:t>Johannesburg</w:t>
            </w:r>
          </w:p>
        </w:tc>
      </w:tr>
      <w:tr>
        <w:trPr/>
        <w:tc>
          <w:tcPr>
            <w:tcW w:w="2835" w:type="dxa"/>
            <w:tcBorders/>
          </w:tcPr>
          <w:p>
            <w:pPr>
              <w:pStyle w:val="Normal"/>
              <w:ind w:hanging="720" w:start="720" w:end="0"/>
              <w:rPr/>
            </w:pPr>
            <w:r>
              <w:rPr/>
              <w:t>Sterling</w:t>
            </w:r>
          </w:p>
        </w:tc>
        <w:tc>
          <w:tcPr>
            <w:tcW w:w="1985" w:type="dxa"/>
            <w:tcBorders/>
          </w:tcPr>
          <w:p>
            <w:pPr>
              <w:pStyle w:val="Normal"/>
              <w:jc w:val="end"/>
              <w:rPr/>
            </w:pPr>
            <w:r>
              <w:rPr/>
              <w:t>London</w:t>
            </w:r>
          </w:p>
        </w:tc>
      </w:tr>
      <w:tr>
        <w:trPr/>
        <w:tc>
          <w:tcPr>
            <w:tcW w:w="2835" w:type="dxa"/>
            <w:tcBorders/>
          </w:tcPr>
          <w:p>
            <w:pPr>
              <w:pStyle w:val="Normal"/>
              <w:ind w:hanging="720" w:start="720" w:end="0"/>
              <w:rPr/>
            </w:pPr>
            <w:r>
              <w:rPr/>
              <w:t>Swedish Krona</w:t>
            </w:r>
          </w:p>
        </w:tc>
        <w:tc>
          <w:tcPr>
            <w:tcW w:w="1985" w:type="dxa"/>
            <w:tcBorders/>
          </w:tcPr>
          <w:p>
            <w:pPr>
              <w:pStyle w:val="Normal"/>
              <w:jc w:val="end"/>
              <w:rPr/>
            </w:pPr>
            <w:r>
              <w:rPr/>
              <w:t>Stockholm</w:t>
            </w:r>
          </w:p>
        </w:tc>
      </w:tr>
      <w:tr>
        <w:trPr/>
        <w:tc>
          <w:tcPr>
            <w:tcW w:w="2835" w:type="dxa"/>
            <w:tcBorders/>
          </w:tcPr>
          <w:p>
            <w:pPr>
              <w:pStyle w:val="Normal"/>
              <w:ind w:hanging="720" w:start="720" w:end="0"/>
              <w:rPr/>
            </w:pPr>
            <w:r>
              <w:rPr/>
              <w:t>Swiss Franc</w:t>
            </w:r>
          </w:p>
        </w:tc>
        <w:tc>
          <w:tcPr>
            <w:tcW w:w="1985" w:type="dxa"/>
            <w:tcBorders/>
          </w:tcPr>
          <w:p>
            <w:pPr>
              <w:pStyle w:val="Normal"/>
              <w:jc w:val="end"/>
              <w:rPr/>
            </w:pPr>
            <w:r>
              <w:rPr/>
              <w:t>Zurich</w:t>
            </w:r>
          </w:p>
        </w:tc>
      </w:tr>
      <w:tr>
        <w:trPr/>
        <w:tc>
          <w:tcPr>
            <w:tcW w:w="2835" w:type="dxa"/>
            <w:tcBorders/>
          </w:tcPr>
          <w:p>
            <w:pPr>
              <w:pStyle w:val="Normal"/>
              <w:ind w:hanging="720" w:start="720" w:end="0"/>
              <w:rPr/>
            </w:pPr>
            <w:r>
              <w:rPr/>
              <w:t>Thai Baht</w:t>
            </w:r>
          </w:p>
        </w:tc>
        <w:tc>
          <w:tcPr>
            <w:tcW w:w="1985" w:type="dxa"/>
            <w:tcBorders/>
          </w:tcPr>
          <w:p>
            <w:pPr>
              <w:pStyle w:val="Normal"/>
              <w:jc w:val="end"/>
              <w:rPr/>
            </w:pPr>
            <w:r>
              <w:rPr/>
              <w:t>Bangkok</w:t>
            </w:r>
          </w:p>
        </w:tc>
      </w:tr>
      <w:tr>
        <w:trPr/>
        <w:tc>
          <w:tcPr>
            <w:tcW w:w="2835" w:type="dxa"/>
            <w:tcBorders/>
          </w:tcPr>
          <w:p>
            <w:pPr>
              <w:pStyle w:val="Normal"/>
              <w:ind w:hanging="720" w:start="720" w:end="0"/>
              <w:rPr/>
            </w:pPr>
            <w:r>
              <w:rPr/>
              <w:t>Turkish Lira</w:t>
            </w:r>
          </w:p>
        </w:tc>
        <w:tc>
          <w:tcPr>
            <w:tcW w:w="1985" w:type="dxa"/>
            <w:tcBorders/>
          </w:tcPr>
          <w:p>
            <w:pPr>
              <w:pStyle w:val="Normal"/>
              <w:jc w:val="end"/>
              <w:rPr/>
            </w:pPr>
            <w:r>
              <w:rPr/>
              <w:t>Ankara</w:t>
            </w:r>
          </w:p>
        </w:tc>
      </w:tr>
    </w:tbl>
    <w:p>
      <w:pPr>
        <w:pStyle w:val="Normal"/>
        <w:rPr/>
      </w:pPr>
      <w:r>
        <w:rPr/>
      </w:r>
    </w:p>
    <w:p>
      <w:pPr>
        <w:pStyle w:val="Normal"/>
        <w:ind w:firstLine="720" w:end="0"/>
        <w:rPr/>
      </w:pPr>
      <w:r>
        <w:rPr>
          <w:b/>
        </w:rPr>
        <w:t>Section 1.6. Certain Business Days.</w:t>
      </w:r>
      <w:r>
        <w:rPr/>
        <w:t xml:space="preserve"> </w:t>
      </w:r>
      <w:r>
        <w:fldChar w:fldCharType="begin"/>
      </w:r>
      <w:r>
        <w:rPr/>
        <w:instrText xml:space="preserve"> TC "SECTION 1.6.</w:instrText>
        <w:tab/>
        <w:instrText xml:space="preserve">Certain Business Days" \l 1 </w:instrText>
      </w:r>
      <w:r>
        <w:rPr/>
        <w:fldChar w:fldCharType="separate"/>
      </w:r>
      <w:r>
        <w:rPr/>
      </w:r>
      <w:r>
        <w:rPr/>
        <w:fldChar w:fldCharType="end"/>
      </w:r>
      <w:bookmarkStart w:id="4" w:name="__RefHeading___Toc474575105"/>
      <w:bookmarkEnd w:id="4"/>
      <w:r>
        <w:rPr/>
        <w:t xml:space="preserve"> For purposes of Section 1.4(a)(ii), the financial centers will be:</w:t>
      </w:r>
    </w:p>
    <w:p>
      <w:pPr>
        <w:pStyle w:val="Normal"/>
        <w:rPr/>
      </w:pPr>
      <w:r>
        <w:rPr/>
      </w:r>
    </w:p>
    <w:p>
      <w:pPr>
        <w:pStyle w:val="Normal"/>
        <w:ind w:firstLine="720" w:end="0"/>
        <w:rPr/>
      </w:pPr>
      <w:r>
        <w:rPr/>
        <w:t>(a)</w:t>
        <w:tab/>
        <w:t xml:space="preserve">Toronto and London, if the currency is the Canadian Dollar and either (i) the payment obligation is calculated by reference to any "LIBOR" Floating Rate Option or (ii) the payment obligations of the other party to the Swap Transaction are payable in the Canadian Dollar and are calculated by reference to any "LIBOR" Floating Rate Option; </w:t>
      </w:r>
    </w:p>
    <w:p>
      <w:pPr>
        <w:pStyle w:val="Normal"/>
        <w:ind w:hanging="720" w:start="2160" w:end="0"/>
        <w:rPr/>
      </w:pPr>
      <w:r>
        <w:rPr/>
      </w:r>
    </w:p>
    <w:p>
      <w:pPr>
        <w:pStyle w:val="Normal"/>
        <w:ind w:firstLine="720" w:end="0"/>
        <w:rPr/>
      </w:pPr>
      <w:r>
        <w:rPr/>
        <w:t>(b)</w:t>
        <w:tab/>
        <w:t>Toronto, if the currency is the Canadian Dollar and neither clause (a)(i) nor (a)(ii) above is applicable;</w:t>
      </w:r>
    </w:p>
    <w:p>
      <w:pPr>
        <w:pStyle w:val="Normal"/>
        <w:ind w:firstLine="720" w:start="1440" w:end="0"/>
        <w:rPr/>
      </w:pPr>
      <w:r>
        <w:rPr/>
      </w:r>
    </w:p>
    <w:p>
      <w:pPr>
        <w:pStyle w:val="Normal"/>
        <w:ind w:firstLine="720" w:end="0"/>
        <w:rPr/>
      </w:pPr>
      <w:r>
        <w:rPr/>
        <w:t>(c)</w:t>
        <w:tab/>
        <w:t>New York and London, if the currency is the U.S. Dollar and either (i) the payment obligation is calculated by reference to any "LIBOR" Floating Rate Option or (ii) the payment obligations of the other party to the Swap Transaction are payable in the U.S. Dollar and are calculated by reference to any "LIBOR" Floating Rate Option;</w:t>
      </w:r>
    </w:p>
    <w:p>
      <w:pPr>
        <w:pStyle w:val="Normal"/>
        <w:ind w:hanging="720" w:start="2160" w:end="0"/>
        <w:rPr/>
      </w:pPr>
      <w:r>
        <w:rPr/>
      </w:r>
    </w:p>
    <w:p>
      <w:pPr>
        <w:pStyle w:val="Normal"/>
        <w:ind w:firstLine="720" w:end="0"/>
        <w:rPr/>
      </w:pPr>
      <w:r>
        <w:rPr/>
        <w:t>(d)</w:t>
        <w:tab/>
        <w:t xml:space="preserve">New York, if the currency is the U.S. Dollar and neither clause (c)(i) nor (c)(ii) above is applicable; </w:t>
      </w:r>
    </w:p>
    <w:p>
      <w:pPr>
        <w:pStyle w:val="Normal"/>
        <w:ind w:firstLine="720" w:start="1440" w:end="0"/>
        <w:rPr/>
      </w:pPr>
      <w:r>
        <w:rPr/>
      </w:r>
    </w:p>
    <w:p>
      <w:pPr>
        <w:pStyle w:val="Normal"/>
        <w:ind w:firstLine="720" w:end="0"/>
        <w:rPr/>
      </w:pPr>
      <w:r>
        <w:rPr/>
        <w:t>(e)</w:t>
        <w:tab/>
        <w:t>Tokyo and London, if the currency is the Japanese Yen and either (i) the payment obligation is calculated by reference to any "LIBOR" Floating Rate Option or (ii) the payment obligations of the other party to the Swap Transaction are payable in the Japanese Yen and are calculated by reference to any "LIBOR" Floating Rate Option; and</w:t>
      </w:r>
    </w:p>
    <w:p>
      <w:pPr>
        <w:pStyle w:val="Normal"/>
        <w:ind w:firstLine="720" w:start="1440" w:end="0"/>
        <w:rPr/>
      </w:pPr>
      <w:r>
        <w:rPr/>
      </w:r>
    </w:p>
    <w:p>
      <w:pPr>
        <w:pStyle w:val="Normal"/>
        <w:ind w:firstLine="720" w:end="0"/>
        <w:rPr/>
      </w:pPr>
      <w:r>
        <w:rPr/>
        <w:t>(f)</w:t>
        <w:tab/>
        <w:t>Tokyo, if the currency is the Japanese Yen and neither clause (e)(i) nor (e)(ii) above is applicable.</w:t>
      </w:r>
    </w:p>
    <w:p>
      <w:pPr>
        <w:pStyle w:val="Heading2"/>
        <w:ind w:firstLine="720" w:start="0" w:end="0"/>
        <w:rPr>
          <w:b w:val="false"/>
        </w:rPr>
      </w:pPr>
      <w:r>
        <w:rPr/>
        <w:t>Section 1.7. Currencies.</w:t>
      </w:r>
      <w:r>
        <w:fldChar w:fldCharType="begin"/>
      </w:r>
      <w:r>
        <w:rPr/>
        <w:instrText xml:space="preserve"> TC "SECTION 1.7.</w:instrText>
        <w:tab/>
        <w:instrText xml:space="preserve">Currencies" \l 1 </w:instrText>
      </w:r>
      <w:r>
        <w:rPr/>
        <w:fldChar w:fldCharType="separate"/>
      </w:r>
      <w:r>
        <w:rPr/>
      </w:r>
      <w:r>
        <w:rPr/>
        <w:fldChar w:fldCharType="end"/>
      </w:r>
      <w:bookmarkStart w:id="5" w:name="__RefHeading___Toc474575106"/>
      <w:bookmarkEnd w:id="5"/>
    </w:p>
    <w:p>
      <w:pPr>
        <w:pStyle w:val="Normal"/>
        <w:ind w:firstLine="720" w:end="0"/>
        <w:rPr/>
      </w:pPr>
      <w:bookmarkStart w:id="6" w:name="ARTICLE1"/>
      <w:bookmarkEnd w:id="6"/>
      <w:r>
        <w:rPr/>
        <w:t>(a)</w:t>
        <w:tab/>
      </w:r>
      <w:r>
        <w:rPr>
          <w:b/>
        </w:rPr>
        <w:t xml:space="preserve">Argentine Peso.  </w:t>
      </w:r>
      <w:r>
        <w:rPr/>
        <w:t>"Argentine Peso" and "ARS" each means the lawful currency of the Argentine Republic.</w:t>
      </w:r>
    </w:p>
    <w:p>
      <w:pPr>
        <w:pStyle w:val="Normal"/>
        <w:ind w:firstLine="720" w:end="0"/>
        <w:rPr/>
      </w:pPr>
      <w:r>
        <w:rPr/>
      </w:r>
    </w:p>
    <w:p>
      <w:pPr>
        <w:pStyle w:val="Normal"/>
        <w:ind w:firstLine="720" w:end="0"/>
        <w:rPr/>
      </w:pPr>
      <w:r>
        <w:rPr/>
        <w:t>(b)</w:t>
        <w:tab/>
      </w:r>
      <w:r>
        <w:rPr>
          <w:b/>
        </w:rPr>
        <w:t xml:space="preserve">Australian Dollar.  </w:t>
      </w:r>
      <w:r>
        <w:rPr/>
        <w:t>"Australian Dollar", "A$" and "AUD" each means the lawful currency of Australia.</w:t>
      </w:r>
    </w:p>
    <w:p>
      <w:pPr>
        <w:pStyle w:val="Normal"/>
        <w:ind w:firstLine="720" w:end="0"/>
        <w:rPr/>
      </w:pPr>
      <w:r>
        <w:rPr/>
      </w:r>
    </w:p>
    <w:p>
      <w:pPr>
        <w:pStyle w:val="Normal"/>
        <w:ind w:firstLine="720" w:end="0"/>
        <w:rPr/>
      </w:pPr>
      <w:r>
        <w:rPr/>
        <w:t>(c)</w:t>
        <w:tab/>
      </w:r>
      <w:r>
        <w:rPr>
          <w:b/>
        </w:rPr>
        <w:t xml:space="preserve">Brazilian Real.  </w:t>
      </w:r>
      <w:r>
        <w:rPr/>
        <w:t>"Brazilian Real", "Brazilian Reais" and "BRL" each means the lawful currency of the Federative Republic of Brazil.</w:t>
      </w:r>
    </w:p>
    <w:p>
      <w:pPr>
        <w:pStyle w:val="Normal"/>
        <w:rPr/>
      </w:pPr>
      <w:r>
        <w:rPr/>
      </w:r>
    </w:p>
    <w:p>
      <w:pPr>
        <w:pStyle w:val="Normal"/>
        <w:ind w:firstLine="720" w:end="0"/>
        <w:rPr/>
      </w:pPr>
      <w:r>
        <w:rPr/>
        <w:t>(d)</w:t>
        <w:tab/>
      </w:r>
      <w:r>
        <w:rPr>
          <w:b/>
        </w:rPr>
        <w:t>Canadian Dollar.</w:t>
      </w:r>
      <w:r>
        <w:rPr/>
        <w:t xml:space="preserve">  "Canadian Dollar", "C$" and "CAD" each means the lawful currency of Canada.</w:t>
      </w:r>
    </w:p>
    <w:p>
      <w:pPr>
        <w:pStyle w:val="Normal"/>
        <w:ind w:hanging="720" w:start="720" w:end="0"/>
        <w:rPr/>
      </w:pPr>
      <w:r>
        <w:rPr/>
      </w:r>
    </w:p>
    <w:p>
      <w:pPr>
        <w:pStyle w:val="Normal"/>
        <w:ind w:firstLine="720" w:end="0"/>
        <w:rPr/>
      </w:pPr>
      <w:r>
        <w:rPr/>
        <w:t>(e)</w:t>
        <w:tab/>
      </w:r>
      <w:r>
        <w:rPr>
          <w:b/>
        </w:rPr>
        <w:t xml:space="preserve">Chilean Peso.  </w:t>
      </w:r>
      <w:r>
        <w:rPr/>
        <w:t>"Chilean Peso" and "CLP" each means the lawful currency of the Republic of Chile.</w:t>
      </w:r>
    </w:p>
    <w:p>
      <w:pPr>
        <w:pStyle w:val="Normal"/>
        <w:ind w:firstLine="720" w:end="0"/>
        <w:rPr/>
      </w:pPr>
      <w:r>
        <w:rPr/>
      </w:r>
    </w:p>
    <w:p>
      <w:pPr>
        <w:pStyle w:val="Normal"/>
        <w:ind w:firstLine="720" w:end="0"/>
        <w:rPr/>
      </w:pPr>
      <w:r>
        <w:rPr/>
        <w:t>(f)</w:t>
        <w:tab/>
      </w:r>
      <w:r>
        <w:rPr>
          <w:b/>
        </w:rPr>
        <w:t>Czech Koruna.</w:t>
      </w:r>
      <w:r>
        <w:rPr/>
        <w:t xml:space="preserve">  "Czech Koruna" and "CZK" each means the lawful currency of the Czech Republic.</w:t>
      </w:r>
    </w:p>
    <w:p>
      <w:pPr>
        <w:pStyle w:val="Normal"/>
        <w:ind w:hanging="720" w:start="720" w:end="0"/>
        <w:rPr/>
      </w:pPr>
      <w:r>
        <w:rPr/>
      </w:r>
    </w:p>
    <w:p>
      <w:pPr>
        <w:pStyle w:val="Normal"/>
        <w:ind w:firstLine="720" w:end="0"/>
        <w:rPr/>
      </w:pPr>
      <w:r>
        <w:rPr/>
        <w:t>(g)</w:t>
        <w:tab/>
      </w:r>
      <w:r>
        <w:rPr>
          <w:b/>
        </w:rPr>
        <w:t>Danish Krone.</w:t>
      </w:r>
      <w:r>
        <w:rPr/>
        <w:t xml:space="preserve">  "Danish Krone", "DKr" and "DKK" each means the lawful currency of the Kingdom of Denmark.  </w:t>
      </w:r>
    </w:p>
    <w:p>
      <w:pPr>
        <w:pStyle w:val="Normal"/>
        <w:ind w:hanging="720" w:start="720" w:end="0"/>
        <w:rPr/>
      </w:pPr>
      <w:r>
        <w:rPr/>
      </w:r>
    </w:p>
    <w:p>
      <w:pPr>
        <w:pStyle w:val="Normal"/>
        <w:ind w:firstLine="720" w:end="0"/>
        <w:rPr/>
      </w:pPr>
      <w:r>
        <w:rPr/>
        <w:t>(h)</w:t>
        <w:tab/>
      </w:r>
      <w:r>
        <w:rPr>
          <w:b/>
        </w:rPr>
        <w:t xml:space="preserve">Euro.  </w:t>
      </w:r>
      <w:r>
        <w:rPr/>
        <w:t>"Euro", "euro", "</w:t>
      </w:r>
      <w:r>
        <w:rPr>
          <w:rFonts w:eastAsia="Euro Sign" w:cs="Euro Sign" w:ascii="Euro Sign" w:hAnsi="Euro Sign"/>
        </w:rPr>
        <w:sym w:font="Euro Sign" w:char="f065"/>
      </w:r>
      <w:r>
        <w:rPr/>
        <w:t>" and "EUR" each means the lawful currency of the member states of the European Union that adopt the single currency in accordance with the EC Treaty.</w:t>
      </w:r>
    </w:p>
    <w:p>
      <w:pPr>
        <w:pStyle w:val="Normal"/>
        <w:rPr/>
      </w:pPr>
      <w:r>
        <w:rPr/>
      </w:r>
    </w:p>
    <w:p>
      <w:pPr>
        <w:pStyle w:val="Normal"/>
        <w:ind w:firstLine="720" w:end="0"/>
        <w:rPr/>
      </w:pPr>
      <w:r>
        <w:rPr/>
        <w:t>(i)</w:t>
        <w:tab/>
      </w:r>
      <w:r>
        <w:rPr>
          <w:b/>
        </w:rPr>
        <w:t xml:space="preserve">Greek Drachma.  </w:t>
      </w:r>
      <w:r>
        <w:rPr/>
        <w:t>"Greek Drachma" and "GRD" each means the lawful currency of Greece.</w:t>
      </w:r>
    </w:p>
    <w:p>
      <w:pPr>
        <w:pStyle w:val="Normal"/>
        <w:ind w:hanging="720" w:start="720" w:end="0"/>
        <w:rPr/>
      </w:pPr>
      <w:r>
        <w:rPr/>
      </w:r>
    </w:p>
    <w:p>
      <w:pPr>
        <w:pStyle w:val="Normal"/>
        <w:ind w:firstLine="720" w:end="0"/>
        <w:rPr/>
      </w:pPr>
      <w:r>
        <w:rPr/>
        <w:t>(j)</w:t>
        <w:tab/>
      </w:r>
      <w:r>
        <w:rPr>
          <w:b/>
        </w:rPr>
        <w:t>Hong Kong Dollar.</w:t>
      </w:r>
      <w:r>
        <w:rPr/>
        <w:t xml:space="preserve">  "Hong Kong Dollar", "HK$" and "HKD" each means the lawful currency of Hong Kong.  </w:t>
      </w:r>
    </w:p>
    <w:p>
      <w:pPr>
        <w:pStyle w:val="Normal"/>
        <w:ind w:hanging="720" w:start="720" w:end="0"/>
        <w:rPr/>
      </w:pPr>
      <w:r>
        <w:rPr/>
      </w:r>
    </w:p>
    <w:p>
      <w:pPr>
        <w:pStyle w:val="Normal"/>
        <w:ind w:firstLine="720" w:end="0"/>
        <w:rPr/>
      </w:pPr>
      <w:r>
        <w:rPr/>
        <w:t>(k)</w:t>
        <w:tab/>
      </w:r>
      <w:r>
        <w:rPr>
          <w:b/>
        </w:rPr>
        <w:t>Hungarian Forint.</w:t>
      </w:r>
      <w:r>
        <w:rPr/>
        <w:t xml:space="preserve">  "Hungarian Forint" and "HUF" each means the lawful currency of the Republic of Hungary. </w:t>
      </w:r>
    </w:p>
    <w:p>
      <w:pPr>
        <w:pStyle w:val="Normal"/>
        <w:ind w:hanging="720" w:start="720" w:end="0"/>
        <w:rPr/>
      </w:pPr>
      <w:r>
        <w:rPr/>
      </w:r>
    </w:p>
    <w:p>
      <w:pPr>
        <w:pStyle w:val="Normal"/>
        <w:ind w:firstLine="720" w:end="0"/>
        <w:rPr/>
      </w:pPr>
      <w:r>
        <w:rPr/>
        <w:t>(l)</w:t>
        <w:tab/>
      </w:r>
      <w:r>
        <w:rPr>
          <w:b/>
        </w:rPr>
        <w:t>Indonesian Rupiah.</w:t>
      </w:r>
      <w:r>
        <w:rPr/>
        <w:t xml:space="preserve">  "Indonesian Rupiah" and "IDR" each means the lawful currency of the Republic of Indonesia. </w:t>
      </w:r>
    </w:p>
    <w:p>
      <w:pPr>
        <w:pStyle w:val="Normal"/>
        <w:ind w:hanging="720" w:start="720" w:end="0"/>
        <w:rPr/>
      </w:pPr>
      <w:r>
        <w:rPr/>
      </w:r>
    </w:p>
    <w:p>
      <w:pPr>
        <w:pStyle w:val="Normal"/>
        <w:ind w:firstLine="720" w:end="0"/>
        <w:rPr/>
      </w:pPr>
      <w:r>
        <w:rPr/>
        <w:t>(m)</w:t>
        <w:tab/>
      </w:r>
      <w:r>
        <w:rPr>
          <w:b/>
        </w:rPr>
        <w:t>Japanese Yen.</w:t>
      </w:r>
      <w:r>
        <w:rPr/>
        <w:t xml:space="preserve">  "Yen", "¥" and "JPY" each means the lawful currency of Japan.</w:t>
      </w:r>
    </w:p>
    <w:p>
      <w:pPr>
        <w:pStyle w:val="Normal"/>
        <w:ind w:firstLine="720" w:end="0"/>
        <w:rPr/>
      </w:pPr>
      <w:r>
        <w:rPr/>
      </w:r>
    </w:p>
    <w:p>
      <w:pPr>
        <w:pStyle w:val="Normal"/>
        <w:ind w:firstLine="720" w:end="0"/>
        <w:rPr/>
      </w:pPr>
      <w:r>
        <w:rPr/>
        <w:t>(n)</w:t>
        <w:tab/>
      </w:r>
      <w:r>
        <w:rPr>
          <w:b/>
        </w:rPr>
        <w:t xml:space="preserve">Korean Won.  </w:t>
      </w:r>
      <w:r>
        <w:rPr/>
        <w:t>"Korean Won" and "KRW" each means the lawful currency of the Republic of Korea.</w:t>
      </w:r>
    </w:p>
    <w:p>
      <w:pPr>
        <w:pStyle w:val="Normal"/>
        <w:ind w:firstLine="720" w:end="0"/>
        <w:rPr/>
      </w:pPr>
      <w:r>
        <w:rPr/>
      </w:r>
    </w:p>
    <w:p>
      <w:pPr>
        <w:pStyle w:val="Normal"/>
        <w:ind w:firstLine="720" w:end="0"/>
        <w:rPr/>
      </w:pPr>
      <w:r>
        <w:rPr/>
        <w:t>(o)</w:t>
        <w:tab/>
      </w:r>
      <w:r>
        <w:rPr>
          <w:b/>
        </w:rPr>
        <w:t xml:space="preserve">Lebanese Pound. </w:t>
      </w:r>
      <w:r>
        <w:rPr/>
        <w:t xml:space="preserve"> "Lebanese Pound" and "LBP" each means the lawful currency of the Republic of Lebanon. </w:t>
      </w:r>
    </w:p>
    <w:p>
      <w:pPr>
        <w:pStyle w:val="Normal"/>
        <w:ind w:hanging="720" w:start="720" w:end="0"/>
        <w:rPr/>
      </w:pPr>
      <w:r>
        <w:rPr/>
      </w:r>
    </w:p>
    <w:p>
      <w:pPr>
        <w:pStyle w:val="Normal"/>
        <w:ind w:firstLine="720" w:end="0"/>
        <w:rPr/>
      </w:pPr>
      <w:r>
        <w:rPr/>
        <w:t>(p)</w:t>
        <w:tab/>
      </w:r>
      <w:r>
        <w:rPr>
          <w:b/>
        </w:rPr>
        <w:t>Malaysian Ringgit.</w:t>
      </w:r>
      <w:r>
        <w:rPr/>
        <w:t xml:space="preserve">  "Malaysian Ringgit" and "MYR" each means the lawful currency of the Federation of Malaysia.</w:t>
      </w:r>
    </w:p>
    <w:p>
      <w:pPr>
        <w:pStyle w:val="Normal"/>
        <w:ind w:firstLine="720" w:end="0"/>
        <w:rPr/>
      </w:pPr>
      <w:r>
        <w:rPr/>
      </w:r>
    </w:p>
    <w:p>
      <w:pPr>
        <w:pStyle w:val="Normal"/>
        <w:ind w:firstLine="720" w:end="0"/>
        <w:rPr/>
      </w:pPr>
      <w:r>
        <w:rPr/>
        <w:t>(q)</w:t>
        <w:tab/>
      </w:r>
      <w:r>
        <w:rPr>
          <w:b/>
        </w:rPr>
        <w:t xml:space="preserve">Mexican Peso.  </w:t>
      </w:r>
      <w:r>
        <w:rPr/>
        <w:t>"Mexican Peso", "MXN" and "MXP" each means the lawful currency of the United Mexican States.</w:t>
      </w:r>
    </w:p>
    <w:p>
      <w:pPr>
        <w:pStyle w:val="Normal"/>
        <w:ind w:firstLine="720" w:end="0"/>
        <w:rPr>
          <w:b/>
        </w:rPr>
      </w:pPr>
      <w:r>
        <w:rPr>
          <w:b/>
        </w:rPr>
      </w:r>
    </w:p>
    <w:p>
      <w:pPr>
        <w:pStyle w:val="Normal"/>
        <w:ind w:firstLine="720" w:end="0"/>
        <w:rPr/>
      </w:pPr>
      <w:r>
        <w:rPr/>
        <w:t>(r)</w:t>
        <w:tab/>
      </w:r>
      <w:r>
        <w:rPr>
          <w:b/>
        </w:rPr>
        <w:t>New Zealand Dollar.</w:t>
      </w:r>
      <w:r>
        <w:rPr/>
        <w:t xml:space="preserve">  "New Zealand Dollar", "NZ$" and "NZD" each means the lawful currency of New Zealand.  </w:t>
      </w:r>
    </w:p>
    <w:p>
      <w:pPr>
        <w:pStyle w:val="Normal"/>
        <w:ind w:hanging="720" w:start="720" w:end="0"/>
        <w:rPr/>
      </w:pPr>
      <w:r>
        <w:rPr/>
      </w:r>
    </w:p>
    <w:p>
      <w:pPr>
        <w:pStyle w:val="Normal"/>
        <w:ind w:firstLine="720" w:end="0"/>
        <w:rPr/>
      </w:pPr>
      <w:r>
        <w:rPr/>
        <w:t>(s)</w:t>
        <w:tab/>
      </w:r>
      <w:r>
        <w:rPr>
          <w:b/>
        </w:rPr>
        <w:t>Norwegian Krone.</w:t>
      </w:r>
      <w:r>
        <w:rPr/>
        <w:t xml:space="preserve">  "Norwegian Krone", "NKr" and "NOK" each means the lawful currency of the Kingdom of Norway.  </w:t>
      </w:r>
    </w:p>
    <w:p>
      <w:pPr>
        <w:pStyle w:val="Normal"/>
        <w:ind w:hanging="720" w:start="720" w:end="0"/>
        <w:rPr/>
      </w:pPr>
      <w:r>
        <w:rPr/>
      </w:r>
    </w:p>
    <w:p>
      <w:pPr>
        <w:pStyle w:val="Normal"/>
        <w:ind w:firstLine="720" w:end="0"/>
        <w:rPr/>
      </w:pPr>
      <w:r>
        <w:rPr/>
        <w:t>(t)</w:t>
        <w:tab/>
      </w:r>
      <w:r>
        <w:rPr>
          <w:b/>
        </w:rPr>
        <w:t xml:space="preserve">Philippine Peso.  </w:t>
      </w:r>
      <w:r>
        <w:rPr/>
        <w:t>"Philippine Peso" and "PHP" each means the lawful currency of the Republic of the Philippines.</w:t>
      </w:r>
    </w:p>
    <w:p>
      <w:pPr>
        <w:pStyle w:val="Normal"/>
        <w:ind w:firstLine="720" w:end="0"/>
        <w:rPr/>
      </w:pPr>
      <w:r>
        <w:rPr/>
      </w:r>
    </w:p>
    <w:p>
      <w:pPr>
        <w:pStyle w:val="Normal"/>
        <w:ind w:firstLine="720" w:end="0"/>
        <w:rPr/>
      </w:pPr>
      <w:r>
        <w:rPr/>
        <w:t>(u)</w:t>
        <w:tab/>
      </w:r>
      <w:r>
        <w:rPr>
          <w:b/>
        </w:rPr>
        <w:t>Polish Zloty.</w:t>
      </w:r>
      <w:r>
        <w:rPr/>
        <w:t xml:space="preserve">  "Polish Zloty", "PLN" and "PLZ" each means the lawful currency of the Republic of Poland</w:t>
      </w:r>
    </w:p>
    <w:p>
      <w:pPr>
        <w:pStyle w:val="Normal"/>
        <w:ind w:firstLine="720" w:end="0"/>
        <w:rPr/>
      </w:pPr>
      <w:r>
        <w:rPr/>
      </w:r>
    </w:p>
    <w:p>
      <w:pPr>
        <w:pStyle w:val="Normal"/>
        <w:ind w:firstLine="720" w:end="0"/>
        <w:rPr/>
      </w:pPr>
      <w:r>
        <w:rPr/>
        <w:t>(v)</w:t>
        <w:tab/>
      </w:r>
      <w:r>
        <w:rPr>
          <w:b/>
        </w:rPr>
        <w:t>Russian Ruble.</w:t>
      </w:r>
      <w:r>
        <w:rPr/>
        <w:t xml:space="preserve">  "Russian Ruble", Russian Rouble", "RUR" and "RUB" each means the lawful currency of the Russian Federation. </w:t>
      </w:r>
    </w:p>
    <w:p>
      <w:pPr>
        <w:pStyle w:val="Normal"/>
        <w:ind w:hanging="720" w:start="720" w:end="0"/>
        <w:rPr/>
      </w:pPr>
      <w:r>
        <w:rPr/>
      </w:r>
    </w:p>
    <w:p>
      <w:pPr>
        <w:pStyle w:val="Normal"/>
        <w:ind w:firstLine="720" w:end="0"/>
        <w:rPr>
          <w:b/>
          <w:i/>
          <w:i/>
        </w:rPr>
      </w:pPr>
      <w:r>
        <w:rPr/>
        <w:t>(w)</w:t>
      </w:r>
      <w:r>
        <w:rPr>
          <w:b/>
          <w:i/>
        </w:rPr>
        <w:tab/>
      </w:r>
      <w:r>
        <w:rPr>
          <w:b/>
        </w:rPr>
        <w:t xml:space="preserve">Saudi Arabian Riyal.  </w:t>
      </w:r>
      <w:r>
        <w:rPr/>
        <w:t>"Saudi Arabian Riyal", "Saudi Riyal", "Saudi Arabian Rial", "SAR" and "Riyal" each means the lawful currency of the Kingdom of Saudi Arabia.</w:t>
      </w:r>
    </w:p>
    <w:p>
      <w:pPr>
        <w:pStyle w:val="Normal"/>
        <w:ind w:hanging="720" w:start="720" w:end="0"/>
        <w:rPr>
          <w:b/>
          <w:i/>
          <w:i/>
        </w:rPr>
      </w:pPr>
      <w:r>
        <w:rPr>
          <w:b/>
          <w:i/>
        </w:rPr>
      </w:r>
    </w:p>
    <w:p>
      <w:pPr>
        <w:pStyle w:val="Normal"/>
        <w:ind w:firstLine="720" w:end="0"/>
        <w:rPr/>
      </w:pPr>
      <w:r>
        <w:rPr/>
        <w:t>(x)</w:t>
        <w:tab/>
      </w:r>
      <w:r>
        <w:rPr>
          <w:b/>
        </w:rPr>
        <w:t>Singapore Dollar.</w:t>
      </w:r>
      <w:r>
        <w:rPr/>
        <w:t xml:space="preserve">  "Singapore Dollar", "S$" and "SGD" each means the lawful currency of the Republic of Singapore.</w:t>
      </w:r>
    </w:p>
    <w:p>
      <w:pPr>
        <w:pStyle w:val="Normal"/>
        <w:ind w:hanging="720" w:start="720" w:end="0"/>
        <w:rPr/>
      </w:pPr>
      <w:r>
        <w:rPr/>
      </w:r>
    </w:p>
    <w:p>
      <w:pPr>
        <w:pStyle w:val="Normal"/>
        <w:ind w:firstLine="720" w:end="0"/>
        <w:rPr/>
      </w:pPr>
      <w:r>
        <w:rPr/>
        <w:t>(y)</w:t>
        <w:tab/>
      </w:r>
      <w:r>
        <w:rPr>
          <w:b/>
        </w:rPr>
        <w:t>Slovak Koruna.</w:t>
      </w:r>
      <w:r>
        <w:rPr/>
        <w:t xml:space="preserve">  "Slovak Koruna" and "SKK" each means the lawful currency of the Slovak Republic.</w:t>
      </w:r>
    </w:p>
    <w:p>
      <w:pPr>
        <w:pStyle w:val="Normal"/>
        <w:ind w:hanging="720" w:start="720" w:end="0"/>
        <w:rPr/>
      </w:pPr>
      <w:r>
        <w:rPr/>
      </w:r>
    </w:p>
    <w:p>
      <w:pPr>
        <w:pStyle w:val="Normal"/>
        <w:ind w:firstLine="720" w:end="0"/>
        <w:rPr/>
      </w:pPr>
      <w:r>
        <w:rPr/>
        <w:t>(z)</w:t>
        <w:tab/>
      </w:r>
      <w:r>
        <w:rPr>
          <w:b/>
        </w:rPr>
        <w:t>South African Rand.</w:t>
      </w:r>
      <w:r>
        <w:rPr/>
        <w:t xml:space="preserve">  "South African Rand", "Rand", "R" and "ZAR" each means the lawful currency of the Republic of South Africa. </w:t>
      </w:r>
    </w:p>
    <w:p>
      <w:pPr>
        <w:pStyle w:val="Normal"/>
        <w:rPr/>
      </w:pPr>
      <w:r>
        <w:rPr/>
      </w:r>
    </w:p>
    <w:p>
      <w:pPr>
        <w:pStyle w:val="Normal"/>
        <w:ind w:firstLine="720" w:end="0"/>
        <w:rPr/>
      </w:pPr>
      <w:r>
        <w:rPr/>
        <w:t>(aa)</w:t>
        <w:tab/>
      </w:r>
      <w:r>
        <w:rPr>
          <w:b/>
        </w:rPr>
        <w:t>Sterling.</w:t>
      </w:r>
      <w:r>
        <w:rPr/>
        <w:t xml:space="preserve">  "Sterling", "£", "GBP" and "STG" each means the lawful currency of the United Kingdom.</w:t>
      </w:r>
    </w:p>
    <w:p>
      <w:pPr>
        <w:pStyle w:val="Normal"/>
        <w:ind w:hanging="720" w:start="720" w:end="0"/>
        <w:rPr/>
      </w:pPr>
      <w:r>
        <w:rPr/>
      </w:r>
    </w:p>
    <w:p>
      <w:pPr>
        <w:pStyle w:val="Normal"/>
        <w:ind w:firstLine="720" w:end="0"/>
        <w:rPr/>
      </w:pPr>
      <w:r>
        <w:rPr/>
        <w:t>(ab)</w:t>
        <w:tab/>
      </w:r>
      <w:r>
        <w:rPr>
          <w:b/>
        </w:rPr>
        <w:t>Swedish Krona.</w:t>
      </w:r>
      <w:r>
        <w:rPr/>
        <w:t xml:space="preserve">  "Swedish Krona", "SKr" and "SEK" each means the lawful currency of the Kingdom of Sweden.  </w:t>
      </w:r>
    </w:p>
    <w:p>
      <w:pPr>
        <w:pStyle w:val="Normal"/>
        <w:ind w:hanging="720" w:start="720" w:end="0"/>
        <w:rPr/>
      </w:pPr>
      <w:r>
        <w:rPr/>
      </w:r>
    </w:p>
    <w:p>
      <w:pPr>
        <w:pStyle w:val="Normal"/>
        <w:ind w:firstLine="720" w:end="0"/>
        <w:rPr/>
      </w:pPr>
      <w:r>
        <w:rPr/>
        <w:t>(ac)</w:t>
        <w:tab/>
      </w:r>
      <w:r>
        <w:rPr>
          <w:b/>
        </w:rPr>
        <w:t>Swiss Franc.</w:t>
      </w:r>
      <w:r>
        <w:rPr/>
        <w:t xml:space="preserve">  "Swiss Franc", "Sfr", "CHF" and "SWF" each means the lawful currency of Switzerland.  </w:t>
      </w:r>
    </w:p>
    <w:p>
      <w:pPr>
        <w:pStyle w:val="Normal"/>
        <w:ind w:hanging="720" w:start="720" w:end="0"/>
        <w:rPr/>
      </w:pPr>
      <w:r>
        <w:rPr/>
      </w:r>
    </w:p>
    <w:p>
      <w:pPr>
        <w:pStyle w:val="Normal"/>
        <w:ind w:firstLine="720" w:end="0"/>
        <w:rPr/>
      </w:pPr>
      <w:r>
        <w:rPr/>
        <w:t>(ad)</w:t>
        <w:tab/>
      </w:r>
      <w:r>
        <w:rPr>
          <w:b/>
        </w:rPr>
        <w:t>Thai Baht.</w:t>
      </w:r>
      <w:r>
        <w:rPr/>
        <w:t xml:space="preserve">  "Thai Baht" and "THB" each means the lawful currency of the Kingdom of Thailand.</w:t>
      </w:r>
    </w:p>
    <w:p>
      <w:pPr>
        <w:pStyle w:val="Normal"/>
        <w:ind w:firstLine="720" w:end="0"/>
        <w:rPr/>
      </w:pPr>
      <w:r>
        <w:rPr/>
        <w:t>(ae)</w:t>
        <w:tab/>
      </w:r>
      <w:r>
        <w:rPr>
          <w:b/>
        </w:rPr>
        <w:t xml:space="preserve">Turkish Lira.  </w:t>
      </w:r>
      <w:r>
        <w:rPr/>
        <w:t xml:space="preserve">"Turkish Lira" and "TRL" each means the lawful currency of the Republic of Turkey. </w:t>
      </w:r>
    </w:p>
    <w:p>
      <w:pPr>
        <w:pStyle w:val="Normal"/>
        <w:ind w:firstLine="720" w:end="0"/>
        <w:rPr>
          <w:b/>
        </w:rPr>
      </w:pPr>
      <w:r>
        <w:rPr>
          <w:b/>
        </w:rPr>
      </w:r>
    </w:p>
    <w:p>
      <w:pPr>
        <w:pStyle w:val="Normal"/>
        <w:ind w:firstLine="720" w:end="0"/>
        <w:rPr/>
      </w:pPr>
      <w:r>
        <w:rPr/>
        <w:t>(af)</w:t>
        <w:tab/>
      </w:r>
      <w:r>
        <w:rPr>
          <w:b/>
        </w:rPr>
        <w:t>U.S. Dollar.</w:t>
      </w:r>
      <w:r>
        <w:rPr/>
        <w:t xml:space="preserve">  "U.S. Dollar", "Dollar", "U.S.$", "$" and "USD" each means the lawful currency of the United States of America.  </w:t>
      </w:r>
    </w:p>
    <w:p>
      <w:pPr>
        <w:pStyle w:val="Normal"/>
        <w:ind w:firstLine="720" w:end="0"/>
        <w:rPr/>
      </w:pPr>
      <w:r>
        <w:rPr/>
      </w:r>
    </w:p>
    <w:p>
      <w:pPr>
        <w:pStyle w:val="Normal"/>
        <w:ind w:hanging="720" w:start="720" w:end="0"/>
        <w:rPr/>
      </w:pPr>
      <w:r>
        <w:rPr/>
      </w:r>
      <w:r>
        <w:br w:type="page"/>
      </w:r>
    </w:p>
    <w:p>
      <w:pPr>
        <w:pStyle w:val="Normal"/>
        <w:ind w:hanging="720" w:start="720" w:end="0"/>
        <w:jc w:val="center"/>
        <w:rPr>
          <w:b/>
        </w:rPr>
      </w:pPr>
      <w:r>
        <w:rPr>
          <w:b/>
        </w:rPr>
        <w:t>ARTICLE 6</w:t>
      </w:r>
    </w:p>
    <w:p>
      <w:pPr>
        <w:pStyle w:val="Normal"/>
        <w:ind w:hanging="720" w:start="720" w:end="0"/>
        <w:jc w:val="center"/>
        <w:rPr>
          <w:b/>
        </w:rPr>
      </w:pPr>
      <w:r>
        <w:rPr>
          <w:b/>
        </w:rPr>
      </w:r>
    </w:p>
    <w:p>
      <w:pPr>
        <w:pStyle w:val="Normal"/>
        <w:ind w:hanging="720" w:start="720" w:end="0"/>
        <w:jc w:val="center"/>
        <w:rPr>
          <w:b/>
        </w:rPr>
      </w:pPr>
      <w:r>
        <w:rPr>
          <w:b/>
        </w:rPr>
        <w:t>FLOATING AMOUNTS</w:t>
      </w:r>
    </w:p>
    <w:p>
      <w:pPr>
        <w:pStyle w:val="Normal"/>
        <w:ind w:hanging="720" w:start="720" w:end="0"/>
        <w:rPr>
          <w:b/>
        </w:rPr>
      </w:pPr>
      <w:r>
        <w:rPr>
          <w:b/>
        </w:rPr>
      </w:r>
    </w:p>
    <w:p>
      <w:pPr>
        <w:pStyle w:val="Normal"/>
        <w:ind w:firstLine="720" w:start="720" w:end="0"/>
        <w:rPr/>
      </w:pPr>
      <w:bookmarkStart w:id="7" w:name="ARTICLE6"/>
      <w:r>
        <w:rPr>
          <w:b/>
        </w:rPr>
        <w:t>Section 6.2(g).</w:t>
      </w:r>
      <w:r>
        <w:fldChar w:fldCharType="begin"/>
      </w:r>
      <w:r>
        <w:rPr/>
        <w:instrText xml:space="preserve"> TC "SECTION 6.2(g)" \l 1 </w:instrText>
      </w:r>
      <w:r>
        <w:rPr/>
        <w:fldChar w:fldCharType="separate"/>
      </w:r>
      <w:r>
        <w:rPr/>
      </w:r>
      <w:r>
        <w:rPr/>
        <w:fldChar w:fldCharType="end"/>
      </w:r>
      <w:bookmarkStart w:id="8" w:name="__RefHeading___Toc474574415"/>
      <w:bookmarkEnd w:id="8"/>
      <w:r>
        <w:rPr>
          <w:b/>
        </w:rPr>
        <w:t xml:space="preserve"> </w:t>
      </w:r>
      <w:r>
        <w:rPr/>
        <w:t>For purposes of Section 6.2(f)(ii), the  Day Count Fraction for each of the following Floating Rate Options is indicated below:</w:t>
      </w:r>
      <w:bookmarkEnd w:id="7"/>
    </w:p>
    <w:p>
      <w:pPr>
        <w:pStyle w:val="Normal"/>
        <w:ind w:firstLine="720" w:start="720" w:end="0"/>
        <w:rPr/>
      </w:pPr>
      <w:r>
        <w:rPr/>
      </w:r>
    </w:p>
    <w:tbl>
      <w:tblPr>
        <w:tblW w:w="6237" w:type="dxa"/>
        <w:jc w:val="start"/>
        <w:tblInd w:w="2235" w:type="dxa"/>
        <w:tblLayout w:type="fixed"/>
        <w:tblCellMar>
          <w:top w:w="0" w:type="dxa"/>
          <w:start w:w="108" w:type="dxa"/>
          <w:bottom w:w="0" w:type="dxa"/>
          <w:end w:w="108" w:type="dxa"/>
        </w:tblCellMar>
      </w:tblPr>
      <w:tblGrid>
        <w:gridCol w:w="3685"/>
        <w:gridCol w:w="2552"/>
      </w:tblGrid>
      <w:tr>
        <w:trPr/>
        <w:tc>
          <w:tcPr>
            <w:tcW w:w="3685" w:type="dxa"/>
            <w:tcBorders/>
          </w:tcPr>
          <w:p>
            <w:pPr>
              <w:pStyle w:val="Normal"/>
              <w:snapToGrid w:val="false"/>
              <w:ind w:hanging="720" w:start="720" w:end="0"/>
              <w:rPr>
                <w:b/>
                <w:u w:val="single"/>
              </w:rPr>
            </w:pPr>
            <w:r>
              <w:rPr>
                <w:b/>
                <w:u w:val="single"/>
              </w:rPr>
            </w:r>
          </w:p>
          <w:p>
            <w:pPr>
              <w:pStyle w:val="Normal"/>
              <w:ind w:hanging="720" w:start="720" w:end="0"/>
              <w:rPr>
                <w:b/>
                <w:u w:val="single"/>
              </w:rPr>
            </w:pPr>
            <w:r>
              <w:rPr>
                <w:b/>
                <w:u w:val="single"/>
              </w:rPr>
              <w:t>Floating Rate Option</w:t>
            </w:r>
          </w:p>
          <w:p>
            <w:pPr>
              <w:pStyle w:val="Normal"/>
              <w:ind w:hanging="720" w:start="720" w:end="0"/>
              <w:rPr>
                <w:b/>
                <w:u w:val="single"/>
              </w:rPr>
            </w:pPr>
            <w:r>
              <w:rPr>
                <w:b/>
                <w:u w:val="single"/>
              </w:rPr>
            </w:r>
          </w:p>
        </w:tc>
        <w:tc>
          <w:tcPr>
            <w:tcW w:w="2552" w:type="dxa"/>
            <w:tcBorders/>
          </w:tcPr>
          <w:p>
            <w:pPr>
              <w:pStyle w:val="Normal"/>
              <w:snapToGrid w:val="false"/>
              <w:jc w:val="end"/>
              <w:rPr>
                <w:b/>
                <w:u w:val="single"/>
              </w:rPr>
            </w:pPr>
            <w:r>
              <w:rPr>
                <w:b/>
                <w:u w:val="single"/>
              </w:rPr>
            </w:r>
          </w:p>
          <w:p>
            <w:pPr>
              <w:pStyle w:val="Normal"/>
              <w:jc w:val="end"/>
              <w:rPr>
                <w:b/>
                <w:u w:val="single"/>
              </w:rPr>
            </w:pPr>
            <w:r>
              <w:rPr>
                <w:b/>
                <w:u w:val="single"/>
              </w:rPr>
              <w:t>Day Count Fraction</w:t>
            </w:r>
          </w:p>
        </w:tc>
      </w:tr>
      <w:tr>
        <w:trPr/>
        <w:tc>
          <w:tcPr>
            <w:tcW w:w="3685" w:type="dxa"/>
            <w:tcBorders/>
          </w:tcPr>
          <w:p>
            <w:pPr>
              <w:pStyle w:val="Normal"/>
              <w:ind w:hanging="720" w:start="720" w:end="0"/>
              <w:rPr/>
            </w:pPr>
            <w:r>
              <w:rPr/>
              <w:t>["EUR-TAM-CDC"]</w:t>
            </w:r>
          </w:p>
        </w:tc>
        <w:tc>
          <w:tcPr>
            <w:tcW w:w="2552" w:type="dxa"/>
            <w:tcBorders/>
          </w:tcPr>
          <w:p>
            <w:pPr>
              <w:pStyle w:val="Normal"/>
              <w:jc w:val="end"/>
              <w:rPr/>
            </w:pPr>
            <w:r>
              <w:rPr/>
              <w:t>[1/1]</w:t>
            </w:r>
          </w:p>
        </w:tc>
      </w:tr>
      <w:tr>
        <w:trPr/>
        <w:tc>
          <w:tcPr>
            <w:tcW w:w="3685" w:type="dxa"/>
            <w:tcBorders/>
          </w:tcPr>
          <w:p>
            <w:pPr>
              <w:pStyle w:val="Normal"/>
              <w:ind w:hanging="720" w:start="720" w:end="0"/>
              <w:rPr/>
            </w:pPr>
            <w:r>
              <w:rPr/>
              <w:t>["EUR-TMM-CDC-COMPOUND"]</w:t>
            </w:r>
          </w:p>
        </w:tc>
        <w:tc>
          <w:tcPr>
            <w:tcW w:w="2552" w:type="dxa"/>
            <w:tcBorders/>
          </w:tcPr>
          <w:p>
            <w:pPr>
              <w:pStyle w:val="Normal"/>
              <w:jc w:val="end"/>
              <w:rPr/>
            </w:pPr>
            <w:r>
              <w:rPr/>
              <w:t>[1/1]</w:t>
            </w:r>
          </w:p>
        </w:tc>
      </w:tr>
      <w:tr>
        <w:trPr/>
        <w:tc>
          <w:tcPr>
            <w:tcW w:w="3685" w:type="dxa"/>
            <w:tcBorders/>
          </w:tcPr>
          <w:p>
            <w:pPr>
              <w:pStyle w:val="Normal"/>
              <w:ind w:hanging="720" w:start="720" w:end="0"/>
              <w:rPr/>
            </w:pPr>
            <w:r>
              <w:rPr/>
              <w:t>"USD-TBILL-H.15"</w:t>
            </w:r>
          </w:p>
        </w:tc>
        <w:tc>
          <w:tcPr>
            <w:tcW w:w="2552" w:type="dxa"/>
            <w:tcBorders/>
          </w:tcPr>
          <w:p>
            <w:pPr>
              <w:pStyle w:val="Normal"/>
              <w:jc w:val="end"/>
              <w:rPr/>
            </w:pPr>
            <w:r>
              <w:rPr/>
              <w:t>Actual/365</w:t>
            </w:r>
          </w:p>
        </w:tc>
      </w:tr>
      <w:tr>
        <w:trPr/>
        <w:tc>
          <w:tcPr>
            <w:tcW w:w="3685" w:type="dxa"/>
            <w:tcBorders/>
          </w:tcPr>
          <w:p>
            <w:pPr>
              <w:pStyle w:val="Normal"/>
              <w:ind w:hanging="720" w:start="720" w:end="0"/>
              <w:rPr/>
            </w:pPr>
            <w:r>
              <w:rPr/>
              <w:t>"USD-TBILL-Secondary Market"</w:t>
            </w:r>
          </w:p>
        </w:tc>
        <w:tc>
          <w:tcPr>
            <w:tcW w:w="2552" w:type="dxa"/>
            <w:tcBorders/>
          </w:tcPr>
          <w:p>
            <w:pPr>
              <w:pStyle w:val="Normal"/>
              <w:jc w:val="end"/>
              <w:rPr/>
            </w:pPr>
            <w:r>
              <w:rPr/>
              <w:t>Actual/365</w:t>
            </w:r>
          </w:p>
        </w:tc>
      </w:tr>
      <w:tr>
        <w:trPr/>
        <w:tc>
          <w:tcPr>
            <w:tcW w:w="3685" w:type="dxa"/>
            <w:tcBorders/>
          </w:tcPr>
          <w:p>
            <w:pPr>
              <w:pStyle w:val="Normal"/>
              <w:ind w:hanging="720" w:start="720" w:end="0"/>
              <w:rPr/>
            </w:pPr>
            <w:r>
              <w:rPr/>
              <w:t>"AUD-BBR-ISDC"</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"AUD-BBR-BBSW"</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"CAD-BA-ISDD"</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"CAD-BA-CDOR"</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"CAD-BA-Telerate"</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"CAD-BA-Reference Banks"</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"CAD-TBILL-ISDD"</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"CAD-TBILL-Telerate"</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"CAD-TBILL-Reference Banks"</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"GBP-LIBOR-ISDA"</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"GBP-LIBOR-BBA"</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"GBP-LIBOR-Reference Banks"</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"HKD-HIBOR-ISDC"</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"HKD-HIBOR-HKAB"</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"HKD-HIBOR-HIBOR="</w:t>
            </w:r>
          </w:p>
        </w:tc>
        <w:tc>
          <w:tcPr>
            <w:tcW w:w="2552" w:type="dxa"/>
            <w:tcBorders/>
          </w:tcPr>
          <w:p>
            <w:pPr>
              <w:pStyle w:val="Normal"/>
              <w:jc w:val="end"/>
              <w:rPr/>
            </w:pPr>
            <w:r>
              <w:rPr/>
              <w:t>Actual/365 (Fixed)</w:t>
            </w:r>
          </w:p>
        </w:tc>
      </w:tr>
      <w:tr>
        <w:trPr/>
        <w:tc>
          <w:tcPr>
            <w:tcW w:w="3685" w:type="dxa"/>
            <w:tcBorders/>
          </w:tcPr>
          <w:p>
            <w:pPr>
              <w:pStyle w:val="Normal"/>
              <w:ind w:hanging="720" w:start="720" w:end="0"/>
              <w:rPr/>
            </w:pPr>
            <w:r>
              <w:rPr/>
              <w:t>"HKD-HIBOR-Reference Banks"</w:t>
            </w:r>
          </w:p>
        </w:tc>
        <w:tc>
          <w:tcPr>
            <w:tcW w:w="2552" w:type="dxa"/>
            <w:tcBorders/>
          </w:tcPr>
          <w:p>
            <w:pPr>
              <w:pStyle w:val="Normal"/>
              <w:jc w:val="end"/>
              <w:rPr/>
            </w:pPr>
            <w:r>
              <w:rPr/>
              <w:t>Actual/365 (Fixed)</w:t>
            </w:r>
          </w:p>
        </w:tc>
      </w:tr>
    </w:tbl>
    <w:p>
      <w:pPr>
        <w:pStyle w:val="Normal"/>
        <w:rPr/>
      </w:pPr>
      <w:r>
        <w:rPr/>
      </w:r>
      <w:r>
        <w:br w:type="page"/>
      </w:r>
    </w:p>
    <w:p>
      <w:pPr>
        <w:pStyle w:val="Normal"/>
        <w:jc w:val="center"/>
        <w:rPr>
          <w:b/>
        </w:rPr>
      </w:pPr>
      <w:r>
        <w:rPr>
          <w:b/>
        </w:rPr>
        <w:t>ARTICLE 7</w:t>
      </w:r>
    </w:p>
    <w:p>
      <w:pPr>
        <w:pStyle w:val="Normal"/>
        <w:jc w:val="center"/>
        <w:rPr>
          <w:b/>
        </w:rPr>
      </w:pPr>
      <w:r>
        <w:rPr>
          <w:b/>
        </w:rPr>
      </w:r>
    </w:p>
    <w:p>
      <w:pPr>
        <w:pStyle w:val="Normal"/>
        <w:jc w:val="center"/>
        <w:rPr>
          <w:b/>
        </w:rPr>
      </w:pPr>
      <w:r>
        <w:rPr>
          <w:b/>
        </w:rPr>
        <w:t>CALCULATION OF RATES</w:t>
      </w:r>
    </w:p>
    <w:p>
      <w:pPr>
        <w:pStyle w:val="Normal"/>
        <w:jc w:val="center"/>
        <w:rPr>
          <w:b/>
        </w:rPr>
      </w:pPr>
      <w:r>
        <w:rPr>
          <w:b/>
        </w:rPr>
        <w:t>FOR CERTAIN FLOATING RATE OPTIONS</w:t>
      </w:r>
    </w:p>
    <w:p>
      <w:pPr>
        <w:pStyle w:val="Normal"/>
        <w:ind w:firstLine="720" w:end="0"/>
        <w:rPr>
          <w:b/>
        </w:rPr>
      </w:pPr>
      <w:r>
        <w:rPr>
          <w:b/>
        </w:rPr>
      </w:r>
    </w:p>
    <w:p>
      <w:pPr>
        <w:pStyle w:val="Normal"/>
        <w:keepNext w:val="true"/>
        <w:ind w:firstLine="720" w:end="0"/>
        <w:rPr/>
      </w:pPr>
      <w:bookmarkStart w:id="9" w:name="ARTICLE7"/>
      <w:bookmarkEnd w:id="9"/>
      <w:r>
        <w:rPr>
          <w:b/>
        </w:rPr>
        <w:t>Section 7.1. Rate Options.</w:t>
      </w:r>
      <w:r>
        <w:fldChar w:fldCharType="begin"/>
      </w:r>
      <w:r>
        <w:rPr/>
        <w:instrText xml:space="preserve"> TC "SECTION 7.1</w:instrText>
        <w:tab/>
        <w:instrText xml:space="preserve">Rate Options" \l 1 </w:instrText>
      </w:r>
      <w:r>
        <w:rPr/>
        <w:fldChar w:fldCharType="separate"/>
      </w:r>
      <w:r>
        <w:rPr/>
      </w:r>
      <w:r>
        <w:rPr/>
        <w:fldChar w:fldCharType="end"/>
      </w:r>
      <w:bookmarkStart w:id="10" w:name="__RefHeading___Toc474574654"/>
      <w:bookmarkEnd w:id="10"/>
      <w:r>
        <w:rPr/>
        <w:t xml:space="preserve">  For purposes of determining a Relevant Rate:</w:t>
      </w:r>
    </w:p>
    <w:p>
      <w:pPr>
        <w:pStyle w:val="Normal"/>
        <w:keepNext w:val="true"/>
        <w:rPr/>
      </w:pPr>
      <w:r>
        <w:rPr/>
      </w:r>
    </w:p>
    <w:p>
      <w:pPr>
        <w:pStyle w:val="Normal"/>
        <w:ind w:start="720" w:end="0"/>
        <w:rPr>
          <w:b/>
          <w:i/>
          <w:i/>
        </w:rPr>
      </w:pPr>
      <w:r>
        <w:rPr>
          <w:b/>
          <w:i/>
        </w:rPr>
        <w:t>(a)</w:t>
        <w:tab/>
        <w:t>Australian Dollar.</w:t>
      </w:r>
    </w:p>
    <w:p>
      <w:pPr>
        <w:pStyle w:val="Normal"/>
        <w:ind w:hanging="720" w:start="720" w:end="0"/>
        <w:rPr>
          <w:b/>
          <w:i/>
          <w:i/>
        </w:rPr>
      </w:pPr>
      <w:r>
        <w:rPr>
          <w:b/>
          <w:i/>
        </w:rPr>
      </w:r>
    </w:p>
    <w:p>
      <w:pPr>
        <w:pStyle w:val="Normal"/>
        <w:ind w:firstLine="720" w:start="720" w:end="0"/>
        <w:rPr/>
      </w:pPr>
      <w:r>
        <w:rPr/>
        <w:t>(i)</w:t>
        <w:tab/>
        <w:t>"AUD-BBR-ISDC" means that the rate for a Reset Date will be the rate for Australian Dollar bills of exchange for a period of the Designated Maturity which appears on the Reuters Screen ISDC Page as of 10:00 a.m., Sydney time, on that Reset Date.  If such rate does not appear on the Reuters Screen ISDC Page, the rate for that Reset Date will be determined as if the parties had specified "AUD-BBR-BBSW" as the applicable Floating Rate Option and as if fewer than five Reference Banks had quoted rates on the Reuters Screen BBSW Page.</w:t>
      </w:r>
    </w:p>
    <w:p>
      <w:pPr>
        <w:pStyle w:val="Normal"/>
        <w:rPr/>
      </w:pPr>
      <w:r>
        <w:rPr/>
      </w:r>
    </w:p>
    <w:p>
      <w:pPr>
        <w:pStyle w:val="Normal"/>
        <w:ind w:firstLine="720" w:start="720" w:end="0"/>
        <w:rPr/>
      </w:pPr>
      <w:r>
        <w:rPr/>
        <w:t>(ii)</w:t>
        <w:tab/>
        <w:t>"AUD-BBR-BBSW" means that the rate for a Reset Date will be the rate calculated by taking the rates quoted on the Reuters Screen BBSW Page at approximately 10:00 a.m., Sydney time, on that Reset Date for each Reference Bank so quoting (but not fewer than five) as being the mean buying and selling rate for a bill (which for the purpose of this definition means a bill of exchange of the type specified for the purpose of quoting on the Reuters Screen BBSW Page) having a tenor of the Designated Maturity, eliminating the highest and the lowest mean rates and taking the average of the remaining mean rates and then (if necessary) rounding the resultant figure upwards to four decimal places.  If in respect of a Reset Date fewer than five Reference Banks have quoted rates on the Reuters Screen BBSW Page, the rate for that Reset Date shall be calculated as above by taking the rates otherwise quoted by five of the Reference Banks on application by the parties for such a bill of the same tenor.  If in respect of a Reset Date the rate for that Reset Date cannot be determined in accordance with the foregoing procedures then the rate for that Reset Date shall mean such rate as is agreed between the parties having regard to comparable indices then available.</w:t>
      </w:r>
    </w:p>
    <w:p>
      <w:pPr>
        <w:pStyle w:val="Normal"/>
        <w:ind w:firstLine="720" w:start="720" w:end="0"/>
        <w:rPr/>
      </w:pPr>
      <w:r>
        <w:rPr/>
      </w:r>
    </w:p>
    <w:p>
      <w:pPr>
        <w:pStyle w:val="Normal"/>
        <w:ind w:firstLine="720" w:start="720" w:end="0"/>
        <w:rPr/>
      </w:pPr>
      <w:r>
        <w:rPr>
          <w:color w:val="000000"/>
          <w:lang w:eastAsia="en-US"/>
        </w:rPr>
        <w:t>(iii)</w:t>
        <w:tab/>
        <w:t xml:space="preserve">"AUD-BBR-BBSY (bid)" means that the rate for a Reset Date will be the bid rate for Australian Dollar bills of exchange for a period of the Designated Maturity which appears on the Reuters Screen BBSY Page at approximately 10:00 a.m., Sydney time, on that Reset Date. If such rate does not appear on the Reuters Screen BBSY Page, the rate for that Reset Date will be calculated by taking the mean of the bid rates quoted on the Reuters Screen BBSW Page having a tenor of the Designated Maturity and </w:t>
      </w:r>
      <w:r>
        <w:rPr>
          <w:lang w:eastAsia="en-US"/>
        </w:rPr>
        <w:t>rounding (if necessary) the resultant figure upwards to four decimal places.  If in respect of a Reset Date the rate for that Reset Date cannot be determined in accordance with the foregoing procedures then the rate for that Reset Date shall mean such rate as is agreed between the parties having</w:t>
      </w:r>
      <w:r>
        <w:rPr>
          <w:color w:val="000000"/>
          <w:lang w:eastAsia="en-US"/>
        </w:rPr>
        <w:t xml:space="preserve"> </w:t>
      </w:r>
      <w:r>
        <w:rPr>
          <w:lang w:eastAsia="en-US"/>
        </w:rPr>
        <w:t>regard to comparable indices then available.</w:t>
      </w:r>
    </w:p>
    <w:p>
      <w:pPr>
        <w:pStyle w:val="Normal"/>
        <w:ind w:firstLine="720" w:start="720" w:end="0"/>
        <w:rPr/>
      </w:pPr>
      <w:r>
        <w:rPr/>
      </w:r>
    </w:p>
    <w:p>
      <w:pPr>
        <w:pStyle w:val="Normal"/>
        <w:ind w:firstLine="720" w:start="720" w:end="0"/>
        <w:rPr/>
      </w:pPr>
      <w:r>
        <w:rPr/>
        <w:t>(iv)</w:t>
        <w:tab/>
        <w:t>"AUD-BBR-BBSY (offer)" means [       ].</w:t>
      </w:r>
    </w:p>
    <w:p>
      <w:pPr>
        <w:pStyle w:val="Normal"/>
        <w:ind w:firstLine="720" w:start="720" w:end="0"/>
        <w:rPr/>
      </w:pPr>
      <w:r>
        <w:rPr/>
      </w:r>
    </w:p>
    <w:p>
      <w:pPr>
        <w:pStyle w:val="Normal"/>
        <w:ind w:firstLine="720" w:start="720" w:end="0"/>
        <w:rPr/>
      </w:pPr>
      <w:r>
        <w:rPr/>
        <w:t>(v)</w:t>
        <w:tab/>
        <w:t>"AUD-BBR-BBSY (mid)" means [       ].</w:t>
      </w:r>
    </w:p>
    <w:p>
      <w:pPr>
        <w:pStyle w:val="Normal"/>
        <w:rPr/>
      </w:pPr>
      <w:r>
        <w:rPr/>
      </w:r>
    </w:p>
    <w:p>
      <w:pPr>
        <w:pStyle w:val="Normal"/>
        <w:ind w:firstLine="720" w:start="720" w:end="0"/>
        <w:rPr/>
      </w:pPr>
      <w:r>
        <w:rPr/>
        <w:t>(vi)</w:t>
        <w:tab/>
        <w:t>"AUD-LIBOR-BBA" means that the rate for a Reset Date will be the rate for deposits in Australian Dollars for a period of the Designated Maturity which appears on the Telerate Page 3740 as of 11:00 a.m., London time, on the day that is two London Banking Days preceding that Reset Date.  If such rate does not appear on the Telerate Page 3740, the rate for that Reset Date will be determined as if the parties had specified "AUD-LIBOR-Reference Banks" as the applicable Floating Rate Option.</w:t>
      </w:r>
    </w:p>
    <w:p>
      <w:pPr>
        <w:pStyle w:val="Normal"/>
        <w:rPr/>
      </w:pPr>
      <w:r>
        <w:rPr/>
      </w:r>
    </w:p>
    <w:p>
      <w:pPr>
        <w:pStyle w:val="Normal"/>
        <w:ind w:firstLine="720" w:start="720" w:end="0"/>
        <w:rPr/>
      </w:pPr>
      <w:r>
        <w:rPr/>
        <w:t>(vii)</w:t>
        <w:tab/>
        <w:t>"AUD-LIBOR-Reference Banks" means that the rate for a Reset Date will be determined on the basis of the rates at which deposits in Australian Dollars are offered by the Reference Banks at approximately 11:00 a.m., London time, on the day that is two London Banking Days preceding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Sydney, selected by the Calculation Agent, at approximately 11:00 a.m., Sydney time, on that Reset Date for loans in Australian Dollars to leading European banks for a period of the Designated Maturity commencing on that Reset Date and in a Representative Amount.</w:t>
      </w:r>
    </w:p>
    <w:p>
      <w:pPr>
        <w:pStyle w:val="Normal"/>
        <w:ind w:hanging="720" w:start="720" w:end="0"/>
        <w:rPr/>
      </w:pPr>
      <w:r>
        <w:rPr/>
      </w:r>
    </w:p>
    <w:p>
      <w:pPr>
        <w:pStyle w:val="Normal"/>
        <w:keepNext w:val="true"/>
        <w:ind w:start="720" w:end="0"/>
        <w:rPr>
          <w:b/>
          <w:i/>
          <w:i/>
        </w:rPr>
      </w:pPr>
      <w:r>
        <w:rPr>
          <w:b/>
          <w:i/>
        </w:rPr>
        <w:t>(b)</w:t>
        <w:tab/>
        <w:t>Canadian Dollar.</w:t>
      </w:r>
    </w:p>
    <w:p>
      <w:pPr>
        <w:pStyle w:val="Normal"/>
        <w:keepNext w:val="true"/>
        <w:ind w:hanging="720" w:start="720" w:end="0"/>
        <w:rPr>
          <w:b/>
          <w:i/>
          <w:i/>
        </w:rPr>
      </w:pPr>
      <w:r>
        <w:rPr>
          <w:b/>
          <w:i/>
        </w:rPr>
      </w:r>
    </w:p>
    <w:p>
      <w:pPr>
        <w:pStyle w:val="Normal"/>
        <w:ind w:firstLine="720" w:start="720" w:end="0"/>
        <w:rPr/>
      </w:pPr>
      <w:r>
        <w:rPr/>
        <w:t>(i)</w:t>
        <w:tab/>
        <w:t>"CAD-BA-ISDD" means that the rate for a Reset Date will be the rate for Canadian Dollar bankers acceptances for a period of the Designated Maturity which appears on the Reuters Screen ISDD Page as of 10:00 a.m., Toronto time, on that Reset Date.  If such rate does not appear on the Reuters Screen ISDD Page, the rate for that Reset Date will be determined as if the parties had specified "CAD-BA-Reference Banks" as the applicable Floating Rate Option.</w:t>
      </w:r>
    </w:p>
    <w:p>
      <w:pPr>
        <w:pStyle w:val="Normal"/>
        <w:rPr/>
      </w:pPr>
      <w:r>
        <w:rPr/>
      </w:r>
    </w:p>
    <w:p>
      <w:pPr>
        <w:pStyle w:val="Normal"/>
        <w:ind w:firstLine="720" w:start="720" w:end="0"/>
        <w:rPr/>
      </w:pPr>
      <w:r>
        <w:rPr/>
        <w:t>(ii)</w:t>
        <w:tab/>
        <w:t>"CAD-BA-CDOR" means that the rate for a Reset Date will be the average rate for Canadian Dollar bankers acceptances for a period of the Designated Maturity which appears on the Reuters Screen CDOR Page as of 10:00 a.m., Toronto time, on that Reset Date.  If such rate does not appear on the Reuters Screen CDOR Page, the rate for that Reset Date will be determined as if the parties had specified "CAD-BA-Reference Banks" as the applicable Floating Rate Option.</w:t>
      </w:r>
    </w:p>
    <w:p>
      <w:pPr>
        <w:pStyle w:val="Normal"/>
        <w:rPr/>
      </w:pPr>
      <w:r>
        <w:rPr/>
      </w:r>
    </w:p>
    <w:p>
      <w:pPr>
        <w:pStyle w:val="Normal"/>
        <w:ind w:firstLine="720" w:start="720" w:end="0"/>
        <w:rPr/>
      </w:pPr>
      <w:r>
        <w:rPr/>
        <w:t>(iii)</w:t>
        <w:tab/>
        <w:t>"CAD-BA-Telerate" means that the rate for a Reset Date will be the average rate for settlement rates for Canadian Dollar bankers acceptances for a period of the Designated Maturity which appears on the Telerate Page 3197 as of 10:00 a.m., Toronto time, on that Reset Date.  If such rate does not appear on the Telerate Page 3197, the rate for that Reset Date will be determined as if the parties had specified "CAD-BA-Reference Banks" as the applicable Floating Rate Option.</w:t>
      </w:r>
    </w:p>
    <w:p>
      <w:pPr>
        <w:pStyle w:val="Normal"/>
        <w:rPr/>
      </w:pPr>
      <w:r>
        <w:rPr/>
      </w:r>
    </w:p>
    <w:p>
      <w:pPr>
        <w:pStyle w:val="Normal"/>
        <w:ind w:firstLine="720" w:start="720" w:end="0"/>
        <w:rPr/>
      </w:pPr>
      <w:r>
        <w:rPr/>
        <w:t>(iv)</w:t>
        <w:tab/>
        <w:t>"CAD-BA-Reference Banks" means that the rate for a Reset Date will be determined on the basis of the arithmetic mean of the bid rates of the Reference Banks for Canadian Dollar bankers acceptances for a period of the Designated Maturity for settlement on that Reset Date and in a Representative Amount accepted by the Reference Banks as of 10:00 a.m., Toronto time, on that Reset Date.  The Calculation Agent will request the principal Toronto office of each of the Reference Banks to provide a quotation of its rate.</w:t>
      </w:r>
    </w:p>
    <w:p>
      <w:pPr>
        <w:pStyle w:val="Normal"/>
        <w:rPr/>
      </w:pPr>
      <w:r>
        <w:rPr/>
      </w:r>
    </w:p>
    <w:p>
      <w:pPr>
        <w:pStyle w:val="Normal"/>
        <w:ind w:firstLine="720" w:start="720" w:end="0"/>
        <w:rPr/>
      </w:pPr>
      <w:r>
        <w:rPr/>
        <w:t>(v)</w:t>
        <w:tab/>
        <w:t>"CAD-TBILL-ISDD" means that the rate for a Reset Date will be the rate for Government of Canada Treasury bills for a period of the Designated Maturity which appears on the Reuters Screen ISDD Page as of 10:00 a.m., Toronto time, on that Reset Date.  If such rate does not appear on the Reuters Screen ISDD Page, the rate for that Reset Date will be determined as if the parties had specified "CAD-TBILL-Reference Banks" as the applicable Floating Rate Option.</w:t>
      </w:r>
    </w:p>
    <w:p>
      <w:pPr>
        <w:pStyle w:val="Normal"/>
        <w:rPr/>
      </w:pPr>
      <w:r>
        <w:rPr/>
      </w:r>
    </w:p>
    <w:p>
      <w:pPr>
        <w:pStyle w:val="Normal"/>
        <w:ind w:firstLine="720" w:start="720" w:end="0"/>
        <w:rPr/>
      </w:pPr>
      <w:r>
        <w:rPr/>
        <w:t>(vi)</w:t>
        <w:tab/>
        <w:t>"CAD-TBILL-Telerate" means that the rate for a Reset Date will be the average rate for Government of Canada Treasury bills for a period of the Designated Maturity which appears on the Telerate Page 3198 as of 10:00 a.m., Toronto time, on that Reset Date.  If such rate does not appear on the Telerate Page 3198, the rate for that Reset Date will be determined as if the parties had specified "CAD-TBILL-Reference Banks" as the applicable Floating Rate Option.</w:t>
      </w:r>
    </w:p>
    <w:p>
      <w:pPr>
        <w:pStyle w:val="Normal"/>
        <w:rPr/>
      </w:pPr>
      <w:r>
        <w:rPr/>
      </w:r>
    </w:p>
    <w:p>
      <w:pPr>
        <w:pStyle w:val="Normal"/>
        <w:ind w:firstLine="720" w:start="720" w:end="0"/>
        <w:rPr/>
      </w:pPr>
      <w:r>
        <w:rPr/>
        <w:t>(vii)</w:t>
        <w:tab/>
        <w:t>"CAD-TBILL-Reference Banks" means that the rate for a Reset Date will be determined on the basis of the arithmetic mean of the secondary market bid rates of the Reference Banks as of 10:00 a.m., Toronto time, on that Reset Date for the issue of current Government of Canada Treasury bills with a remaining maturity closest to the Designated Maturity.  The Calculation Agent will request the principal Toronto office of each of the Reference Banks to provide a quotation of its rate.</w:t>
      </w:r>
    </w:p>
    <w:p>
      <w:pPr>
        <w:pStyle w:val="Normal"/>
        <w:rPr/>
      </w:pPr>
      <w:r>
        <w:rPr/>
      </w:r>
    </w:p>
    <w:p>
      <w:pPr>
        <w:pStyle w:val="Normal"/>
        <w:ind w:firstLine="720" w:start="720" w:end="0"/>
        <w:rPr/>
      </w:pPr>
      <w:r>
        <w:rPr/>
        <w:t>(viii)</w:t>
        <w:tab/>
        <w:t>"CAD-LIBOR-BBA" means that the rate for a Reset Date will be the rate for deposits in Canadian Dollars for a period of the Designated Maturity which appears on the Telerate Page 3740 as of 11:00 a.m., London time, on the day that is two London Banking Days preceding that Reset Date.  If such rate does not appear on the Telerate Page 3740, the rate for that Reset Date will be determined as if the parties had specified "CAD-LIBOR-Reference Banks" as the applicable Floating Rate Option.</w:t>
      </w:r>
    </w:p>
    <w:p>
      <w:pPr>
        <w:pStyle w:val="Normal"/>
        <w:rPr/>
      </w:pPr>
      <w:r>
        <w:rPr/>
      </w:r>
    </w:p>
    <w:p>
      <w:pPr>
        <w:pStyle w:val="Normal"/>
        <w:ind w:firstLine="720" w:start="720" w:end="0"/>
        <w:rPr/>
      </w:pPr>
      <w:r>
        <w:rPr/>
        <w:t>(ix)</w:t>
        <w:tab/>
        <w:t>"CAD-LIBOR-Reference Banks" means that the rate for a Reset Date will be determined on the basis of the rates at which deposits in Canadian Dollars are offered by the Reference Banks at approximately 11:00 a.m., London time, on the day that is two London Banking Days preceding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Toronto, selected by the Calculation Agent, at approximately 11:00 a.m., Toronto time, on that Reset Date for loans in Canadian Dollars to leading European banks for a period of the Designated Maturity commencing on that Reset Date and in a Representative Amount.</w:t>
      </w:r>
    </w:p>
    <w:p>
      <w:pPr>
        <w:pStyle w:val="Normal"/>
        <w:rPr>
          <w:b/>
        </w:rPr>
      </w:pPr>
      <w:r>
        <w:rPr>
          <w:b/>
        </w:rPr>
      </w:r>
    </w:p>
    <w:p>
      <w:pPr>
        <w:pStyle w:val="Normal"/>
        <w:keepNext w:val="true"/>
        <w:ind w:firstLine="720" w:end="0"/>
        <w:rPr/>
      </w:pPr>
      <w:r>
        <w:rPr>
          <w:b/>
          <w:i/>
        </w:rPr>
        <w:t>(c)</w:t>
      </w:r>
      <w:r>
        <w:rPr/>
        <w:tab/>
      </w:r>
      <w:r>
        <w:rPr>
          <w:b/>
          <w:i/>
        </w:rPr>
        <w:t>Czech Koruna</w:t>
      </w:r>
      <w:r>
        <w:rPr/>
        <w:t>.</w:t>
      </w:r>
    </w:p>
    <w:p>
      <w:pPr>
        <w:pStyle w:val="Normal"/>
        <w:keepNext w:val="true"/>
        <w:rPr/>
      </w:pPr>
      <w:r>
        <w:rPr/>
      </w:r>
    </w:p>
    <w:p>
      <w:pPr>
        <w:pStyle w:val="Normal"/>
        <w:ind w:firstLine="720" w:start="720" w:end="0"/>
        <w:rPr/>
      </w:pPr>
      <w:r>
        <w:rPr/>
        <w:t>(i)</w:t>
        <w:tab/>
        <w:t xml:space="preserve">"CZK-PRIBOR-PRBO" means that the rate for a Reset Date will be the rate for deposits in Czech Korunas for a period of the Designated Maturity which appears on the Reuters Screen PRBO Page </w:t>
      </w:r>
      <w:r>
        <w:rPr>
          <w:b/>
        </w:rPr>
        <w:t>[</w:t>
      </w:r>
      <w:r>
        <w:rPr/>
        <w:t>under the caption "AVG 11:00"</w:t>
      </w:r>
      <w:r>
        <w:rPr>
          <w:b/>
        </w:rPr>
        <w:t>]</w:t>
      </w:r>
      <w:r>
        <w:rPr/>
        <w:t xml:space="preserve"> as of 11:00 a.m., Prague time, on the day that is two Prague Banking Days preceding that Reset Date.  If such rate does not appear on the Reuters Screen PRBO Page, the rate for that Reset Date will be determined as if the parties had specified "CZK-PRIBOR-Reference Banks" as the applicable Floating Rate Option.</w:t>
      </w:r>
    </w:p>
    <w:p>
      <w:pPr>
        <w:pStyle w:val="Normal"/>
        <w:ind w:hanging="720" w:start="1440" w:end="0"/>
        <w:rPr/>
      </w:pPr>
      <w:r>
        <w:rPr/>
      </w:r>
    </w:p>
    <w:p>
      <w:pPr>
        <w:pStyle w:val="Normal"/>
        <w:ind w:firstLine="720" w:start="720" w:end="0"/>
        <w:rPr/>
      </w:pPr>
      <w:r>
        <w:rPr/>
        <w:t>(ii)</w:t>
        <w:tab/>
        <w:t>"CZK-PRIBOR-Reference Banks" means that the rate for a Reset Date will be determined on the basis of the rates at which deposits in Czech Korunas are offered by the Reference Banks at approximately 11:00 a.m., Prague time, on the day that is two Prague Banking Days preceding that Reset Date to prime banks in the Prague interbank market for a period of the Designated Maturity commencing on that Reset Date and in a Representative Amount.  The Calculation Agent will request the principal Prague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Prague, selected by the Calculation Agent, at approximately 11:00 a.m., Prague time, on that Reset Date for loans in Czech Korunas to leading European banks for a period of the Designated Maturity commencing on that Reset Date and in a Representative Amount.</w:t>
      </w:r>
    </w:p>
    <w:p>
      <w:pPr>
        <w:pStyle w:val="Normal"/>
        <w:rPr/>
      </w:pPr>
      <w:r>
        <w:rPr/>
      </w:r>
    </w:p>
    <w:p>
      <w:pPr>
        <w:pStyle w:val="Normal"/>
        <w:keepNext w:val="true"/>
        <w:ind w:start="720" w:end="0"/>
        <w:rPr>
          <w:b/>
          <w:i/>
          <w:i/>
        </w:rPr>
      </w:pPr>
      <w:r>
        <w:rPr>
          <w:b/>
          <w:i/>
        </w:rPr>
        <w:t>(d)</w:t>
        <w:tab/>
        <w:t>Danish Krone.</w:t>
      </w:r>
    </w:p>
    <w:p>
      <w:pPr>
        <w:pStyle w:val="Normal"/>
        <w:keepNext w:val="true"/>
        <w:ind w:hanging="720" w:start="720" w:end="0"/>
        <w:rPr>
          <w:b/>
          <w:i/>
          <w:i/>
        </w:rPr>
      </w:pPr>
      <w:r>
        <w:rPr>
          <w:b/>
          <w:i/>
        </w:rPr>
      </w:r>
    </w:p>
    <w:p>
      <w:pPr>
        <w:pStyle w:val="Normal"/>
        <w:ind w:firstLine="720" w:start="720" w:end="0"/>
        <w:rPr/>
      </w:pPr>
      <w:r>
        <w:rPr/>
        <w:t>(i)</w:t>
        <w:tab/>
        <w:t>"DKK-CIBOR-DKNA13" means that the rate for a Reset Date will be the rate for deposits in Danish Kroner for a period of the Designated Maturity which appears on the Reuters Screen DKNA13 Page as of 11:00 a.m., Copenhagen time, on that Reset Date.  If such rate does not appear on the Reuters Screen DKNA13 Page, the rate for that Reset Date will be determined as if the parties had specified "DKK-CIBOR-Reference Banks" as the applicable Floating Rate Option.</w:t>
      </w:r>
    </w:p>
    <w:p>
      <w:pPr>
        <w:pStyle w:val="Normal"/>
        <w:rPr/>
      </w:pPr>
      <w:r>
        <w:rPr/>
      </w:r>
    </w:p>
    <w:p>
      <w:pPr>
        <w:pStyle w:val="Normal"/>
        <w:ind w:firstLine="720" w:start="720" w:end="0"/>
        <w:rPr/>
      </w:pPr>
      <w:r>
        <w:rPr/>
        <w:t>(ii)</w:t>
        <w:tab/>
        <w:t>"DKK-CIBOR2-DKNA13" means that the rate for a Reset Date will be the rate for deposits in Danish Kroner for a period of the Designated Maturity which appears on the Reuters Screen DKNA13 Page as of 11:00 a.m., Copenhagen time, on the day that is two Copenhagen Banking Days preceding that Reset Date.  If such rate does not appear on the Reuters Screen DKNA13 Page, the rate for that Reset Date will be determined as if the parties had specified "DKK-CIBOR-Reference Banks" as the applicable Floating Rate Option.</w:t>
      </w:r>
    </w:p>
    <w:p>
      <w:pPr>
        <w:pStyle w:val="Normal"/>
        <w:rPr/>
      </w:pPr>
      <w:r>
        <w:rPr/>
      </w:r>
    </w:p>
    <w:p>
      <w:pPr>
        <w:pStyle w:val="Normal"/>
        <w:ind w:firstLine="720" w:start="720" w:end="0"/>
        <w:rPr/>
      </w:pPr>
      <w:r>
        <w:rPr/>
        <w:t>(iii)</w:t>
        <w:tab/>
        <w:t>"DKK-CITA-DKNA14-COMPOUND" means that the rate for a Reset Date will be the rate for tomorrow next deposits in Danish Kroner which appears on the Reuters Screen DKNA14 Page as of 12:00 noon, Copenhagen time, on that Reset Date.</w:t>
      </w:r>
    </w:p>
    <w:p>
      <w:pPr>
        <w:pStyle w:val="Normal"/>
        <w:rPr/>
      </w:pPr>
      <w:r>
        <w:rPr/>
      </w:r>
    </w:p>
    <w:p>
      <w:pPr>
        <w:pStyle w:val="Normal"/>
        <w:ind w:firstLine="720" w:start="720" w:end="0"/>
        <w:rPr/>
      </w:pPr>
      <w:r>
        <w:rPr/>
        <w:t>(iv)</w:t>
        <w:tab/>
        <w:t xml:space="preserve">"DKK-CIBOR-Reference Banks" means that the rate for a Reset Date will be determined on the basis of the rates at which deposits in Danish Kroner are offered by the Reference Banks (A) in the case of "DKK-CIBOR-DKNA13", at approximately 11:00 a.m., Copenhagen time, on that Reset Date or (B) in the case of "DKK-CIBOR2-DKNA13", at approximately 11:00 a.m., Copenhagen time, on the day that is two Copenhagen Banking Days preceding that Reset Date to prime banks in the Copenhagen interbank market for a period of the Designated Maturity commencing on that Reset Date and in a Representative Amount.  The Calculation Agent will request the principal Copenhagen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the </w:t>
      </w:r>
      <w:r>
        <w:rPr>
          <w:b/>
        </w:rPr>
        <w:t>[</w:t>
      </w:r>
      <w:r>
        <w:rPr/>
        <w:t>major</w:t>
      </w:r>
      <w:r>
        <w:rPr>
          <w:b/>
        </w:rPr>
        <w:t>]</w:t>
      </w:r>
      <w:r>
        <w:rPr/>
        <w:t xml:space="preserve"> banks in Copenhagen, selected by the Calculation Agent.</w:t>
      </w:r>
    </w:p>
    <w:p>
      <w:pPr>
        <w:pStyle w:val="Normal"/>
        <w:rPr/>
      </w:pPr>
      <w:r>
        <w:rPr/>
      </w:r>
    </w:p>
    <w:p>
      <w:pPr>
        <w:pStyle w:val="Normal"/>
        <w:keepNext w:val="true"/>
        <w:ind w:start="720" w:end="0"/>
        <w:rPr>
          <w:b/>
          <w:i/>
          <w:i/>
        </w:rPr>
      </w:pPr>
      <w:r>
        <w:rPr>
          <w:b/>
          <w:i/>
        </w:rPr>
        <w:t>(e)</w:t>
        <w:tab/>
        <w:t>Euro</w:t>
      </w:r>
    </w:p>
    <w:p>
      <w:pPr>
        <w:pStyle w:val="Normal"/>
        <w:keepNext w:val="true"/>
        <w:ind w:start="720" w:end="0"/>
        <w:rPr/>
      </w:pPr>
      <w:r>
        <w:rPr/>
      </w:r>
    </w:p>
    <w:p>
      <w:pPr>
        <w:pStyle w:val="Normal"/>
        <w:ind w:start="720" w:end="0"/>
        <w:rPr/>
      </w:pPr>
      <w:r>
        <w:rPr/>
        <w:tab/>
        <w:t>(i)</w:t>
        <w:tab/>
        <w:t>"EUR-EURIBOR-Telerate" means that the rate for a Reset Date will be the rate for deposits in euros for a period of the Designated Maturity which appears on the Telerate Page 248 as of 11:00 a.m., Brussels time, on the day that is two TARGET Settlement Days preceding that Reset Date.  If such rate does not appear on the Telerate Page 248, the rate for that Reset Date will be determined as if the parties had specified "EUR-EURIBOR-Reference Banks" as the applicable Floating Rate Option.</w:t>
      </w:r>
    </w:p>
    <w:p>
      <w:pPr>
        <w:pStyle w:val="Normal"/>
        <w:ind w:start="720" w:end="0"/>
        <w:rPr/>
      </w:pPr>
      <w:r>
        <w:rPr/>
      </w:r>
    </w:p>
    <w:p>
      <w:pPr>
        <w:pStyle w:val="Normal"/>
        <w:ind w:start="720" w:end="0"/>
        <w:rPr/>
      </w:pPr>
      <w:r>
        <w:rPr/>
        <w:tab/>
        <w:t>(ii)</w:t>
        <w:tab/>
        <w:t xml:space="preserve">"EUR-EURIBOR-Act/365" means that the rate for a Reset Date will be the rate for deposits in euros for a period of the Designated Maturity which appears on the Telerate Page </w:t>
      </w:r>
      <w:r>
        <w:rPr>
          <w:rFonts w:eastAsia="Wingdings" w:cs="Wingdings" w:ascii="Wingdings" w:hAnsi="Wingdings"/>
        </w:rPr>
        <w:sym w:font="Wingdings" w:char="f06c"/>
      </w:r>
      <w:r>
        <w:rPr/>
        <w:t xml:space="preserve"> as of 11:00 a.m., Brussels time, on the day that is two TARGET Settlement Days preceding that Reset Date.  If such rate does not appear on the Telerate Page </w:t>
      </w:r>
      <w:r>
        <w:rPr>
          <w:rFonts w:eastAsia="Wingdings" w:cs="Wingdings" w:ascii="Wingdings" w:hAnsi="Wingdings"/>
        </w:rPr>
        <w:sym w:font="Wingdings" w:char="f06c"/>
      </w:r>
      <w:r>
        <w:rPr/>
        <w:t>, the rate for that Reset Date will be determined as if the parties had specified "EUR-EURIBOR-Reference Banks" as the applicable Floating Rate Option.</w:t>
      </w:r>
    </w:p>
    <w:p>
      <w:pPr>
        <w:pStyle w:val="Normal"/>
        <w:ind w:start="720" w:end="0"/>
        <w:rPr/>
      </w:pPr>
      <w:r>
        <w:rPr/>
      </w:r>
    </w:p>
    <w:p>
      <w:pPr>
        <w:pStyle w:val="Normal"/>
        <w:ind w:start="720" w:end="0"/>
        <w:rPr/>
      </w:pPr>
      <w:r>
        <w:rPr/>
        <w:tab/>
        <w:t>(iii)</w:t>
        <w:tab/>
        <w:t>"EUR-EURIBOR-Reference Banks" means that the rate for a Reset Date will be determined on the basis of the rates at which deposits in euros are offered by the Reference Banks at approximately 11:00 a.m., Brussels time, on the day that is two TARGET Settlement Days preceding that Reset Date to prime banks in the Euro-zone interbank market for a period of the Designated Maturity commencing on that Reset Date and in a Representative Amount: (A) in the case of "EUR-EURIBOR-Telerate", assuming an Actual/360 day count basis or (B) in the case of "EUR-EURIBOR-Act/365", assuming an Actual/365 (Fixed) day count basis.  The Calculation Agent will request the principal Euro-zone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the Euro-zone, selected by the Calculation Agent, at approximately 11:00 a.m., Brussels time, on that Reset Date for loans in euros to leading European banks for a period of the Designated Maturity commencing on that Reset Date and in a Representative Amount.</w:t>
      </w:r>
    </w:p>
    <w:p>
      <w:pPr>
        <w:pStyle w:val="Normal"/>
        <w:keepNext w:val="true"/>
        <w:ind w:start="720" w:end="0"/>
        <w:rPr/>
      </w:pPr>
      <w:r>
        <w:rPr/>
      </w:r>
    </w:p>
    <w:p>
      <w:pPr>
        <w:pStyle w:val="Normal"/>
        <w:keepNext w:val="true"/>
        <w:ind w:firstLine="720" w:start="720" w:end="0"/>
        <w:rPr/>
      </w:pPr>
      <w:r>
        <w:rPr/>
        <w:t>(iv)</w:t>
        <w:tab/>
        <w:t>"EUR-LIBOR-BBA" means that the rate for a Reset Date will be the rate for deposits in euros for a period of the Designated Maturity which appears on the Telerate Page 3750 as of 11:00 a.m., London time, on the day that is two TARGET Settlement Days preceding that Reset Date.  If such rate does not appear on the Telerate Page 3750, the rate for that Reset Date will be determined as if the parties had specified "EUR-LIBOR-Reference Banks" as the applicable Floating Rate Option.</w:t>
      </w:r>
    </w:p>
    <w:p>
      <w:pPr>
        <w:pStyle w:val="Normal"/>
        <w:keepNext w:val="true"/>
        <w:ind w:start="1440" w:end="0"/>
        <w:rPr/>
      </w:pPr>
      <w:r>
        <w:rPr/>
      </w:r>
    </w:p>
    <w:p>
      <w:pPr>
        <w:pStyle w:val="Normal"/>
        <w:keepNext w:val="true"/>
        <w:ind w:firstLine="720" w:start="720" w:end="0"/>
        <w:rPr/>
      </w:pPr>
      <w:r>
        <w:rPr/>
        <w:t>(v)</w:t>
        <w:tab/>
        <w:t>"EUR-LIBOR-Reference Banks" means that the rate for a Reset Date will be determined on the basis of the rates at which deposits in euros are offered by the Reference Banks at approximately 11:00 a.m., London time, on the day that is two TARGET Settlement Days preceding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London, selected by the Calculation Agent, at approximately 11:00 a.m., London time, on that Reset Date for loans in euros to leading European banks for a period of the Designated Maturity commencing on that Reset Date and in a Representative Amount.</w:t>
      </w:r>
    </w:p>
    <w:p>
      <w:pPr>
        <w:pStyle w:val="Normal"/>
        <w:keepNext w:val="true"/>
        <w:ind w:start="1440" w:end="0"/>
        <w:rPr/>
      </w:pPr>
      <w:r>
        <w:rPr/>
      </w:r>
    </w:p>
    <w:p>
      <w:pPr>
        <w:pStyle w:val="Normal"/>
        <w:keepNext w:val="true"/>
        <w:ind w:firstLine="720" w:start="720" w:end="0"/>
        <w:rPr/>
      </w:pPr>
      <w:r>
        <w:rPr/>
        <w:t>(vi)</w:t>
        <w:tab/>
        <w:t>"EUR-EONIA-OIS-COMPOUND" means that the rate for a Reset Date, calculated in accordance with the formula set forth below in this clause, will be the rate of return of a daily compound interest investment (it being understood that the reference rate for the calculation of interest is the arithmetic mean of the daily rates of the day-to-day Euro-zone interbank money market).</w:t>
      </w:r>
    </w:p>
    <w:p>
      <w:pPr>
        <w:pStyle w:val="Normal"/>
        <w:keepNext w:val="true"/>
        <w:ind w:start="1440" w:end="0"/>
        <w:rPr/>
      </w:pPr>
      <w:r>
        <w:rPr/>
      </w:r>
    </w:p>
    <w:p>
      <w:pPr>
        <w:pStyle w:val="Normal"/>
        <w:keepNext w:val="true"/>
        <w:ind w:start="1440" w:end="0"/>
        <w:rPr/>
      </w:pPr>
      <w:r>
        <w:rPr/>
        <w:t>"EUR-EONIA-OIS-COMPOUND" will be calculated as follows:</w:t>
      </w:r>
    </w:p>
    <w:p>
      <w:pPr>
        <w:pStyle w:val="Normal"/>
        <w:keepNext w:val="true"/>
        <w:ind w:start="1440" w:end="0"/>
        <w:rPr/>
      </w:pPr>
      <w:r>
        <w:rPr/>
      </w:r>
    </w:p>
    <w:p>
      <w:pPr>
        <w:pStyle w:val="Normal"/>
        <w:ind w:start="3330" w:end="0"/>
        <w:rPr/>
      </w:pPr>
      <w:r>
        <w:rPr/>
      </w:r>
      <m:oMath xmlns:m="http://schemas.openxmlformats.org/officeDocument/2006/math"/>
      <w:r>
        <w:rPr/>
      </w:r>
      <m:oMath xmlns:m="http://schemas.openxmlformats.org/officeDocument/2006/math">
        <m:d>
          <m:dPr>
            <m:begChr m:val="["/>
            <m:endChr m:val="]"/>
          </m:dPr>
          <m:e>
            <m:nary>
              <m:naryPr>
                <m:chr m:val="∏"/>
              </m:naryPr>
              <m:sub>
                <m:r>
                  <m:t xml:space="preserve">i</m:t>
                </m:r>
                <m:r>
                  <m:t xml:space="preserve">=</m:t>
                </m:r>
                <m:r>
                  <m:t xml:space="preserve">l</m:t>
                </m:r>
              </m:sub>
              <m:sup>
                <m:r>
                  <m:t xml:space="preserve">d</m:t>
                </m:r>
                <m:r>
                  <m:t xml:space="preserve">o</m:t>
                </m:r>
              </m:sup>
              <m:e>
                <m:d>
                  <m:dPr>
                    <m:begChr m:val="("/>
                    <m:endChr m:val=")"/>
                  </m:dPr>
                  <m:e>
                    <m:r>
                      <m:t xml:space="preserve">1</m:t>
                    </m:r>
                    <m:r>
                      <m:t xml:space="preserve"> </m:t>
                    </m:r>
                    <m:r>
                      <m:t xml:space="preserve">+</m:t>
                    </m:r>
                    <m:r>
                      <m:t xml:space="preserve"> </m:t>
                    </m:r>
                    <m:f>
                      <m:num>
                        <m:r>
                          <m:rPr>
                            <m:lit/>
                            <m:nor/>
                          </m:rPr>
                          <m:t xml:space="preserve">EONIA</m:t>
                        </m:r>
                        <m:r>
                          <m:t xml:space="preserve">i</m:t>
                        </m:r>
                        <m:r>
                          <m:t xml:space="preserve"> </m:t>
                        </m:r>
                        <m:r>
                          <m:t xml:space="preserve">×</m:t>
                        </m:r>
                        <m:r>
                          <m:t xml:space="preserve"> </m:t>
                        </m:r>
                        <m:r>
                          <m:t xml:space="preserve">n</m:t>
                        </m:r>
                        <m:r>
                          <m:t xml:space="preserve">i</m:t>
                        </m:r>
                      </m:num>
                      <m:den>
                        <m:r>
                          <m:rPr>
                            <m:lit/>
                            <m:nor/>
                          </m:rPr>
                          <m:t xml:space="preserve">360</m:t>
                        </m:r>
                      </m:den>
                    </m:f>
                  </m:e>
                </m:d>
                <m:r>
                  <m:t xml:space="preserve"> </m:t>
                </m:r>
                <m:r>
                  <m:t xml:space="preserve">−</m:t>
                </m:r>
                <m:r>
                  <m:t xml:space="preserve"> </m:t>
                </m:r>
                <m:r>
                  <m:t xml:space="preserve">1</m:t>
                </m:r>
              </m:e>
            </m:nary>
          </m:e>
        </m:d>
        <m:r>
          <m:t xml:space="preserve"> </m:t>
        </m:r>
        <m:f>
          <m:num>
            <m:r>
              <m:rPr>
                <m:lit/>
                <m:nor/>
              </m:rPr>
              <m:t xml:space="preserve">360</m:t>
            </m:r>
          </m:num>
          <m:den>
            <m:r>
              <m:t xml:space="preserve">d</m:t>
            </m:r>
          </m:den>
        </m:f>
      </m:oMath>
    </w:p>
    <w:p>
      <w:pPr>
        <w:pStyle w:val="Normal"/>
        <w:ind w:start="1440" w:end="0"/>
        <w:rPr/>
      </w:pPr>
      <w:r>
        <w:rPr/>
      </w:r>
    </w:p>
    <w:p>
      <w:pPr>
        <w:pStyle w:val="Normal"/>
        <w:ind w:start="1440" w:end="0"/>
        <w:rPr/>
      </w:pPr>
      <w:r>
        <w:rPr/>
        <w:t>where:</w:t>
      </w:r>
    </w:p>
    <w:p>
      <w:pPr>
        <w:pStyle w:val="Normal"/>
        <w:ind w:start="720" w:end="0"/>
        <w:rPr/>
      </w:pPr>
      <w:r>
        <w:rPr/>
      </w:r>
    </w:p>
    <w:p>
      <w:pPr>
        <w:pStyle w:val="Normal"/>
        <w:ind w:firstLine="720" w:start="1440" w:end="0"/>
        <w:rPr/>
      </w:pPr>
      <w:r>
        <w:rPr/>
        <w:t>"d</w:t>
      </w:r>
      <w:r>
        <w:rPr>
          <w:vertAlign w:val="subscript"/>
        </w:rPr>
        <w:t>o</w:t>
      </w:r>
      <w:r>
        <w:rPr/>
        <w:t>", for any Calculation Period, is the number of TARGET Settlement Days in the relevant Calculation Period;</w:t>
      </w:r>
    </w:p>
    <w:p>
      <w:pPr>
        <w:pStyle w:val="Normal"/>
        <w:ind w:start="1440" w:end="0"/>
        <w:rPr/>
      </w:pPr>
      <w:r>
        <w:rPr/>
      </w:r>
    </w:p>
    <w:p>
      <w:pPr>
        <w:pStyle w:val="Normal"/>
        <w:ind w:firstLine="720" w:start="1440" w:end="0"/>
        <w:rPr/>
      </w:pPr>
      <w:r>
        <w:rPr/>
        <w:t>"i" is a series of whole numbers from one to d</w:t>
      </w:r>
      <w:r>
        <w:rPr>
          <w:vertAlign w:val="subscript"/>
        </w:rPr>
        <w:t>o</w:t>
      </w:r>
      <w:r>
        <w:rPr/>
        <w:t>,</w:t>
      </w:r>
      <w:r>
        <w:rPr>
          <w:sz w:val="16"/>
        </w:rPr>
        <w:t xml:space="preserve"> </w:t>
      </w:r>
      <w:r>
        <w:rPr/>
        <w:t>each representing the relevant TARGET Settlement Days in chronological order from, and including, the first TARGET Settlement Day in the relevant Calculation Period;</w:t>
      </w:r>
    </w:p>
    <w:p>
      <w:pPr>
        <w:pStyle w:val="Normal"/>
        <w:keepNext w:val="true"/>
        <w:ind w:start="720" w:end="0"/>
        <w:rPr/>
      </w:pPr>
      <w:r>
        <w:rPr/>
      </w:r>
    </w:p>
    <w:p>
      <w:pPr>
        <w:pStyle w:val="Normal"/>
        <w:ind w:firstLine="720" w:start="1440" w:end="0"/>
        <w:rPr/>
      </w:pPr>
      <w:r>
        <w:rPr/>
        <w:t>"EONIA</w:t>
      </w:r>
      <w:r>
        <w:rPr>
          <w:vertAlign w:val="subscript"/>
        </w:rPr>
        <w:t>i</w:t>
      </w:r>
      <w:r>
        <w:rPr/>
        <w:t>", for any day "i" in the relevant Calculation Period, is a reference rate equal to the overnight rate as calculated by the European Central Bank and appearing on the Telerate Page 247 in respect of that day;</w:t>
      </w:r>
    </w:p>
    <w:p>
      <w:pPr>
        <w:pStyle w:val="Normal"/>
        <w:ind w:start="720" w:end="0"/>
        <w:rPr/>
      </w:pPr>
      <w:r>
        <w:rPr/>
      </w:r>
    </w:p>
    <w:p>
      <w:pPr>
        <w:pStyle w:val="Normal"/>
        <w:ind w:firstLine="720" w:start="1440" w:end="0"/>
        <w:rPr/>
      </w:pPr>
      <w:r>
        <w:rPr/>
        <w:t>"n</w:t>
      </w:r>
      <w:r>
        <w:rPr>
          <w:vertAlign w:val="subscript"/>
        </w:rPr>
        <w:t>i</w:t>
      </w:r>
      <w:r>
        <w:rPr/>
        <w:t>" is the number of calendar days during which a specific overnight rate is applicable; and</w:t>
      </w:r>
    </w:p>
    <w:p>
      <w:pPr>
        <w:pStyle w:val="Normal"/>
        <w:ind w:start="720" w:end="0"/>
        <w:rPr/>
      </w:pPr>
      <w:r>
        <w:rPr/>
      </w:r>
    </w:p>
    <w:p>
      <w:pPr>
        <w:pStyle w:val="Normal"/>
        <w:ind w:firstLine="720" w:start="1440" w:end="0"/>
        <w:rPr/>
      </w:pPr>
      <w:r>
        <w:rPr/>
        <w:t>"d" is the number of days in the relevant Calculation Period.</w:t>
      </w:r>
    </w:p>
    <w:p>
      <w:pPr>
        <w:pStyle w:val="Normal"/>
        <w:ind w:start="720" w:end="0"/>
        <w:rPr/>
      </w:pPr>
      <w:r>
        <w:rPr/>
      </w:r>
    </w:p>
    <w:p>
      <w:pPr>
        <w:pStyle w:val="Normal"/>
        <w:ind w:firstLine="720" w:start="720" w:end="0"/>
        <w:rPr/>
      </w:pPr>
      <w:r>
        <w:rPr>
          <w:b/>
        </w:rPr>
        <w:t>[</w:t>
      </w:r>
      <w:r>
        <w:rPr/>
        <w:t>(vii)</w:t>
        <w:tab/>
        <w:t>"EUR-EURONIA-OIS-COMPOUND" means that the rate for a Reset Date, calculated in accordance with the formula set forth below in this clause, will be the rate of return of a daily compound interest investment (it being understood that the reference rate for the calculation of interest is the arithmetic mean of the daily rates of the day-to-day interbank euro money market in London).</w:t>
      </w:r>
    </w:p>
    <w:p>
      <w:pPr>
        <w:pStyle w:val="Normal"/>
        <w:ind w:start="720" w:end="0"/>
        <w:rPr/>
      </w:pPr>
      <w:r>
        <w:rPr/>
      </w:r>
    </w:p>
    <w:p>
      <w:pPr>
        <w:pStyle w:val="Normal"/>
        <w:keepNext w:val="true"/>
        <w:ind w:start="720" w:end="0"/>
        <w:rPr/>
      </w:pPr>
      <w:r>
        <w:rPr/>
        <w:tab/>
        <w:t>"EUR-EURONIA-OIS-COMPOUND" will be calculated as follows:</w:t>
      </w:r>
    </w:p>
    <w:p>
      <w:pPr>
        <w:pStyle w:val="Normal"/>
        <w:keepNext w:val="true"/>
        <w:ind w:start="720" w:end="0"/>
        <w:rPr/>
      </w:pPr>
      <w:r>
        <w:rPr/>
      </w:r>
    </w:p>
    <w:p>
      <w:pPr>
        <w:pStyle w:val="Normal"/>
        <w:ind w:start="3150" w:end="0"/>
        <w:rPr/>
      </w:pPr>
      <w:r>
        <w:rPr/>
      </w:r>
      <m:oMath xmlns:m="http://schemas.openxmlformats.org/officeDocument/2006/math"/>
      <w:r>
        <w:rPr/>
      </w:r>
      <m:oMath xmlns:m="http://schemas.openxmlformats.org/officeDocument/2006/math">
        <m:d>
          <m:dPr>
            <m:begChr m:val="["/>
            <m:endChr m:val="]"/>
          </m:dPr>
          <m:e>
            <m:nary>
              <m:naryPr>
                <m:chr m:val="∏"/>
              </m:naryPr>
              <m:sub>
                <m:r>
                  <m:t xml:space="preserve">i</m:t>
                </m:r>
                <m:r>
                  <m:t xml:space="preserve">=</m:t>
                </m:r>
                <m:r>
                  <m:t xml:space="preserve">l</m:t>
                </m:r>
              </m:sub>
              <m:sup>
                <m:r>
                  <m:t xml:space="preserve">d</m:t>
                </m:r>
                <m:r>
                  <m:t xml:space="preserve">o</m:t>
                </m:r>
              </m:sup>
              <m:e>
                <m:d>
                  <m:dPr>
                    <m:begChr m:val="("/>
                    <m:endChr m:val=")"/>
                  </m:dPr>
                  <m:e>
                    <m:r>
                      <m:t xml:space="preserve">1</m:t>
                    </m:r>
                    <m:r>
                      <m:t xml:space="preserve"> </m:t>
                    </m:r>
                    <m:r>
                      <m:t xml:space="preserve">+</m:t>
                    </m:r>
                    <m:r>
                      <m:t xml:space="preserve"> </m:t>
                    </m:r>
                    <m:f>
                      <m:num>
                        <m:r>
                          <m:rPr>
                            <m:lit/>
                            <m:nor/>
                          </m:rPr>
                          <m:t xml:space="preserve">EURONIA</m:t>
                        </m:r>
                        <m:r>
                          <m:t xml:space="preserve">i</m:t>
                        </m:r>
                        <m:r>
                          <m:t xml:space="preserve"> </m:t>
                        </m:r>
                        <m:r>
                          <m:t xml:space="preserve">×</m:t>
                        </m:r>
                        <m:r>
                          <m:t xml:space="preserve"> </m:t>
                        </m:r>
                        <m:r>
                          <m:t xml:space="preserve">n</m:t>
                        </m:r>
                        <m:r>
                          <m:t xml:space="preserve">i</m:t>
                        </m:r>
                      </m:num>
                      <m:den>
                        <m:r>
                          <m:rPr>
                            <m:lit/>
                            <m:nor/>
                          </m:rPr>
                          <m:t xml:space="preserve">360</m:t>
                        </m:r>
                      </m:den>
                    </m:f>
                  </m:e>
                </m:d>
                <m:r>
                  <m:t xml:space="preserve"> </m:t>
                </m:r>
                <m:r>
                  <m:t xml:space="preserve">−</m:t>
                </m:r>
                <m:r>
                  <m:t xml:space="preserve"> </m:t>
                </m:r>
                <m:r>
                  <m:t xml:space="preserve">1</m:t>
                </m:r>
              </m:e>
            </m:nary>
          </m:e>
        </m:d>
        <m:r>
          <m:t xml:space="preserve"> </m:t>
        </m:r>
        <m:f>
          <m:num>
            <m:r>
              <m:rPr>
                <m:lit/>
                <m:nor/>
              </m:rPr>
              <m:t xml:space="preserve">360</m:t>
            </m:r>
          </m:num>
          <m:den>
            <m:r>
              <m:t xml:space="preserve">d</m:t>
            </m:r>
          </m:den>
        </m:f>
      </m:oMath>
    </w:p>
    <w:p>
      <w:pPr>
        <w:pStyle w:val="Normal"/>
        <w:rPr/>
      </w:pPr>
      <w:r>
        <w:rPr/>
      </w:r>
    </w:p>
    <w:p>
      <w:pPr>
        <w:pStyle w:val="Normal"/>
        <w:ind w:start="1440" w:end="0"/>
        <w:rPr/>
      </w:pPr>
      <w:r>
        <w:rPr/>
        <w:t>where:</w:t>
      </w:r>
    </w:p>
    <w:p>
      <w:pPr>
        <w:pStyle w:val="Normal"/>
        <w:ind w:start="720" w:end="0"/>
        <w:rPr/>
      </w:pPr>
      <w:r>
        <w:rPr/>
      </w:r>
    </w:p>
    <w:p>
      <w:pPr>
        <w:pStyle w:val="Normal"/>
        <w:ind w:firstLine="720" w:start="1440" w:end="0"/>
        <w:rPr/>
      </w:pPr>
      <w:r>
        <w:rPr/>
        <w:t>"d</w:t>
      </w:r>
      <w:r>
        <w:rPr>
          <w:vertAlign w:val="subscript"/>
        </w:rPr>
        <w:t>o</w:t>
      </w:r>
      <w:r>
        <w:rPr/>
        <w:t>",</w:t>
      </w:r>
      <w:r>
        <w:rPr>
          <w:sz w:val="16"/>
        </w:rPr>
        <w:t xml:space="preserve"> </w:t>
      </w:r>
      <w:r>
        <w:rPr/>
        <w:t>for any Calculation Period, is the number of London Banking Days in the relevant Calculation Period;</w:t>
      </w:r>
    </w:p>
    <w:p>
      <w:pPr>
        <w:pStyle w:val="Normal"/>
        <w:ind w:start="720" w:end="0"/>
        <w:rPr/>
      </w:pPr>
      <w:r>
        <w:rPr/>
      </w:r>
    </w:p>
    <w:p>
      <w:pPr>
        <w:pStyle w:val="Normal"/>
        <w:ind w:firstLine="720" w:start="1440" w:end="0"/>
        <w:rPr/>
      </w:pPr>
      <w:r>
        <w:rPr/>
        <w:t>"i" is a series of whole numbers from one to d</w:t>
      </w:r>
      <w:r>
        <w:rPr>
          <w:vertAlign w:val="subscript"/>
        </w:rPr>
        <w:t>o</w:t>
      </w:r>
      <w:r>
        <w:rPr/>
        <w:t>, each representing the relevant London Banking Days in chronological order from, and including, the first London Banking Day in the relevant Calculation Period;</w:t>
      </w:r>
    </w:p>
    <w:p>
      <w:pPr>
        <w:pStyle w:val="Normal"/>
        <w:ind w:start="720" w:end="0"/>
        <w:rPr/>
      </w:pPr>
      <w:r>
        <w:rPr/>
      </w:r>
    </w:p>
    <w:p>
      <w:pPr>
        <w:pStyle w:val="Normal"/>
        <w:ind w:firstLine="720" w:start="1440" w:end="0"/>
        <w:rPr/>
      </w:pPr>
      <w:r>
        <w:rPr/>
        <w:t>"EURONIA</w:t>
      </w:r>
      <w:r>
        <w:rPr>
          <w:vertAlign w:val="subscript"/>
        </w:rPr>
        <w:t>i</w:t>
      </w:r>
      <w:r>
        <w:rPr/>
        <w:t xml:space="preserve">", for any day "i" in the relevant Calculation Period, is a reference rate equal to the overnight rate as calculated by the Wholesale Market Brokers Association and appearing on the Telerate Page 3367 under the heading "Euro Overnight Index" </w:t>
      </w:r>
      <w:r>
        <w:rPr>
          <w:b/>
        </w:rPr>
        <w:t>[</w:t>
      </w:r>
      <w:r>
        <w:rPr/>
        <w:t>at 9:00 a.m., London time,</w:t>
      </w:r>
      <w:r>
        <w:rPr>
          <w:b/>
        </w:rPr>
        <w:t>]</w:t>
      </w:r>
      <w:r>
        <w:rPr/>
        <w:t xml:space="preserve"> on the first London Banking Day following that day;</w:t>
      </w:r>
    </w:p>
    <w:p>
      <w:pPr>
        <w:pStyle w:val="Normal"/>
        <w:keepNext w:val="true"/>
        <w:ind w:start="720" w:end="0"/>
        <w:rPr/>
      </w:pPr>
      <w:r>
        <w:rPr/>
      </w:r>
    </w:p>
    <w:p>
      <w:pPr>
        <w:pStyle w:val="Normal"/>
        <w:keepNext w:val="true"/>
        <w:ind w:firstLine="720" w:start="1440" w:end="0"/>
        <w:rPr/>
      </w:pPr>
      <w:r>
        <w:rPr/>
        <w:t>"n</w:t>
      </w:r>
      <w:r>
        <w:rPr>
          <w:vertAlign w:val="subscript"/>
        </w:rPr>
        <w:t>i</w:t>
      </w:r>
      <w:r>
        <w:rPr/>
        <w:t>" is the number of calendar days during which a specific overnight rate is applicable; and</w:t>
      </w:r>
    </w:p>
    <w:p>
      <w:pPr>
        <w:pStyle w:val="Normal"/>
        <w:keepNext w:val="true"/>
        <w:ind w:start="720" w:end="0"/>
        <w:rPr/>
      </w:pPr>
      <w:r>
        <w:rPr/>
      </w:r>
    </w:p>
    <w:p>
      <w:pPr>
        <w:pStyle w:val="Normal"/>
        <w:keepNext w:val="true"/>
        <w:ind w:firstLine="720" w:start="1440" w:end="0"/>
        <w:rPr/>
      </w:pPr>
      <w:r>
        <w:rPr/>
        <w:t>"d" is the number of days in the relevant Calculation Period.</w:t>
      </w:r>
      <w:r>
        <w:rPr>
          <w:b/>
        </w:rPr>
        <w:t>]</w:t>
      </w:r>
    </w:p>
    <w:p>
      <w:pPr>
        <w:pStyle w:val="Normal"/>
        <w:keepNext w:val="true"/>
        <w:ind w:firstLine="720" w:start="720" w:end="0"/>
        <w:rPr>
          <w:b/>
        </w:rPr>
      </w:pPr>
      <w:r>
        <w:rPr>
          <w:b/>
        </w:rPr>
      </w:r>
    </w:p>
    <w:p>
      <w:pPr>
        <w:pStyle w:val="Normal"/>
        <w:ind w:firstLine="720" w:start="720" w:end="0"/>
        <w:rPr/>
      </w:pPr>
      <w:r>
        <w:rPr/>
        <w:t>(viii)</w:t>
        <w:tab/>
        <w:t xml:space="preserve">"EUR-TAM-CDC" means that the rate for a Reset Date will be the rate of return of a monthly compound interest investment, renewed at the end of each month, over the preceding 12-month period (it being understood that the reference rate for the calculation of interest is the average monthly rate of the day-to-day </w:t>
      </w:r>
      <w:r>
        <w:rPr>
          <w:b/>
        </w:rPr>
        <w:t>[</w:t>
      </w:r>
      <w:r>
        <w:rPr/>
        <w:t>French</w:t>
      </w:r>
      <w:r>
        <w:rPr>
          <w:b/>
        </w:rPr>
        <w:t>]</w:t>
      </w:r>
      <w:r>
        <w:rPr/>
        <w:t xml:space="preserve"> interbank money market, adjusted to take into account the exact number of days in the various months concerned in the applicable 12-month period), as calculated by Caisse des Dépôts et Consignations and appearing on the Reuters Screen CDCINDEX1 Page opposite the heading "T.A.M." on that Reset Date.  If such rate is not available from such source, then the rate for such Reset Date will be determined as if the parties had specified "EUR-TMM-CDC-COMPOUND" as the applicable Floating Rate Option.  Meanings for certain terms relevant to this Floating Rate Option shall be as specified in Exhibit I to this Annex.</w:t>
      </w:r>
    </w:p>
    <w:p>
      <w:pPr>
        <w:pStyle w:val="Normal"/>
        <w:rPr/>
      </w:pPr>
      <w:r>
        <w:rPr/>
      </w:r>
    </w:p>
    <w:p>
      <w:pPr>
        <w:pStyle w:val="Normal"/>
        <w:ind w:firstLine="720" w:start="720" w:end="0"/>
        <w:rPr/>
      </w:pPr>
      <w:r>
        <w:rPr/>
        <w:t>(ix)</w:t>
        <w:tab/>
        <w:t xml:space="preserve">"EUR-TMM-CDC-COMPOUND" means that the rate for a Reset Date, calculated in accordance with the formula set forth below in this clause, will be the rate of return of a monthly compound interest investment, renewed at the end of each month, over the preceding 12-month period (it being understood that the reference rate for the calculation of interest is the average monthly rate of the day-to-day </w:t>
      </w:r>
      <w:r>
        <w:rPr>
          <w:b/>
        </w:rPr>
        <w:t>[</w:t>
      </w:r>
      <w:r>
        <w:rPr/>
        <w:t>French</w:t>
      </w:r>
      <w:r>
        <w:rPr>
          <w:b/>
        </w:rPr>
        <w:t>]</w:t>
      </w:r>
      <w:r>
        <w:rPr/>
        <w:t xml:space="preserve"> interbank money market, adjusted to take into account the exact number of days in the various months concerned in the applicable 12-month period, as calculated by the </w:t>
      </w:r>
      <w:r>
        <w:rPr>
          <w:b/>
        </w:rPr>
        <w:t>[</w:t>
      </w:r>
      <w:r>
        <w:rPr/>
        <w:t>Banque de France</w:t>
      </w:r>
      <w:r>
        <w:rPr>
          <w:b/>
        </w:rPr>
        <w:t>]</w:t>
      </w:r>
      <w:r>
        <w:rPr/>
        <w:t xml:space="preserve"> for each of the relevant months and appearing on the Reuters Screen CDCINDEX1 Page opposite the heading "TMM" on the first </w:t>
      </w:r>
      <w:r>
        <w:rPr>
          <w:b/>
        </w:rPr>
        <w:t>[</w:t>
      </w:r>
      <w:r>
        <w:rPr/>
        <w:t>Paris Banking</w:t>
      </w:r>
      <w:r>
        <w:rPr>
          <w:b/>
        </w:rPr>
        <w:t>]</w:t>
      </w:r>
      <w:r>
        <w:rPr/>
        <w:t xml:space="preserve"> Day of the month following each such relevant month).  As used in this clause (viii), "relevant months" means the month and year of each of the first 12 calendar months occurring in the applicable Calculation Period.  Meanings for certain terms relevant to this Floating Rate Option shall be as specified in Exhibit I to this Annex.</w:t>
      </w:r>
    </w:p>
    <w:p>
      <w:pPr>
        <w:pStyle w:val="Normal"/>
        <w:rPr/>
      </w:pPr>
      <w:r>
        <w:rPr/>
      </w:r>
    </w:p>
    <w:p>
      <w:pPr>
        <w:pStyle w:val="Normal"/>
        <w:keepNext w:val="true"/>
        <w:ind w:firstLine="720" w:start="720" w:end="0"/>
        <w:rPr/>
      </w:pPr>
      <w:r>
        <w:rPr/>
        <w:t>"EUR-TMM-CDC-COMPOUND" will be calculated as follows:</w:t>
      </w:r>
    </w:p>
    <w:p>
      <w:pPr>
        <w:pStyle w:val="Normal"/>
        <w:keepNext w:val="true"/>
        <w:rPr/>
      </w:pPr>
      <w:r>
        <w:rPr/>
      </w:r>
    </w:p>
    <w:p>
      <w:pPr>
        <w:pStyle w:val="Normal"/>
        <w:ind w:start="3060" w:end="0"/>
        <w:rPr/>
      </w:pPr>
      <w:r>
        <w:rPr/>
      </w:r>
      <m:oMathPara xmlns:m="http://schemas.openxmlformats.org/officeDocument/2006/math">
        <m:oMathParaPr>
          <m:jc m:val="left"/>
        </m:oMathParaPr>
        <m:oMath>
          <m:r>
            <m:rPr>
              <m:lit/>
              <m:nor/>
            </m:rPr>
            <m:t xml:space="preserve">100</m:t>
          </m:r>
          <m:r>
            <m:t xml:space="preserve"> </m:t>
          </m:r>
          <m:r>
            <m:t xml:space="preserve">×</m:t>
          </m:r>
          <m:r>
            <m:t xml:space="preserve"> </m:t>
          </m:r>
          <m:d>
            <m:dPr>
              <m:begChr m:val="["/>
              <m:endChr m:val="]"/>
            </m:dPr>
            <m:e>
              <m:nary>
                <m:naryPr>
                  <m:chr m:val="∏"/>
                </m:naryPr>
                <m:sub>
                  <m:r>
                    <m:t xml:space="preserve">i</m:t>
                  </m:r>
                  <m:r>
                    <m:t xml:space="preserve">=</m:t>
                  </m:r>
                  <m:r>
                    <m:t xml:space="preserve">l</m:t>
                  </m:r>
                </m:sub>
                <m:sup>
                  <m:r>
                    <m:rPr>
                      <m:lit/>
                      <m:nor/>
                    </m:rPr>
                    <m:t xml:space="preserve">12</m:t>
                  </m:r>
                </m:sup>
                <m:e>
                  <m:d>
                    <m:dPr>
                      <m:begChr m:val="("/>
                      <m:endChr m:val=")"/>
                    </m:dPr>
                    <m:e>
                      <m:r>
                        <m:t xml:space="preserve">1</m:t>
                      </m:r>
                      <m:r>
                        <m:t xml:space="preserve"> </m:t>
                      </m:r>
                      <m:r>
                        <m:t xml:space="preserve">+</m:t>
                      </m:r>
                      <m:r>
                        <m:t xml:space="preserve"> </m:t>
                      </m:r>
                      <m:d>
                        <m:dPr>
                          <m:begChr m:val="("/>
                          <m:endChr m:val=")"/>
                        </m:dPr>
                        <m:e>
                          <m:r>
                            <m:t xml:space="preserve">R</m:t>
                          </m:r>
                          <m:r>
                            <m:t xml:space="preserve">i</m:t>
                          </m:r>
                          <m:r>
                            <m:t xml:space="preserve"> </m:t>
                          </m:r>
                          <m:r>
                            <m:t xml:space="preserve">×</m:t>
                          </m:r>
                          <m:r>
                            <m:t xml:space="preserve"> </m:t>
                          </m:r>
                          <m:r>
                            <m:t xml:space="preserve">D</m:t>
                          </m:r>
                          <m:r>
                            <m:t xml:space="preserve">i</m:t>
                          </m:r>
                          <m:f>
                            <m:fPr>
                              <m:type m:val="lin"/>
                            </m:fPr>
                            <m:num>
                              <m:r>
                                <m:t xml:space="preserve"> </m:t>
                              </m:r>
                            </m:num>
                            <m:den>
                              <m:r>
                                <m:t xml:space="preserve"> </m:t>
                              </m:r>
                            </m:den>
                          </m:f>
                          <m:r>
                            <m:rPr>
                              <m:lit/>
                              <m:nor/>
                            </m:rPr>
                            <m:t xml:space="preserve">36000</m:t>
                          </m:r>
                        </m:e>
                      </m:d>
                    </m:e>
                  </m:d>
                  <m:r>
                    <m:t xml:space="preserve"> </m:t>
                  </m:r>
                  <m:r>
                    <m:t xml:space="preserve">−</m:t>
                  </m:r>
                  <m:r>
                    <m:t xml:space="preserve"> </m:t>
                  </m:r>
                  <m:r>
                    <m:t xml:space="preserve">1</m:t>
                  </m:r>
                </m:e>
              </m:nary>
            </m:e>
          </m:d>
        </m:oMath>
      </m:oMathPara>
    </w:p>
    <w:p>
      <w:pPr>
        <w:pStyle w:val="Normal"/>
        <w:rPr/>
      </w:pPr>
      <w:r>
        <w:rPr/>
      </w:r>
    </w:p>
    <w:p>
      <w:pPr>
        <w:pStyle w:val="Normal"/>
        <w:ind w:firstLine="720" w:start="720" w:end="0"/>
        <w:jc w:val="start"/>
        <w:rPr/>
      </w:pPr>
      <w:r>
        <w:rPr/>
        <w:t>where:</w:t>
      </w:r>
    </w:p>
    <w:p>
      <w:pPr>
        <w:pStyle w:val="Normal"/>
        <w:jc w:val="start"/>
        <w:rPr/>
      </w:pPr>
      <w:r>
        <w:rPr/>
      </w:r>
    </w:p>
    <w:p>
      <w:pPr>
        <w:pStyle w:val="Normal"/>
        <w:ind w:firstLine="720" w:start="1440" w:end="0"/>
        <w:rPr/>
      </w:pPr>
      <w:r>
        <w:rPr/>
        <w:t>"R</w:t>
      </w:r>
      <w:r>
        <w:rPr>
          <w:vertAlign w:val="subscript"/>
        </w:rPr>
        <w:t>i</w:t>
      </w:r>
      <w:r>
        <w:rPr/>
        <w:t xml:space="preserve">", for any relevant month "i", is a reference rate equal to the arithmetic mean of the day-to-day </w:t>
      </w:r>
      <w:r>
        <w:rPr>
          <w:b/>
        </w:rPr>
        <w:t>[</w:t>
      </w:r>
      <w:r>
        <w:rPr/>
        <w:t>French</w:t>
      </w:r>
      <w:r>
        <w:rPr>
          <w:b/>
        </w:rPr>
        <w:t>]</w:t>
      </w:r>
      <w:r>
        <w:rPr/>
        <w:t xml:space="preserve"> interbank money market for such relevant month, as calculated by the </w:t>
      </w:r>
      <w:r>
        <w:rPr>
          <w:b/>
        </w:rPr>
        <w:t>[</w:t>
      </w:r>
      <w:r>
        <w:rPr/>
        <w:t>Banque de France</w:t>
      </w:r>
      <w:r>
        <w:rPr>
          <w:b/>
        </w:rPr>
        <w:t>]</w:t>
      </w:r>
      <w:r>
        <w:rPr/>
        <w:t xml:space="preserve"> and appearing on the Reuters Screen CDCINDEX1 Page opposite the heading "T.M.M." on the first Paris Banking Day of the month following such relevant month; if for any relevant month the reference rate is not available from such source, the reference rate for that relevant month will be the rate determined in accordance with the definition of "EUR-TMP-CDC-AVERAGE";</w:t>
      </w:r>
    </w:p>
    <w:p>
      <w:pPr>
        <w:pStyle w:val="Normal"/>
        <w:rPr/>
      </w:pPr>
      <w:r>
        <w:rPr/>
      </w:r>
    </w:p>
    <w:p>
      <w:pPr>
        <w:pStyle w:val="Normal"/>
        <w:ind w:firstLine="720" w:start="1440" w:end="0"/>
        <w:rPr/>
      </w:pPr>
      <w:r>
        <w:rPr/>
        <w:t>"D</w:t>
      </w:r>
      <w:r>
        <w:rPr>
          <w:vertAlign w:val="subscript"/>
        </w:rPr>
        <w:t>i</w:t>
      </w:r>
      <w:r>
        <w:rPr/>
        <w:t>", for any relevant month "i", is the actual number of days in that relevant month; and</w:t>
      </w:r>
    </w:p>
    <w:p>
      <w:pPr>
        <w:pStyle w:val="Normal"/>
        <w:ind w:start="720" w:end="0"/>
        <w:rPr/>
      </w:pPr>
      <w:r>
        <w:rPr/>
      </w:r>
    </w:p>
    <w:p>
      <w:pPr>
        <w:pStyle w:val="Normal"/>
        <w:ind w:firstLine="720" w:start="1440" w:end="0"/>
        <w:rPr/>
      </w:pPr>
      <w:r>
        <w:rPr/>
        <w:t>"i" is a series of whole numbers from one to 12 representing each of the relevant months in chronological order from and including the first month of any applicable Calculation Period.</w:t>
      </w:r>
    </w:p>
    <w:p>
      <w:pPr>
        <w:pStyle w:val="Normal"/>
        <w:keepNext w:val="true"/>
        <w:ind w:firstLine="720" w:start="720" w:end="0"/>
        <w:rPr/>
      </w:pPr>
      <w:r>
        <w:rPr/>
      </w:r>
    </w:p>
    <w:p>
      <w:pPr>
        <w:pStyle w:val="Normal"/>
        <w:ind w:firstLine="720" w:start="720" w:end="0"/>
        <w:rPr/>
      </w:pPr>
      <w:r>
        <w:rPr/>
        <w:t>(x)</w:t>
        <w:tab/>
        <w:t xml:space="preserve">"EUR-TMP-CDC-AVERAGE" means that the rate for a Reset Date, calculated in accordance with the formula set forth below in this clause, will be the arithmetic mean of the daily rates of the day-to-day </w:t>
      </w:r>
      <w:r>
        <w:rPr>
          <w:b/>
        </w:rPr>
        <w:t>[</w:t>
      </w:r>
      <w:r>
        <w:rPr/>
        <w:t>French</w:t>
      </w:r>
      <w:r>
        <w:rPr>
          <w:b/>
        </w:rPr>
        <w:t>]</w:t>
      </w:r>
      <w:r>
        <w:rPr/>
        <w:t xml:space="preserve"> interbank money market, adjusted to take into account the exact number of days in the month concerned.  Meanings for certain terms relevant to this Floating Rate Option shall be as specified in Exhibit I to this Annex.</w:t>
      </w:r>
    </w:p>
    <w:p>
      <w:pPr>
        <w:pStyle w:val="Normal"/>
        <w:ind w:start="720" w:end="0"/>
        <w:rPr/>
      </w:pPr>
      <w:r>
        <w:rPr/>
      </w:r>
    </w:p>
    <w:p>
      <w:pPr>
        <w:pStyle w:val="Normal"/>
        <w:keepNext w:val="true"/>
        <w:ind w:firstLine="720" w:start="720" w:end="0"/>
        <w:rPr/>
      </w:pPr>
      <w:r>
        <w:rPr/>
        <w:t>"EUR-TMP-CDC-AVERAGE" shall be calculated as follows:</w:t>
      </w:r>
    </w:p>
    <w:p>
      <w:pPr>
        <w:pStyle w:val="Normal"/>
        <w:rPr/>
      </w:pPr>
      <w:r>
        <w:rPr/>
      </w:r>
    </w:p>
    <w:p>
      <w:pPr>
        <w:pStyle w:val="Normal"/>
        <w:ind w:start="4140" w:end="0"/>
        <w:rPr/>
      </w:pPr>
      <w:r>
        <w:rPr/>
      </w:r>
      <m:oMath xmlns:m="http://schemas.openxmlformats.org/officeDocument/2006/math"/>
      <w:r>
        <w:rPr/>
      </w:r>
      <m:oMath xmlns:m="http://schemas.openxmlformats.org/officeDocument/2006/math">
        <m:f>
          <m:num>
            <m:r>
              <m:rPr>
                <m:lit/>
                <m:nor/>
              </m:rPr>
              <m:t xml:space="preserve">100</m:t>
            </m:r>
          </m:num>
          <m:den>
            <m:r>
              <m:t xml:space="preserve">D</m:t>
            </m:r>
          </m:den>
        </m:f>
        <m:r>
          <m:t xml:space="preserve"> </m:t>
        </m:r>
        <m:r>
          <m:t xml:space="preserve">×</m:t>
        </m:r>
        <m:r>
          <m:t xml:space="preserve"> </m:t>
        </m:r>
        <m:d>
          <m:dPr>
            <m:begChr m:val="["/>
            <m:endChr m:val="]"/>
          </m:dPr>
          <m:e>
            <m:nary>
              <m:naryPr>
                <m:chr m:val="∑"/>
              </m:naryPr>
              <m:sub>
                <m:r>
                  <m:t xml:space="preserve">i</m:t>
                </m:r>
                <m:r>
                  <m:t xml:space="preserve">=</m:t>
                </m:r>
                <m:r>
                  <m:t xml:space="preserve">l</m:t>
                </m:r>
              </m:sub>
              <m:sup>
                <m:r>
                  <m:t xml:space="preserve">i</m:t>
                </m:r>
                <m:r>
                  <m:t xml:space="preserve">=</m:t>
                </m:r>
                <m:r>
                  <m:t xml:space="preserve">D</m:t>
                </m:r>
              </m:sup>
              <m:e>
                <m:r>
                  <m:t xml:space="preserve">R</m:t>
                </m:r>
                <m:r>
                  <m:t xml:space="preserve">i</m:t>
                </m:r>
              </m:e>
            </m:nary>
          </m:e>
        </m:d>
      </m:oMath>
    </w:p>
    <w:p>
      <w:pPr>
        <w:pStyle w:val="Normal"/>
        <w:ind w:start="720" w:end="0"/>
        <w:jc w:val="start"/>
        <w:rPr/>
      </w:pPr>
      <w:r>
        <w:rPr/>
      </w:r>
    </w:p>
    <w:p>
      <w:pPr>
        <w:pStyle w:val="Normal"/>
        <w:ind w:firstLine="720" w:start="720" w:end="0"/>
        <w:jc w:val="start"/>
        <w:rPr/>
      </w:pPr>
      <w:r>
        <w:rPr/>
        <w:t>where:</w:t>
      </w:r>
    </w:p>
    <w:p>
      <w:pPr>
        <w:pStyle w:val="Normal"/>
        <w:ind w:start="720" w:end="0"/>
        <w:jc w:val="start"/>
        <w:rPr/>
      </w:pPr>
      <w:r>
        <w:rPr/>
      </w:r>
    </w:p>
    <w:p>
      <w:pPr>
        <w:pStyle w:val="Normal"/>
        <w:ind w:firstLine="720" w:start="1440" w:end="0"/>
        <w:rPr/>
      </w:pPr>
      <w:r>
        <w:rPr/>
        <w:t>"R</w:t>
      </w:r>
      <w:r>
        <w:rPr>
          <w:vertAlign w:val="subscript"/>
        </w:rPr>
        <w:t>i</w:t>
      </w:r>
      <w:r>
        <w:rPr/>
        <w:t xml:space="preserve">", for any relevant day "i" in the month of the Calculation Period, is a reference rate calculated by </w:t>
      </w:r>
      <w:r>
        <w:rPr>
          <w:b/>
        </w:rPr>
        <w:t>[</w:t>
      </w:r>
      <w:r>
        <w:rPr/>
        <w:t>the European Central Bank</w:t>
      </w:r>
      <w:r>
        <w:rPr>
          <w:b/>
        </w:rPr>
        <w:t>]</w:t>
      </w:r>
      <w:r>
        <w:rPr/>
        <w:t xml:space="preserve"> and appearing on the Reuters Screen CDCINDEX1 Page opposite the heading "</w:t>
      </w:r>
      <w:r>
        <w:rPr>
          <w:b/>
        </w:rPr>
        <w:t>[</w:t>
      </w:r>
      <w:r>
        <w:rPr/>
        <w:t>EONIA</w:t>
      </w:r>
      <w:r>
        <w:rPr>
          <w:b/>
        </w:rPr>
        <w:t>]</w:t>
      </w:r>
      <w:r>
        <w:rPr/>
        <w:t>" in respect of that day, if that day is a TARGET Settlement Day, or in respect of the TARGET Settlement Day immediately preceding that day, if that day is not a TARGET Settlement Day;</w:t>
      </w:r>
    </w:p>
    <w:p>
      <w:pPr>
        <w:pStyle w:val="Normal"/>
        <w:ind w:start="720" w:end="0"/>
        <w:rPr/>
      </w:pPr>
      <w:r>
        <w:rPr/>
      </w:r>
    </w:p>
    <w:p>
      <w:pPr>
        <w:pStyle w:val="Normal"/>
        <w:ind w:firstLine="720" w:start="1440" w:end="0"/>
        <w:rPr/>
      </w:pPr>
      <w:r>
        <w:rPr/>
        <w:t>"D", for the month of the Calculation Period, is the actual number of days in that month; and</w:t>
      </w:r>
    </w:p>
    <w:p>
      <w:pPr>
        <w:pStyle w:val="Normal"/>
        <w:ind w:start="1440" w:end="0"/>
        <w:rPr/>
      </w:pPr>
      <w:r>
        <w:rPr/>
      </w:r>
    </w:p>
    <w:p>
      <w:pPr>
        <w:pStyle w:val="Normal"/>
        <w:ind w:firstLine="720" w:start="1440" w:end="0"/>
        <w:rPr/>
      </w:pPr>
      <w:r>
        <w:rPr/>
        <w:t>"i" is a series of whole numbers from one to D, each representing in the month of the Calculation Period the chronological order of days in that month from and including the first day of that month to and including the last day of that month.</w:t>
      </w:r>
    </w:p>
    <w:p>
      <w:pPr>
        <w:pStyle w:val="Normal"/>
        <w:ind w:start="720" w:end="0"/>
        <w:jc w:val="start"/>
        <w:rPr/>
      </w:pPr>
      <w:r>
        <w:rPr/>
      </w:r>
    </w:p>
    <w:p>
      <w:pPr>
        <w:pStyle w:val="Normal"/>
        <w:ind w:firstLine="720" w:start="720" w:end="0"/>
        <w:rPr/>
      </w:pPr>
      <w:r>
        <w:rPr/>
        <w:t>(xi)</w:t>
        <w:tab/>
        <w:t>"EUR-TEC10-CNO" means that the rate for a Reset Date will be the rate as calculated by Comité de Normalisation Obligataire which appears on the Reuters Screen CNOTEC10 Page</w:t>
      </w:r>
      <w:r>
        <w:rPr>
          <w:b/>
          <w:i/>
        </w:rPr>
        <w:t xml:space="preserve"> </w:t>
      </w:r>
      <w:r>
        <w:rPr/>
        <w:t>as of 10:00 a.m.,</w:t>
      </w:r>
      <w:r>
        <w:rPr>
          <w:i/>
        </w:rPr>
        <w:t xml:space="preserve"> </w:t>
      </w:r>
      <w:r>
        <w:rPr/>
        <w:t xml:space="preserve">Paris time, on the day that is one </w:t>
      </w:r>
      <w:r>
        <w:rPr>
          <w:b/>
        </w:rPr>
        <w:t>[</w:t>
      </w:r>
      <w:r>
        <w:rPr/>
        <w:t>Paris Banking</w:t>
      </w:r>
      <w:r>
        <w:rPr>
          <w:b/>
        </w:rPr>
        <w:t>]</w:t>
      </w:r>
      <w:r>
        <w:rPr/>
        <w:t xml:space="preserve"> Day preceding that Reset Date.  If such rate does not appear on the Reuters Screen CNOTEC10 Page, the rate for that Reset Date will be determined as if the parties had specified "EUR-TEC10-Reference Banks" as the applicable Floating Rate Option.</w:t>
      </w:r>
    </w:p>
    <w:p>
      <w:pPr>
        <w:pStyle w:val="Normal"/>
        <w:ind w:firstLine="720" w:end="0"/>
        <w:rPr/>
      </w:pPr>
      <w:r>
        <w:rPr/>
      </w:r>
    </w:p>
    <w:p>
      <w:pPr>
        <w:pStyle w:val="Normal"/>
        <w:ind w:firstLine="720" w:start="720" w:end="0"/>
        <w:rPr/>
      </w:pPr>
      <w:r>
        <w:rPr/>
        <w:t>(xii)</w:t>
        <w:tab/>
        <w:t xml:space="preserve">"EUR-TEC10-Reference Banks" means that the rate for a Reset Date will be determined on the basis of the mid-market prices for each of the two reference Obligations Assimables du Trésor which would have been used by the Comité de Normalisation Obligataire for the calculation of the TEC10, quoted by five Spécialistes en Valeurs du Trésor at approximately 10:00 a.m., Paris time, on the day that is one </w:t>
      </w:r>
      <w:r>
        <w:rPr>
          <w:b/>
        </w:rPr>
        <w:t>[</w:t>
      </w:r>
      <w:r>
        <w:rPr/>
        <w:t>Paris Banking</w:t>
      </w:r>
      <w:r>
        <w:rPr>
          <w:b/>
        </w:rPr>
        <w:t>]</w:t>
      </w:r>
      <w:r>
        <w:rPr/>
        <w:t xml:space="preserve"> Day prior to that Reset Date.  The Calculation Agent will request the principal Paris office of each of the Spécialistes en Valeurs du Trésor to provide a quotation of its price.  The rate for that Reset Date will be the redemption yield of the arithmetic mean of such prices as determined by the Calculation Agent after discarding the highest and lowest such quotations. </w:t>
      </w:r>
    </w:p>
    <w:p>
      <w:pPr>
        <w:pStyle w:val="Normal"/>
        <w:ind w:hanging="720" w:start="720" w:end="0"/>
        <w:rPr/>
      </w:pPr>
      <w:r>
        <w:rPr/>
      </w:r>
    </w:p>
    <w:p>
      <w:pPr>
        <w:pStyle w:val="Normal"/>
        <w:ind w:firstLine="720" w:start="720" w:end="0"/>
        <w:rPr/>
      </w:pPr>
      <w:r>
        <w:rPr/>
        <w:t>(xiii)</w:t>
        <w:tab/>
        <w:t xml:space="preserve">"EUR-TEC5-CNO" means that the rate for a Reset Date will be the rate as calculated by Comité de Normalisation Obligataire which appears on the Reuters Screen CNOTEC5 Page as of 10:00 a.m., Paris time, on the day which is one </w:t>
      </w:r>
      <w:r>
        <w:rPr>
          <w:b/>
        </w:rPr>
        <w:t>[</w:t>
      </w:r>
      <w:r>
        <w:rPr/>
        <w:t>Paris Banking</w:t>
      </w:r>
      <w:r>
        <w:rPr>
          <w:b/>
        </w:rPr>
        <w:t>]</w:t>
      </w:r>
      <w:r>
        <w:rPr/>
        <w:t xml:space="preserve"> Day preceding that Reset Date.  If such rate does not appear on the Reuters Screen CNOTEC5 Page, the rate for that Reset Date will be determined as if the parties had specified "EUR-TEC5-Reference Banks" as the applicable Floating Rate Option.</w:t>
      </w:r>
    </w:p>
    <w:p>
      <w:pPr>
        <w:pStyle w:val="Normal"/>
        <w:ind w:hanging="720" w:start="720" w:end="0"/>
        <w:rPr/>
      </w:pPr>
      <w:r>
        <w:rPr/>
      </w:r>
    </w:p>
    <w:p>
      <w:pPr>
        <w:pStyle w:val="Normal"/>
        <w:ind w:firstLine="720" w:start="720" w:end="0"/>
        <w:rPr/>
      </w:pPr>
      <w:r>
        <w:rPr/>
        <w:t>(xiv)</w:t>
        <w:tab/>
        <w:t xml:space="preserve">"EUR-TEC5-Reference Banks" means that the rate for that Reset Date will be determined on the basis of the mid-market prices for each of the two reference Obligations Assimables du Trésor which would have been used by the Comité de Normalisation Obligataire for the calculation of the TEC5, quoted by five Spécialistes en Valeurs du Trésor, at approximately 10:00 a.m., Paris time, on the day that is one </w:t>
      </w:r>
      <w:r>
        <w:rPr>
          <w:b/>
        </w:rPr>
        <w:t>[</w:t>
      </w:r>
      <w:r>
        <w:rPr/>
        <w:t>Paris Banking</w:t>
      </w:r>
      <w:r>
        <w:rPr>
          <w:b/>
        </w:rPr>
        <w:t>]</w:t>
      </w:r>
      <w:r>
        <w:rPr/>
        <w:t xml:space="preserve"> Day prior to that Reset Date.  The Calculation Agent will request the principal Paris office of each of the Spécialistes en Valeurs du Trésor to provide a quotation of its price.  The rate for that Reset Date will be the redemption yield of the arithmetic mean of such prices as determined by the Calculation Agent after discarding the highest and lowest such quotations.</w:t>
      </w:r>
    </w:p>
    <w:p>
      <w:pPr>
        <w:pStyle w:val="Normal"/>
        <w:ind w:firstLine="720" w:start="720" w:end="0"/>
        <w:rPr/>
      </w:pPr>
      <w:r>
        <w:rPr/>
      </w:r>
    </w:p>
    <w:p>
      <w:pPr>
        <w:pStyle w:val="Normal"/>
        <w:ind w:firstLine="720" w:start="720" w:end="0"/>
        <w:rPr/>
      </w:pPr>
      <w:r>
        <w:rPr/>
        <w:t>(xv)</w:t>
        <w:tab/>
        <w:t>"EUR-Annual Swap Rate-10:00" means that the rate for a Reset Date will be the annual swap rate for EUR swap transactions with a maturity of the Designated Maturity, expressed as a percentage, which appears on the Telerate Page 42281 under the heading "10:00 LDN TIME VS 6M EURIBOR" and the column "MEAN" as of 10:00 a.m., London time, on the day that is two TARGET Settlement Days preceding that Reset Date.  If such rate does not appear on the Telerate Page 42281, the rate for that Reset Date will be determined as if the parties had specified "EUR-Annual Swap Rate-Reference Banks" as the applicable Floating Rate Option.</w:t>
      </w:r>
    </w:p>
    <w:p>
      <w:pPr>
        <w:pStyle w:val="Normal"/>
        <w:ind w:firstLine="720" w:start="720" w:end="0"/>
        <w:rPr/>
      </w:pPr>
      <w:r>
        <w:rPr/>
      </w:r>
    </w:p>
    <w:p>
      <w:pPr>
        <w:pStyle w:val="Normal"/>
        <w:ind w:firstLine="720" w:start="720" w:end="0"/>
        <w:rPr/>
      </w:pPr>
      <w:r>
        <w:rPr/>
        <w:t>(xvi)</w:t>
        <w:tab/>
        <w:t>"EUR-Annual Swap Rate-11:00" means that the rate for a Reset Date will be the annual swap rate for EUR swap transactions with a maturity of the Designated Maturity, expressed as a percentage, which appears on the Telerate Page 42281 under the heading "11:00 LDN TIME VS 6M EURIBOR" and the column "MEAN" as of 11:00 a.m., London time, on the day that is two TARGET Settlement Days preceding that Reset Date.  If such rate does not appear on the Telerate Page 42281, the rate for that Reset Date will be determined as if the parties had specified "EUR-Annual Swap Rate-Reference Banks" as the applicable Floating Rate Option.</w:t>
      </w:r>
    </w:p>
    <w:p>
      <w:pPr>
        <w:pStyle w:val="Normal"/>
        <w:ind w:firstLine="720" w:start="720" w:end="0"/>
        <w:rPr/>
      </w:pPr>
      <w:r>
        <w:rPr/>
      </w:r>
    </w:p>
    <w:p>
      <w:pPr>
        <w:pStyle w:val="Normal"/>
        <w:ind w:firstLine="720" w:start="720" w:end="0"/>
        <w:rPr/>
      </w:pPr>
      <w:r>
        <w:rPr/>
        <w:t>(xvii)</w:t>
        <w:tab/>
        <w:t>"EUR-Annual Swap Rate-3 Month" means that the rate for a Reset Date will be the annual swap rate for EUR swap transactions with a maturity of the Designated Maturity, expressed as a percentage, which appears on the Telerate Page 42284 under the heading "MEAN" as of 10:00 a.m., London time, on the day that is two TARGET Settlement Days preceding that Reset Date.  If such rate does not appear on the Telerate Page 42284, the rate for that Reset Date will be determined as if the parties had specified "EUR-Annual Swap Rate-Reference Banks" as the applicable Floating Rate Option.</w:t>
      </w:r>
    </w:p>
    <w:p>
      <w:pPr>
        <w:pStyle w:val="Normal"/>
        <w:ind w:firstLine="720" w:start="720" w:end="0"/>
        <w:rPr/>
      </w:pPr>
      <w:r>
        <w:rPr/>
      </w:r>
    </w:p>
    <w:p>
      <w:pPr>
        <w:pStyle w:val="Normal"/>
        <w:ind w:firstLine="720" w:start="720" w:end="0"/>
        <w:rPr/>
      </w:pPr>
      <w:r>
        <w:rPr/>
        <w:t>(xviii)</w:t>
        <w:tab/>
        <w:t>"EUR-ISDA-EURIBOR Swap Rate-11:00" means that the rate for a Reset Date will be the annual swap rate for EUR swap transactions with a maturity of the Designated Maturity, expressed as a percentage, which appears on the Reuters Screen ISDAFIX2 Page under the heading "EURIBOR BASIS - FRF" and above the caption "11:00 AM FRANKFURT" as of 11:00 a.m., Frankfurt time, on the day that is two TARGET Settlement Days preceding that Reset Date.  If such rate does not appear on the Reuters Screen ISDAFIX2 Page, the rate for that Reset Date will be determined as if the parties had specified "EUR-Annual Swap Rate-Reference Banks" as the applicable Floating Rate Option.</w:t>
      </w:r>
    </w:p>
    <w:p>
      <w:pPr>
        <w:pStyle w:val="Normal"/>
        <w:ind w:firstLine="720" w:start="720" w:end="0"/>
        <w:rPr/>
      </w:pPr>
      <w:r>
        <w:rPr/>
      </w:r>
    </w:p>
    <w:p>
      <w:pPr>
        <w:pStyle w:val="Normal"/>
        <w:ind w:firstLine="720" w:start="720" w:end="0"/>
        <w:rPr/>
      </w:pPr>
      <w:r>
        <w:rPr/>
        <w:t>(xiv)</w:t>
        <w:tab/>
        <w:t>"EUR-ISDA-EURIBOR Swap Rate-12:00" means that the rate for a Reset Date will be the annual swap rate for EUR swap transactions with a maturity of the Designated Maturity, expressed as a percentage, which appears on the Reuters Screen ISDAFIX2 Page under the heading "EURIBOR BASIS - FRF" and above the caption "12:00 AM FRANKFURT" as of 12:00 noon, Frankfurt time, on the day that is two TARGET Settlement Days preceding that Reset Date.  If such rate does not appear on the Reuters Screen ISDAFIX2 Page, the rate for that Reset Date will be determined as if the parties had specified "EUR-Annual Swap Rate-Reference Banks" as the applicable Floating Rate Option.</w:t>
      </w:r>
    </w:p>
    <w:p>
      <w:pPr>
        <w:pStyle w:val="Normal"/>
        <w:ind w:firstLine="720" w:start="720" w:end="0"/>
        <w:rPr/>
      </w:pPr>
      <w:r>
        <w:rPr/>
      </w:r>
    </w:p>
    <w:p>
      <w:pPr>
        <w:pStyle w:val="Normal"/>
        <w:ind w:firstLine="720" w:start="720" w:end="0"/>
        <w:rPr/>
      </w:pPr>
      <w:r>
        <w:rPr/>
        <w:t>(xv)</w:t>
        <w:tab/>
        <w:t>"EUR-ISDA-LIBOR Swap Rate-10:00" means that the rate for a Reset Date will be the annual swap rate for EUR swap transactions with a maturity of the Designated Maturity, expressed as a percentage, which appears on the Reuters Screen ISDAFIX2 Page under the heading "EURO LIBOR BASIS - DEM" and above the caption "10:00 AM LONDON" as of 10:00 a.m., London time, on the day that is two TARGET Settlement Days preceding that Reset Date.  If such rate does not appear on the Reuters Screen ISDAFIX2 Page, the rate for that Reset Date will be determined as if the parties had specified "EUR-Annual Swap Rate-Reference Banks" as the applicable Floating Rate Option.</w:t>
      </w:r>
    </w:p>
    <w:p>
      <w:pPr>
        <w:pStyle w:val="Normal"/>
        <w:ind w:firstLine="720" w:start="720" w:end="0"/>
        <w:rPr/>
      </w:pPr>
      <w:r>
        <w:rPr/>
      </w:r>
    </w:p>
    <w:p>
      <w:pPr>
        <w:pStyle w:val="Normal"/>
        <w:ind w:firstLine="720" w:start="720" w:end="0"/>
        <w:rPr/>
      </w:pPr>
      <w:r>
        <w:rPr/>
        <w:t>(xvi)</w:t>
        <w:tab/>
        <w:t>"EUR-ISDA-LIBOR Swap Rate-11:00" means that the rate for a Reset Date will be the annual swap rate for EUR swap transactions with a maturity of the Designated Maturity, expressed as a percentage, which appears on the Reuters Screen ISDAFIX2 Page under the heading "EURO LIBOR BASIS - DEM" and above the caption "11:00 AM LONDON" as of 11:00 a.m., London time, on the day that is two TARGET Settlement Days preceding that Reset Date.  If such rate does not appear on the Reuters Screen ISDAFIX2 Page, the rate for that Reset Date will be determined as if the parties had specified "EUR-Annual Swap Rate-Reference Banks" as the applicable Floating Rate Option.</w:t>
      </w:r>
    </w:p>
    <w:p>
      <w:pPr>
        <w:pStyle w:val="Normal"/>
        <w:ind w:firstLine="720" w:start="720" w:end="0"/>
        <w:rPr/>
      </w:pPr>
      <w:r>
        <w:rPr/>
      </w:r>
    </w:p>
    <w:p>
      <w:pPr>
        <w:pStyle w:val="Normal"/>
        <w:ind w:firstLine="720" w:start="720" w:end="0"/>
        <w:rPr/>
      </w:pPr>
      <w:r>
        <w:rPr/>
        <w:t>(xvii)</w:t>
        <w:tab/>
        <w:t>"EUR-Annual Swap Rate-Reference Banks" means that the rate for a Reset Date will be a percentage determined on the basis of the mid-market annual swap rate quotations provided by the Reference Banks: (A) in the case of "EUR-Annual Swap Rate-10:00", "EUR-Annual Swap Rate-3 Month" or "EUR-ISDA-LIBOR Swap Rate-10:00", at approximately 10:00 a.m., London time, (B) in the case of "EUR-ISDA-EURIBOR Swap Rate-11:00", at approximately 11:00 a.m., Frankfurt time, (C) in the case of "EUR-Annual Swap Rate-11:00" or "EUR-ISDA-LIBOR Swap Rate-11:00", at approximately 11:00 a.m., London time, or (D) in the case of "EUR-ISDA-EURIBOR Swap Rate-12:00", at approximately 12:00 noon,</w:t>
      </w:r>
      <w:r>
        <w:rPr>
          <w:i/>
        </w:rPr>
        <w:t xml:space="preserve"> </w:t>
      </w:r>
      <w:r>
        <w:rPr/>
        <w:t>Frankfurt time, in each case on the day that is two</w:t>
      </w:r>
      <w:r>
        <w:rPr>
          <w:b/>
        </w:rPr>
        <w:t xml:space="preserve"> </w:t>
      </w:r>
      <w:r>
        <w:rPr/>
        <w:t>TARGET Settlement Days preceding that Reset Date and, for this purpose, the mid-market annual swap rate means the mean of the bid and offered rates for the annual fixed leg of a fixed-for-floating EUR interest rate swap transaction with a term equal to the Designated Maturity commencing on that Reset Date and in a Representative Amount with an acknowledged dealer of good credit in the swap market, where the floating leg is equivalent to: (1) in the case of "EUR-Annual Swap Rate-10:00", "EUR-Annual Swap Rate-11:00", "EUR-Annual Swap Rate-3 Month", "EUR-ISDA-EURIBOR Swap Rate-11:00" or "EUR-ISDA-EURIBOR Swap Rate-12:00", EUR-EURIBOR-Telerate or (2) in the case of "EUR-ISDA-LIBOR Swap Rate-10:00" or "EUR-ISDA-LIBOR Swap Rate-11:00", EUR-LIBOR-BBA, with a Designated Maturity of six months or, in the case of "EUR-Annual Swap Rate-3 Month", three months, on a 30/360 day count basis.  The Calculation Agent will request the principal office of each of the Reference Banks to provide a quotation of its rate.  If at least three quotations are provided, the rate for that Reset Date will be the arithmetic mean of the quotations, eliminating the highest quotation (or, in the event of equality, one of the highest) and the lowest quotation (or, in the event of equality, one of the lowest).</w:t>
      </w:r>
    </w:p>
    <w:p>
      <w:pPr>
        <w:pStyle w:val="Normal"/>
        <w:ind w:start="720" w:end="0"/>
        <w:rPr/>
      </w:pPr>
      <w:r>
        <w:rPr/>
      </w:r>
    </w:p>
    <w:p>
      <w:pPr>
        <w:pStyle w:val="Normal"/>
        <w:keepNext w:val="true"/>
        <w:ind w:start="720" w:end="0"/>
        <w:rPr>
          <w:b/>
          <w:i/>
          <w:i/>
        </w:rPr>
      </w:pPr>
      <w:r>
        <w:rPr>
          <w:b/>
          <w:i/>
        </w:rPr>
        <w:t>(f)</w:t>
        <w:tab/>
        <w:t>Greek Drachma.</w:t>
      </w:r>
    </w:p>
    <w:p>
      <w:pPr>
        <w:pStyle w:val="Normal"/>
        <w:keepNext w:val="true"/>
        <w:ind w:hanging="720" w:start="720" w:end="0"/>
        <w:rPr>
          <w:b/>
          <w:i/>
          <w:i/>
        </w:rPr>
      </w:pPr>
      <w:r>
        <w:rPr>
          <w:b/>
          <w:i/>
        </w:rPr>
      </w:r>
    </w:p>
    <w:p>
      <w:pPr>
        <w:pStyle w:val="Normal"/>
        <w:ind w:firstLine="720" w:start="720" w:end="0"/>
        <w:rPr/>
      </w:pPr>
      <w:r>
        <w:rPr/>
        <w:t>(i)</w:t>
        <w:tab/>
        <w:t xml:space="preserve">"GRD-ATHIBOR-ATHIBOR" means that the rate for a Reset Date will be the rate for deposits in Greek Drachmae for a period of Designated Maturity which appears on the Reuters Screen ATHIBOR Page </w:t>
      </w:r>
      <w:r>
        <w:rPr>
          <w:b/>
        </w:rPr>
        <w:t>[</w:t>
      </w:r>
      <w:r>
        <w:rPr/>
        <w:t>(being the rate across from the caption "Recalculated Rates", if such rate appears)</w:t>
      </w:r>
      <w:r>
        <w:rPr>
          <w:b/>
        </w:rPr>
        <w:t>]</w:t>
      </w:r>
      <w:r>
        <w:rPr/>
        <w:t xml:space="preserve"> as of 12:00 noon, Athens time, on the day that is two Athens Banking Days preceding that Reset Date.  If neither rate appears on the Reuters Screen ATHIBOR Page, the rate for that Reset Date will be determined as if the parties had specified "GRD-ATHIBOR-Reference Banks" as the applicable Floating Rate Option.</w:t>
      </w:r>
    </w:p>
    <w:p>
      <w:pPr>
        <w:pStyle w:val="Normal"/>
        <w:ind w:hanging="720" w:start="720" w:end="0"/>
        <w:rPr/>
      </w:pPr>
      <w:r>
        <w:rPr/>
      </w:r>
    </w:p>
    <w:p>
      <w:pPr>
        <w:pStyle w:val="Normal"/>
        <w:ind w:firstLine="720" w:start="720" w:end="0"/>
        <w:rPr/>
      </w:pPr>
      <w:r>
        <w:rPr/>
        <w:t>(ii)</w:t>
        <w:tab/>
        <w:t>"GRD-ATHIBOR-Telerate" means that the rate for a Reset Date will be determined on the basis of the rates for deposits in Greek Drachmae for a period of the Designated Maturity which appear on the Telerate Page 41920 as of 12:00 noon, Athens time, on the day that is two Athens Banking Days preceding that Reset Date and will be the arithmetic mean of such rates after eliminating the highest and lowest rates if more than three rates appear.  If three rates appear on the Telerate Page 41920, the rate for that Reset Date will be the arithmetic mean of such rates.  If fewer than three rates appear on the Telerate Page 41920, the rate for that Reset Date will be determined as if the parties had specified "GRD-ATHIBOR-Reference Banks" as the applicable Floating Rate Option.</w:t>
      </w:r>
    </w:p>
    <w:p>
      <w:pPr>
        <w:pStyle w:val="Normal"/>
        <w:ind w:hanging="720" w:start="720" w:end="0"/>
        <w:rPr/>
      </w:pPr>
      <w:r>
        <w:rPr/>
      </w:r>
    </w:p>
    <w:p>
      <w:pPr>
        <w:pStyle w:val="Normal"/>
        <w:ind w:firstLine="720" w:start="720" w:end="0"/>
        <w:rPr/>
      </w:pPr>
      <w:r>
        <w:rPr/>
        <w:t>(iii)</w:t>
        <w:tab/>
        <w:t xml:space="preserve">"GRD-ATHIBOR-Reference Banks" means that the rate for a Reset Date will be determined on the basis of the rates at which deposits in Greek Drachmae are offered by the Reference Banks at approximately 12:00 noon, Athens time, on the day that is two Athens Banking Days preceding that Reset Date to prime banks in the Athens interbank market for a period of the Designated Maturity commencing on that Reset Date and in a Representative Amount.  The Calculation Agent will request the principal Athens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Athens, selected by the Calculation Agent, at approximately 12:00 noon, Athens time, on that Reset Date for loans in Greek Drachmae to leading European banks for a period of the Designated Maturity commencing on that Reset Date and in a Representative Amount. </w:t>
      </w:r>
    </w:p>
    <w:p>
      <w:pPr>
        <w:pStyle w:val="Normal"/>
        <w:tabs>
          <w:tab w:val="left" w:pos="720" w:leader="none"/>
        </w:tabs>
        <w:rPr/>
      </w:pPr>
      <w:r>
        <w:rPr/>
      </w:r>
    </w:p>
    <w:p>
      <w:pPr>
        <w:pStyle w:val="Normal"/>
        <w:ind w:firstLine="720" w:start="720" w:end="0"/>
        <w:rPr/>
      </w:pPr>
      <w:r>
        <w:rPr/>
        <w:t>(iv)</w:t>
        <w:tab/>
        <w:t xml:space="preserve">"GRD-ATHIMID" means that the rate for a Reset Date will be the arithmetic mean of the rates for deposits in Greek Drachmae for a period of the Designated Maturity which appear on the Reuters Screen "ATHIBOR" Page  and the Reuters Screen "ATHIBOS" Page, respectively </w:t>
      </w:r>
      <w:r>
        <w:rPr>
          <w:b/>
        </w:rPr>
        <w:t>[</w:t>
      </w:r>
      <w:r>
        <w:rPr/>
        <w:t>(in each case, being the rate across from the caption "Recalculated Rates", if such rate appears)</w:t>
      </w:r>
      <w:r>
        <w:rPr>
          <w:b/>
        </w:rPr>
        <w:t>]</w:t>
      </w:r>
      <w:r>
        <w:rPr/>
        <w:t>, as of 12:00 noon, Athens time, on the day that is two Athens Banking Days preceding that Reset Date.  If such rates, or any one of them, do not appear on those pages, the rate for that Reset Date will be determined as if the parties had specified "GRD-ATHIMID-Reference Banks" as the applicable Floating Rate Option.</w:t>
      </w:r>
    </w:p>
    <w:p>
      <w:pPr>
        <w:pStyle w:val="Normal"/>
        <w:ind w:hanging="720" w:start="720" w:end="0"/>
        <w:rPr/>
      </w:pPr>
      <w:r>
        <w:rPr/>
      </w:r>
    </w:p>
    <w:p>
      <w:pPr>
        <w:pStyle w:val="Normal"/>
        <w:ind w:firstLine="720" w:start="720" w:end="0"/>
        <w:rPr/>
      </w:pPr>
      <w:r>
        <w:rPr/>
        <w:t>(v)</w:t>
        <w:tab/>
        <w:t>"GRD-ATHIMID-Reference Banks" means that the rate for a Reset Date will be determined on the basis of the arithmetic mean of the bid and offer rates at which deposits in Greek Drachmae are offered by the Reference Banks at approximately 12:00 noon, Athens time, on the day that is two Athens Banking Days preceding that Reset Date to prime banks in the Athens interbank market for a period of the Designated Maturity commencing on that Reset Date and in a Representative Amount.  The Calculation Agent will request the principal Athens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Athens, selected by the Calculation Agent, at approximately 12:00 noon, Athens time, on that Reset Date for loans in Greek Drachmae to leading European banks for a period of the Designated Maturity commencing on that Reset Date and in a Representative Amount.</w:t>
      </w:r>
    </w:p>
    <w:p>
      <w:pPr>
        <w:pStyle w:val="Normal"/>
        <w:ind w:hanging="720" w:start="720" w:end="0"/>
        <w:rPr>
          <w:b/>
        </w:rPr>
      </w:pPr>
      <w:r>
        <w:rPr>
          <w:b/>
        </w:rPr>
      </w:r>
    </w:p>
    <w:p>
      <w:pPr>
        <w:pStyle w:val="Normal"/>
        <w:keepNext w:val="true"/>
        <w:ind w:start="720" w:end="0"/>
        <w:rPr>
          <w:b/>
          <w:i/>
          <w:i/>
        </w:rPr>
      </w:pPr>
      <w:r>
        <w:rPr>
          <w:b/>
          <w:i/>
        </w:rPr>
        <w:t>(g)</w:t>
        <w:tab/>
        <w:t>Hong Kong Dollar.</w:t>
      </w:r>
    </w:p>
    <w:p>
      <w:pPr>
        <w:pStyle w:val="Normal"/>
        <w:keepNext w:val="true"/>
        <w:ind w:hanging="720" w:start="720" w:end="0"/>
        <w:rPr>
          <w:b/>
          <w:i/>
          <w:i/>
        </w:rPr>
      </w:pPr>
      <w:r>
        <w:rPr>
          <w:b/>
          <w:i/>
        </w:rPr>
      </w:r>
    </w:p>
    <w:p>
      <w:pPr>
        <w:pStyle w:val="Normal"/>
        <w:ind w:firstLine="720" w:start="720" w:end="0"/>
        <w:rPr/>
      </w:pPr>
      <w:r>
        <w:rPr/>
        <w:t>(i)</w:t>
        <w:tab/>
        <w:t>"HKD-HIBOR-ISDC" means that the rate for a Reset Date will be the rate for deposits in Hong Kong Dollars for a period of the Designated Maturity which appears on the Reuters Screen ISDC Page as of 11:00 a.m., Hong Kong time, on that Reset Date.  If such rate does not appear on the Reuters Screen ISDC page, the rate for that Reset Date will be determined as if the parties had specified "HKD-HIBOR-Reference Banks" as the applicable Floating Rate Option.</w:t>
      </w:r>
    </w:p>
    <w:p>
      <w:pPr>
        <w:pStyle w:val="Normal"/>
        <w:rPr/>
      </w:pPr>
      <w:r>
        <w:rPr/>
      </w:r>
    </w:p>
    <w:p>
      <w:pPr>
        <w:pStyle w:val="Normal"/>
        <w:ind w:firstLine="720" w:start="720" w:end="0"/>
        <w:rPr/>
      </w:pPr>
      <w:r>
        <w:rPr/>
        <w:t>(ii)</w:t>
        <w:tab/>
        <w:t>"HKD-HIBOR-HKAB" means that the rate for a Reset Date will be the rate for deposits in Hong Kong Dollars for a period of the Designated Maturity which appears on the Telerate Page 9898 as of 11:00 a.m., Hong Kong time, on that Reset Date.  If such rate does not appear on the Telerate Page 9898, the rate for that Reset Date will be determined as if the parties had specified "HKD-HIBOR-Reference Banks" as the applicable Floating Rate Option.</w:t>
      </w:r>
    </w:p>
    <w:p>
      <w:pPr>
        <w:pStyle w:val="Normal"/>
        <w:rPr/>
      </w:pPr>
      <w:r>
        <w:rPr/>
      </w:r>
    </w:p>
    <w:p>
      <w:pPr>
        <w:pStyle w:val="Normal"/>
        <w:ind w:firstLine="720" w:start="720" w:end="0"/>
        <w:rPr/>
      </w:pPr>
      <w:r>
        <w:rPr/>
        <w:t>(iii)</w:t>
        <w:tab/>
        <w:t>"HKD-HIBOR-HIBOR=" means that the rate for a Reset Date will be the rate for deposits in Hong Kong Dollars for a period of the Designated Maturity which appears on the Reuters Screen HIBOR= Page under the heading "HCAB" as of 11:00 a.m., Hong Kong time, on that Reset Date.  If such rate does not appear on the Reuters Screen HIBOR= Page, the rate for that Reset Date will be determined as if the parties had specified "HKD-HIBOR-HKAB" as the applicable Floating Rate Option.</w:t>
      </w:r>
    </w:p>
    <w:p>
      <w:pPr>
        <w:pStyle w:val="Normal"/>
        <w:rPr/>
      </w:pPr>
      <w:r>
        <w:rPr/>
      </w:r>
    </w:p>
    <w:p>
      <w:pPr>
        <w:pStyle w:val="Normal"/>
        <w:ind w:firstLine="720" w:start="720" w:end="0"/>
        <w:rPr/>
      </w:pPr>
      <w:r>
        <w:rPr/>
        <w:t>(iv)</w:t>
        <w:tab/>
        <w:t>"HKD-HIBOR-Reference Banks" means that the rate for a Reset Date will be determined on the basis of the rates at which deposits in Hong Kong Dollars are offered by the Reference Banks at approximately 11:00 a.m., Hong Kong time, on the Reset Date to prime banks in the Hong Kong interbank market for a period of the Designated Maturity commencing on that Reset Date and in a Representative Amount.  The Calculation Agent will request the principal Hong Kong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Hong Kong, selected by the Calculation Agent, at approximately 11:00 a.m., Hong Kong time, on that Reset Date for loans in Hong Kong Dollars to leading European banks for a period of the Designated Maturity commencing on that Reset Date and in a Representative Amount.</w:t>
      </w:r>
    </w:p>
    <w:p>
      <w:pPr>
        <w:pStyle w:val="Normal"/>
        <w:rPr/>
      </w:pPr>
      <w:r>
        <w:rPr/>
      </w:r>
    </w:p>
    <w:p>
      <w:pPr>
        <w:pStyle w:val="Normal"/>
        <w:keepNext w:val="true"/>
        <w:ind w:firstLine="720" w:end="0"/>
        <w:rPr/>
      </w:pPr>
      <w:r>
        <w:rPr>
          <w:b/>
          <w:i/>
        </w:rPr>
        <w:t>(h)</w:t>
      </w:r>
      <w:r>
        <w:rPr/>
        <w:tab/>
      </w:r>
      <w:r>
        <w:rPr>
          <w:b/>
          <w:i/>
        </w:rPr>
        <w:t>Hungarian Forint.</w:t>
      </w:r>
    </w:p>
    <w:p>
      <w:pPr>
        <w:pStyle w:val="Normal"/>
        <w:keepNext w:val="true"/>
        <w:ind w:firstLine="720" w:end="0"/>
        <w:rPr>
          <w:b/>
          <w:i/>
          <w:i/>
        </w:rPr>
      </w:pPr>
      <w:r>
        <w:rPr>
          <w:b/>
          <w:i/>
        </w:rPr>
      </w:r>
    </w:p>
    <w:p>
      <w:pPr>
        <w:pStyle w:val="Normal"/>
        <w:ind w:firstLine="720" w:start="720" w:end="0"/>
        <w:rPr/>
      </w:pPr>
      <w:r>
        <w:rPr/>
        <w:t>(i)</w:t>
        <w:tab/>
        <w:t>"HUF-BUBOR-Reuters" means that the rate for a Reset Date will be the rate for deposits in Hungarian Forint for a period of the Designated Maturity which appears on the Reuters Screen BUBOR Page as of 12:30 p.m., Budapest time, on the day that is two Budapest Banking Days preceding that Reset Date and for which the "Date of Fixing" is designated as the day that is two Budapest Banking Days preceding that Reset Date.  If such rate does not appear on the Reuters Screen by 12:30 p.m., Budapest time, or is at that time designated as the rate for a previous "Date of Fixing", the rate for that Reset Date will be determined on the basis of the BUBOR rate as published by the National Bank of Hungary pursuant to the BUBOR Regulation on the day that is two Budapest Banking Days preceding that Reset Date for a period of the Designated Maturity commencing on that Reset Date.  If such published rate is not available, the rate for that Reset Date will be determined as if the parties had specified "HUF-BUBOR-Reference Banks" as the applicable Floating Rate Option.</w:t>
      </w:r>
    </w:p>
    <w:p>
      <w:pPr>
        <w:pStyle w:val="Normal"/>
        <w:rPr/>
      </w:pPr>
      <w:r>
        <w:rPr/>
      </w:r>
    </w:p>
    <w:p>
      <w:pPr>
        <w:pStyle w:val="Normal"/>
        <w:ind w:firstLine="720" w:start="720" w:end="0"/>
        <w:rPr/>
      </w:pPr>
      <w:r>
        <w:rPr/>
        <w:t>(ii)</w:t>
        <w:tab/>
        <w:t>"HUF-BUBOR-Reference Banks" means that the rate for a Reset Date will be determined on the basis of the rates at which deposits in Hungarian Forint are offered by Reference Banks in the Budapest interbank market for a period of the Designated Maturity commencing on that Reset Date and in a Representative Amount at approximately 12:30 p.m., Budapest time, on the day that is two Budapest Banking Days preceding that Reset Date.  The Calculation Agent will request the principal Budapest office of each of the Reference Banks to provide a quotation of its rate.  If quotations are obtained from each of the eight Reference Banks, the rate for that Reset Date will be the arithmetic mean of the four rates remaining after the two highest and the two lowest are excluded.  If at least four, but fewer than eight, quotations are obtained (after the substitution of Passive Interest Rate Listing Banks for Active Interest Rate Listing Banks as contemplated by Section 7.5(c)(ix)), the rate for that Reset Date will be the arithmetic mean of the rates remaining after the single highest and the single lowest rates are excluded.  If fewer than four quotations are provided as requested, the rate for that Reset Date will be the rate for deposits in Hungarian Forint for a period of the Designated Maturity which was most recently published by the National Bank of Hungary pursuant to the BUBOR Regulation.</w:t>
      </w:r>
    </w:p>
    <w:p>
      <w:pPr>
        <w:pStyle w:val="Normal"/>
        <w:rPr>
          <w:b/>
          <w:i/>
          <w:i/>
        </w:rPr>
      </w:pPr>
      <w:r>
        <w:rPr>
          <w:b/>
          <w:i/>
        </w:rPr>
      </w:r>
    </w:p>
    <w:p>
      <w:pPr>
        <w:pStyle w:val="Normal"/>
        <w:ind w:firstLine="720" w:start="720" w:end="0"/>
        <w:rPr/>
      </w:pPr>
      <w:r>
        <w:rPr>
          <w:b/>
        </w:rPr>
        <w:t>[</w:t>
      </w:r>
      <w:r>
        <w:rPr/>
        <w:t>(iii)</w:t>
        <w:tab/>
        <w:t xml:space="preserve">"HUF-BUIBOR-Bloomberg" means that the rate for a Reset Date will be the rate for deposits in Hungarian Forint for a period of the Designated Maturity which appears under the heading "BUBOR Fixings" on the Bloomberg Screen MMR Hungary Page 1 under the heading "LAST" as of 11:00 a.m., Budapest time, on the day that is two Budapest Banking Days preceding that Reset Date. If such rate does not appear on the Bloomberg Screen MMR Hungary Page 1, the rate for that Reset Date will be determined as if the parties had specified "HUF-BUIBOR-Reference Banks" as the applicable Floating Rate Option. </w:t>
      </w:r>
    </w:p>
    <w:p>
      <w:pPr>
        <w:pStyle w:val="Normal"/>
        <w:rPr/>
      </w:pPr>
      <w:r>
        <w:rPr/>
      </w:r>
    </w:p>
    <w:p>
      <w:pPr>
        <w:pStyle w:val="Normal"/>
        <w:ind w:firstLine="720" w:start="720" w:end="0"/>
        <w:rPr/>
      </w:pPr>
      <w:r>
        <w:rPr/>
        <w:t>(iv)</w:t>
        <w:tab/>
        <w:t>"HUF-BUIBOR-Reference Banks" means that the rate for a Reset Date will be determined on the basis of the rates at which deposits in Hungarian Forint are offered by the Reference Banks at approximately 11:00 a.m., Budapest time, on the day that is two Budapest Banking Days preceding that Reset Date to prime banks in the Budapest interbank market for a period of the Designated Maturity commencing on that Reset Date and in a Representative Amount.  The Calculation Agent will request the principal Budapest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Budapest, selected by the Calculation Agent, at approximately 11:00 a.m., Budapest time, on the day that is two Budapest Banking Days preceding that Reset Date for loans in Hungarian Forint to leading European banks for a period of the Designated Maturity commencing on that Reset Date and in a Representative Amount.</w:t>
      </w:r>
      <w:r>
        <w:rPr>
          <w:b/>
        </w:rPr>
        <w:t>]</w:t>
      </w:r>
    </w:p>
    <w:p>
      <w:pPr>
        <w:pStyle w:val="Normal"/>
        <w:rPr/>
      </w:pPr>
      <w:r>
        <w:rPr/>
      </w:r>
    </w:p>
    <w:p>
      <w:pPr>
        <w:pStyle w:val="Normal"/>
        <w:keepNext w:val="true"/>
        <w:ind w:firstLine="720" w:end="0"/>
        <w:rPr/>
      </w:pPr>
      <w:r>
        <w:rPr>
          <w:b/>
          <w:i/>
        </w:rPr>
        <w:t>(i)</w:t>
      </w:r>
      <w:r>
        <w:rPr/>
        <w:tab/>
      </w:r>
      <w:r>
        <w:rPr>
          <w:b/>
          <w:i/>
        </w:rPr>
        <w:t>Indonesian Rupiah.</w:t>
      </w:r>
    </w:p>
    <w:p>
      <w:pPr>
        <w:pStyle w:val="Normal"/>
        <w:keepNext w:val="true"/>
        <w:rPr>
          <w:b/>
          <w:i/>
          <w:i/>
        </w:rPr>
      </w:pPr>
      <w:r>
        <w:rPr>
          <w:b/>
          <w:i/>
        </w:rPr>
      </w:r>
    </w:p>
    <w:p>
      <w:pPr>
        <w:pStyle w:val="Normal"/>
        <w:ind w:firstLine="720" w:start="720" w:end="0"/>
        <w:rPr/>
      </w:pPr>
      <w:r>
        <w:rPr/>
        <w:t>(i)</w:t>
        <w:tab/>
        <w:t>"IDR-SOR-Telerate" means that the rate for a Reset Date will be the synthetic rate for deposits in Indonesian Rupiah derived from the swap offered points for a period of the Designated Maturity which appears on the Telerate Page 44178 as of 11:00 a.m., Singapore time, on the day that is two Singapore Banking Days preceding that Reset Date.  If such rate does not appear on the Telerate Page 44178, the rate for a Reset Date will be determined as if the parties had specified "IDR-SOR-Reference Banks" as the applicable Floating Rate Option.</w:t>
      </w:r>
    </w:p>
    <w:p>
      <w:pPr>
        <w:pStyle w:val="Normal"/>
        <w:ind w:start="720" w:end="0"/>
        <w:rPr/>
      </w:pPr>
      <w:r>
        <w:rPr/>
      </w:r>
    </w:p>
    <w:p>
      <w:pPr>
        <w:pStyle w:val="Normal"/>
        <w:ind w:firstLine="720" w:start="720" w:end="0"/>
        <w:rPr/>
      </w:pPr>
      <w:r>
        <w:rPr>
          <w:color w:val="000000"/>
        </w:rPr>
        <w:t>(ii)</w:t>
        <w:tab/>
        <w:t xml:space="preserve">"IDR-SOR-Reference Banks" means that the rate for a Reset Date will be determined by the Calculation Agent </w:t>
      </w:r>
      <w:r>
        <w:rPr/>
        <w:t>acting in good faith in accordance with the following formula:</w:t>
      </w:r>
    </w:p>
    <w:p>
      <w:pPr>
        <w:pStyle w:val="Normal"/>
        <w:ind w:firstLine="720" w:start="720" w:end="0"/>
        <w:rPr>
          <w:color w:val="000000"/>
        </w:rPr>
      </w:pPr>
      <w:r>
        <w:rPr>
          <w:color w:val="000000"/>
        </w:rPr>
      </w:r>
    </w:p>
    <w:p>
      <w:pPr>
        <w:pStyle w:val="Normal"/>
        <w:ind w:firstLine="720" w:end="0"/>
        <w:jc w:val="center"/>
        <w:rPr/>
      </w:pPr>
      <w:r>
        <w:rPr/>
      </w:r>
      <m:oMath xmlns:m="http://schemas.openxmlformats.org/officeDocument/2006/math"/>
      <w:r>
        <w:rPr/>
      </w:r>
      <m:oMath xmlns:m="http://schemas.openxmlformats.org/officeDocument/2006/math">
        <m:d>
          <m:dPr>
            <m:begChr m:val="{"/>
            <m:endChr m:val="}"/>
          </m:dPr>
          <m:e>
            <m:d>
              <m:dPr>
                <m:begChr m:val="["/>
                <m:endChr m:val="]"/>
              </m:dPr>
              <m:e>
                <m:d>
                  <m:dPr>
                    <m:begChr m:val="("/>
                    <m:endChr m:val=")"/>
                  </m:dPr>
                  <m:e>
                    <m:f>
                      <m:num>
                        <m:r>
                          <m:rPr>
                            <m:lit/>
                            <m:nor/>
                          </m:rPr>
                          <m:t xml:space="preserve">Spot</m:t>
                        </m:r>
                        <m:r>
                          <m:t xml:space="preserve"> </m:t>
                        </m:r>
                        <m:r>
                          <m:rPr>
                            <m:lit/>
                            <m:nor/>
                          </m:rPr>
                          <m:t xml:space="preserve">Rate</m:t>
                        </m:r>
                        <m:r>
                          <m:t xml:space="preserve"> </m:t>
                        </m:r>
                        <m:r>
                          <m:t xml:space="preserve">+</m:t>
                        </m:r>
                        <m:r>
                          <m:t xml:space="preserve"> </m:t>
                        </m:r>
                        <m:r>
                          <m:rPr>
                            <m:lit/>
                            <m:nor/>
                          </m:rPr>
                          <m:t xml:space="preserve">Forward</m:t>
                        </m:r>
                        <m:r>
                          <m:t xml:space="preserve"> </m:t>
                        </m:r>
                        <m:r>
                          <m:rPr>
                            <m:lit/>
                            <m:nor/>
                          </m:rPr>
                          <m:t xml:space="preserve">Points</m:t>
                        </m:r>
                      </m:num>
                      <m:den>
                        <m:r>
                          <m:rPr>
                            <m:lit/>
                            <m:nor/>
                          </m:rPr>
                          <m:t xml:space="preserve">Spot</m:t>
                        </m:r>
                        <m:r>
                          <m:t xml:space="preserve"> </m:t>
                        </m:r>
                        <m:r>
                          <m:rPr>
                            <m:lit/>
                            <m:nor/>
                          </m:rPr>
                          <m:t xml:space="preserve">Rate</m:t>
                        </m:r>
                      </m:den>
                    </m:f>
                  </m:e>
                </m:d>
                <m:r>
                  <m:t xml:space="preserve"> </m:t>
                </m:r>
                <m:r>
                  <m:t xml:space="preserve">×</m:t>
                </m:r>
                <m:r>
                  <m:t xml:space="preserve"> </m:t>
                </m:r>
                <m:d>
                  <m:dPr>
                    <m:begChr m:val="("/>
                    <m:endChr m:val=")"/>
                  </m:dPr>
                  <m:e>
                    <m:r>
                      <m:t xml:space="preserve">1</m:t>
                    </m:r>
                    <m:r>
                      <m:t xml:space="preserve">+</m:t>
                    </m:r>
                    <m:f>
                      <m:num>
                        <m:r>
                          <m:rPr>
                            <m:lit/>
                            <m:nor/>
                          </m:rPr>
                          <m:t xml:space="preserve">USD</m:t>
                        </m:r>
                        <m:r>
                          <m:t xml:space="preserve"> </m:t>
                        </m:r>
                        <m:r>
                          <m:rPr>
                            <m:lit/>
                            <m:nor/>
                          </m:rPr>
                          <m:t xml:space="preserve">Rate</m:t>
                        </m:r>
                        <m:r>
                          <m:t xml:space="preserve"> </m:t>
                        </m:r>
                        <m:r>
                          <m:t xml:space="preserve">×</m:t>
                        </m:r>
                        <m:r>
                          <m:t xml:space="preserve"> </m:t>
                        </m:r>
                        <m:r>
                          <m:t xml:space="preserve"> </m:t>
                        </m:r>
                        <m:r>
                          <m:rPr>
                            <m:lit/>
                            <m:nor/>
                          </m:rPr>
                          <m:t xml:space="preserve">days</m:t>
                        </m:r>
                      </m:num>
                      <m:den>
                        <m:r>
                          <m:rPr>
                            <m:lit/>
                            <m:nor/>
                          </m:rPr>
                          <m:t xml:space="preserve">360</m:t>
                        </m:r>
                      </m:den>
                    </m:f>
                  </m:e>
                  <m:e/>
                </m:d>
              </m:e>
            </m:d>
            <m:r>
              <m:t xml:space="preserve"> </m:t>
            </m:r>
            <m:r>
              <m:t xml:space="preserve">−</m:t>
            </m:r>
            <m:r>
              <m:t xml:space="preserve">1</m:t>
            </m:r>
          </m:e>
        </m:d>
        <m:r>
          <m:t xml:space="preserve"> </m:t>
        </m:r>
        <m:r>
          <m:t xml:space="preserve">×</m:t>
        </m:r>
        <m:r>
          <m:t xml:space="preserve"> </m:t>
        </m:r>
        <m:f>
          <m:num>
            <m:r>
              <m:rPr>
                <m:lit/>
                <m:nor/>
              </m:rPr>
              <m:t xml:space="preserve">360</m:t>
            </m:r>
          </m:num>
          <m:den>
            <m:r>
              <m:t xml:space="preserve"> </m:t>
            </m:r>
            <m:r>
              <m:rPr>
                <m:lit/>
                <m:nor/>
              </m:rPr>
              <m:t xml:space="preserve">days</m:t>
            </m:r>
          </m:den>
        </m:f>
        <m:r>
          <m:t xml:space="preserve"> </m:t>
        </m:r>
        <m:r>
          <m:t xml:space="preserve">×</m:t>
        </m:r>
        <m:r>
          <m:t xml:space="preserve"> </m:t>
        </m:r>
        <m:r>
          <m:rPr>
            <m:lit/>
            <m:nor/>
          </m:rPr>
          <m:t xml:space="preserve">100</m:t>
        </m:r>
      </m:oMath>
    </w:p>
    <w:p>
      <w:pPr>
        <w:pStyle w:val="Normal"/>
        <w:ind w:start="720" w:end="0"/>
        <w:rPr>
          <w:position w:val="-30"/>
        </w:rPr>
      </w:pPr>
      <w:r>
        <w:rPr>
          <w:position w:val="-30"/>
        </w:rPr>
      </w:r>
    </w:p>
    <w:p>
      <w:pPr>
        <w:pStyle w:val="Normal"/>
        <w:ind w:start="1440" w:end="0"/>
        <w:rPr>
          <w:position w:val="-30"/>
        </w:rPr>
      </w:pPr>
      <w:r>
        <w:rPr>
          <w:position w:val="-30"/>
        </w:rPr>
        <w:t>where:</w:t>
      </w:r>
    </w:p>
    <w:p>
      <w:pPr>
        <w:pStyle w:val="Normal"/>
        <w:ind w:start="720" w:end="0"/>
        <w:rPr>
          <w:position w:val="-30"/>
        </w:rPr>
      </w:pPr>
      <w:r>
        <w:rPr>
          <w:position w:val="-30"/>
        </w:rPr>
      </w:r>
    </w:p>
    <w:p>
      <w:pPr>
        <w:pStyle w:val="BodyTextIndent3"/>
        <w:ind w:firstLine="720" w:start="1440" w:end="0"/>
        <w:jc w:val="both"/>
        <w:rPr>
          <w:rFonts w:ascii="Times New Roman" w:hAnsi="Times New Roman" w:cs="Times New Roman"/>
          <w:sz w:val="22"/>
        </w:rPr>
      </w:pPr>
      <w:r>
        <w:rPr>
          <w:rFonts w:cs="Times New Roman" w:ascii="Times New Roman" w:hAnsi="Times New Roman"/>
          <w:sz w:val="22"/>
        </w:rPr>
        <w:t>"Spot Rate" means the average of the bid and offer exchange rates for the sale of IDR against USD for settlement on a spot basis as determined by the Calculation Agent on the basis of bid and offer quotations obtained by the Calculation Agent from Reference Banks, as of 11:00 a.m., Singapore time, on the day that is two Singapore Banking Days preceding the relevant Reset Date or as close to such time as is reasonably practicable.  If at least three quotations are provided, the Spot Rate for that Reset Date will be the arithmetic mean of the quotations, without regard to the quotations with the highest and lowest values.  For this purpose if more than one quotation has the same highest or lowest value, then one such quotation shall be disregarded.  If exactly two quotations are provided, the Spot Rate for that Reset Date will be the arithmetic mean of the quotations.</w:t>
      </w:r>
    </w:p>
    <w:p>
      <w:pPr>
        <w:pStyle w:val="Normal"/>
        <w:ind w:start="720" w:end="0"/>
        <w:rPr>
          <w:rFonts w:ascii="Times New Roman" w:hAnsi="Times New Roman" w:cs="Times New Roman"/>
          <w:position w:val="-28"/>
          <w:sz w:val="22"/>
        </w:rPr>
      </w:pPr>
      <w:r>
        <w:rPr>
          <w:rFonts w:cs="Times New Roman"/>
          <w:position w:val="-28"/>
          <w:sz w:val="22"/>
        </w:rPr>
      </w:r>
    </w:p>
    <w:p>
      <w:pPr>
        <w:pStyle w:val="BodyTextIndent2"/>
        <w:ind w:firstLine="720" w:start="1440" w:end="0"/>
        <w:jc w:val="both"/>
        <w:rPr>
          <w:rFonts w:ascii="Times New Roman" w:hAnsi="Times New Roman" w:cs="Times New Roman"/>
        </w:rPr>
      </w:pPr>
      <w:r>
        <w:rPr>
          <w:rFonts w:cs="Times New Roman" w:ascii="Times New Roman" w:hAnsi="Times New Roman"/>
        </w:rPr>
        <w:t>"Forward Points" means the offered side of the FX forward points for the forward sale of IDR against USD for settlement on the last day of a period equivalent to the Designated Maturity and commencing on the relevant Reset Date as determined by the Calculation Agent on the basis of the offered side of indicative quotations obtained by the Calculation Agent from the Reference Banks, as of 11:00 a.m., Singapore time, on the day that is two Singapore Banking Days preceding the relevant Reset Date or as close to such time as is reasonably practicable.  If at least three quotations are provided, the Forward Points for that Reset Date will be the arithmetic mean of the quotations, without regard to the quotations with the highest and lowest values.  For this purpose if more than one quotation has the same highest or lowest value, then one such quotation shall be disregarded. If exactly two quotations are provided, the Forward Points for that Reset Date shall be the arithmetic mean of the quotations.</w:t>
      </w:r>
    </w:p>
    <w:p>
      <w:pPr>
        <w:pStyle w:val="BodyTextIndent2"/>
        <w:ind w:hanging="0" w:start="720" w:end="0"/>
        <w:rPr>
          <w:rFonts w:ascii="Times New Roman" w:hAnsi="Times New Roman" w:cs="Times New Roman"/>
        </w:rPr>
      </w:pPr>
      <w:r>
        <w:rPr>
          <w:rFonts w:cs="Times New Roman" w:ascii="Times New Roman" w:hAnsi="Times New Roman"/>
        </w:rPr>
      </w:r>
    </w:p>
    <w:p>
      <w:pPr>
        <w:pStyle w:val="BodyTextIndent2"/>
        <w:ind w:firstLine="720" w:start="1440" w:end="0"/>
        <w:jc w:val="both"/>
        <w:rPr>
          <w:rFonts w:ascii="Times New Roman" w:hAnsi="Times New Roman" w:cs="Times New Roman"/>
        </w:rPr>
      </w:pPr>
      <w:r>
        <w:rPr>
          <w:rFonts w:cs="Times New Roman" w:ascii="Times New Roman" w:hAnsi="Times New Roman"/>
        </w:rPr>
        <w:t>"# days" means the actual number of days in the Calculation Period in respect of which the calculation is being made.</w:t>
      </w:r>
    </w:p>
    <w:p>
      <w:pPr>
        <w:pStyle w:val="BodyTextIndent2"/>
        <w:ind w:hanging="0" w:start="720" w:end="0"/>
        <w:jc w:val="both"/>
        <w:rPr>
          <w:rFonts w:ascii="Times New Roman" w:hAnsi="Times New Roman" w:cs="Times New Roman"/>
        </w:rPr>
      </w:pPr>
      <w:r>
        <w:rPr>
          <w:rFonts w:cs="Times New Roman" w:ascii="Times New Roman" w:hAnsi="Times New Roman"/>
        </w:rPr>
      </w:r>
    </w:p>
    <w:p>
      <w:pPr>
        <w:pStyle w:val="BodyTextIndent2"/>
        <w:ind w:firstLine="720" w:start="1440" w:end="0"/>
        <w:jc w:val="both"/>
        <w:rPr>
          <w:rFonts w:ascii="Times New Roman" w:hAnsi="Times New Roman" w:cs="Times New Roman"/>
        </w:rPr>
      </w:pPr>
      <w:r>
        <w:rPr>
          <w:rFonts w:cs="Times New Roman" w:ascii="Times New Roman" w:hAnsi="Times New Roman"/>
        </w:rPr>
        <w:t>"USD Rate" means the rate for deposits in U.S. Dollars for a period of the Designated Maturity which appears under the heading ["USD SIBOR"] on the Telerate Page 7311 as of 11:00 a.m., Singapore time, on the day that is two Singapore Banking Days preceding the relevant Reset Date.  If such rate does not appear on the Telerate Page 7311, the USD Rate for that Reset Date will be determined as if the parties had specified ["USD-SIBOR-Reference Banks" (but omitting the final sentence of that Floating Rate Option)] as the USD Rate.</w:t>
      </w:r>
    </w:p>
    <w:p>
      <w:pPr>
        <w:pStyle w:val="Normal"/>
        <w:ind w:firstLine="720" w:start="720" w:end="0"/>
        <w:rPr>
          <w:rFonts w:ascii="Times New Roman" w:hAnsi="Times New Roman" w:cs="Times New Roman"/>
        </w:rPr>
      </w:pPr>
      <w:r>
        <w:rPr>
          <w:rFonts w:cs="Times New Roman"/>
        </w:rPr>
      </w:r>
    </w:p>
    <w:p>
      <w:pPr>
        <w:pStyle w:val="Normal"/>
        <w:keepNext w:val="true"/>
        <w:ind w:firstLine="720" w:end="0"/>
        <w:rPr>
          <w:b/>
          <w:i/>
          <w:i/>
        </w:rPr>
      </w:pPr>
      <w:r>
        <w:rPr>
          <w:b/>
          <w:i/>
        </w:rPr>
        <w:t>(j)</w:t>
        <w:tab/>
        <w:t>Japanese Yen.</w:t>
      </w:r>
    </w:p>
    <w:p>
      <w:pPr>
        <w:pStyle w:val="Normal"/>
        <w:keepNext w:val="true"/>
        <w:rPr>
          <w:b/>
          <w:i/>
          <w:i/>
        </w:rPr>
      </w:pPr>
      <w:r>
        <w:rPr>
          <w:b/>
          <w:i/>
        </w:rPr>
      </w:r>
    </w:p>
    <w:p>
      <w:pPr>
        <w:pStyle w:val="Normal"/>
        <w:ind w:firstLine="720" w:start="720" w:end="0"/>
        <w:rPr/>
      </w:pPr>
      <w:r>
        <w:rPr/>
        <w:t>(i)</w:t>
        <w:tab/>
        <w:t>"JPY-LIBOR-ISDA" means that the rate for a Reset Date will be the rate for deposits in Yen for a period of the Designated Maturity which appears on the Reuters Screen ISDA Page as of 11:00 a.m., London time, on the day that is two London Banking Days preceding that Reset Date.  If such rate does not appear on the Reuters Screen ISDA Page, the rate for that Reset Date will be determined as if the parties had specified "JPY-LIBOR-Reference Banks" as the applicable Floating Rate Option.</w:t>
      </w:r>
    </w:p>
    <w:p>
      <w:pPr>
        <w:pStyle w:val="Normal"/>
        <w:rPr/>
      </w:pPr>
      <w:r>
        <w:rPr/>
      </w:r>
    </w:p>
    <w:p>
      <w:pPr>
        <w:pStyle w:val="Normal"/>
        <w:ind w:firstLine="720" w:start="720" w:end="0"/>
        <w:rPr/>
      </w:pPr>
      <w:r>
        <w:rPr/>
        <w:t>(ii)</w:t>
        <w:tab/>
        <w:t>"JPY-LIBOR-BBA" means that the rate for a Reset Date will be the rate for deposits in Yen for a period of the Designated Maturity which appears on the Telerate Page 3750 as of 11:00 a.m., London time, on the day that is two London Banking Days preceding that Reset Date.  If such rate does not appear on the Telerate Page 3750, the rate for that Reset Date will be determined as if the parties had specified "JPY-LIBOR-Reference Banks" as the applicable Floating Rate Option.</w:t>
      </w:r>
    </w:p>
    <w:p>
      <w:pPr>
        <w:pStyle w:val="Normal"/>
        <w:rPr/>
      </w:pPr>
      <w:r>
        <w:rPr/>
      </w:r>
    </w:p>
    <w:p>
      <w:pPr>
        <w:pStyle w:val="Normal"/>
        <w:ind w:firstLine="720" w:start="720" w:end="0"/>
        <w:rPr/>
      </w:pPr>
      <w:r>
        <w:rPr/>
        <w:t>(iii)</w:t>
        <w:tab/>
        <w:t>"JPY-LIBOR-Reference Banks" means that the rate for a Reset Date will be determined on the basis of the rates at which deposits in Yen are offered by the Reference Banks at approximately 11:00 a.m., London time, on the day that is two London Banking Days preceding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Tokyo, selected by the Calculation Agent, at approximately 11:00 a.m., Tokyo time, on that Reset Date for loans in Yen to leading European banks for a period of the Designated Maturity commencing on that Reset Date and in a Representative Amount.</w:t>
      </w:r>
    </w:p>
    <w:p>
      <w:pPr>
        <w:pStyle w:val="Normal"/>
        <w:tabs>
          <w:tab w:val="left" w:pos="720" w:leader="none"/>
        </w:tabs>
        <w:rPr/>
      </w:pPr>
      <w:r>
        <w:rPr/>
      </w:r>
    </w:p>
    <w:p>
      <w:pPr>
        <w:pStyle w:val="Normal"/>
        <w:ind w:firstLine="720" w:start="720" w:end="0"/>
        <w:rPr/>
      </w:pPr>
      <w:r>
        <w:rPr/>
        <w:t>(iv)</w:t>
        <w:tab/>
        <w:t>"JPY-TIBOR-TIBM (10 Banks)" means that the rate for a Reset Date will be the rate for deposits in Yen for a period of the Designated Maturity which appears on the Reuters Screen TIBM Page under the caption "Average of 10 Banks" as of 11:00 a.m., Tokyo time, on the day that is two Tokyo Banking Days preceding that Reset Date.  If such rate does not appear on the Reuters Screen TIBM Page, the rate for that Reset Date will be determined as if the parties had specified "JPY-TIBOR-TIBM-Reference Banks" as the applicable Floating Rate Option.</w:t>
      </w:r>
    </w:p>
    <w:p>
      <w:pPr>
        <w:pStyle w:val="Normal"/>
        <w:tabs>
          <w:tab w:val="left" w:pos="720" w:leader="none"/>
        </w:tabs>
        <w:rPr/>
      </w:pPr>
      <w:r>
        <w:rPr/>
      </w:r>
    </w:p>
    <w:p>
      <w:pPr>
        <w:pStyle w:val="Normal"/>
        <w:ind w:firstLine="720" w:start="720" w:end="0"/>
        <w:rPr/>
      </w:pPr>
      <w:r>
        <w:rPr/>
        <w:t>(v)</w:t>
        <w:tab/>
        <w:t>"JPY-TIBOR-TIBM (5 Banks)" means that the rate for a Reset Date will be the rate for deposits in Yen for a period of the Designated Maturity which appears on the Reuters Screen TIBM Page under the caption "Average of 5 Banks" as of 11:00 a.m., Tokyo time, on the day that is two Tokyo Banking Days preceding that Reset Date.  If such rate does not appear on the Reuters Screen TIBM Page, the rate for that Reset Date will be determined as if the parties had specified "JPY-TIBOR-TIBM-Reference Banks" as the applicable Floating Rate Option.</w:t>
      </w:r>
    </w:p>
    <w:p>
      <w:pPr>
        <w:pStyle w:val="Normal"/>
        <w:rPr/>
      </w:pPr>
      <w:r>
        <w:rPr/>
      </w:r>
    </w:p>
    <w:p>
      <w:pPr>
        <w:pStyle w:val="Normal"/>
        <w:ind w:firstLine="720" w:start="720" w:end="0"/>
        <w:rPr/>
      </w:pPr>
      <w:r>
        <w:rPr/>
        <w:t>(vi)</w:t>
        <w:tab/>
        <w:t xml:space="preserve">"JPY-TIBOR-TIBM (All Banks)" means that the rate for a Reset Date will be the rate for deposits in Yen for a period of the Designated Maturity which appears on the Reuters Screen TIBM Page under the caption "Average of All Banks" as of 11:00 a.m., Tokyo time, on the day that is two Tokyo Banking Days preceding that Reset Date.  If such rate does not appear on the Reuters Screen TIBM Page, the rate for the Reset Date will be determined as if the parties has specified "JPY-TIBOR-TIBM-Reference Banks" as the applicable Floating Rate Option. </w:t>
      </w:r>
    </w:p>
    <w:p>
      <w:pPr>
        <w:pStyle w:val="Normal"/>
        <w:tabs>
          <w:tab w:val="left" w:pos="720" w:leader="none"/>
        </w:tabs>
        <w:rPr/>
      </w:pPr>
      <w:r>
        <w:rPr/>
      </w:r>
    </w:p>
    <w:p>
      <w:pPr>
        <w:pStyle w:val="Normal"/>
        <w:ind w:firstLine="720" w:start="720" w:end="0"/>
        <w:rPr/>
      </w:pPr>
      <w:r>
        <w:rPr/>
        <w:t>(vii)</w:t>
        <w:tab/>
        <w:t>"JPY-TIBOR-TIBM-Reference Banks" means that the rate for a Reset Date will be determined on the basis of the rates at which deposits in Yen are offered by the Reference Banks at approximately 11:00 a.m., Tokyo time, on the day that is two Tokyo Banking Days preceding that Reset Date to prime banks in the Tokyo interbank market for a period of the Designated Maturity commencing on that Reset Date and in a Representative Amount.  The Calculation Agent will request the principal Tokyo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Tokyo, selected by the Calculation Agent, at approximately 11:00 a.m., Tokyo time, on that Reset Date for loans in Yen to leading Japanese banks for a period of the Designated Maturity commencing on that Reset Date and in a Representative Amount.</w:t>
      </w:r>
    </w:p>
    <w:p>
      <w:pPr>
        <w:pStyle w:val="Normal"/>
        <w:rPr/>
      </w:pPr>
      <w:r>
        <w:rPr/>
      </w:r>
    </w:p>
    <w:p>
      <w:pPr>
        <w:pStyle w:val="Normal"/>
        <w:ind w:firstLine="720" w:start="720" w:end="0"/>
        <w:rPr/>
      </w:pPr>
      <w:r>
        <w:rPr/>
        <w:t>(viii)</w:t>
        <w:tab/>
        <w:t>"JPY-TSR-Telerate-10:00" means that the rate for a Reset Date will be the swap rate for Yen swap transactions with a maturity of the Designated Maturity which appears on the Telerate Page 17143 under the heading "TOKYO SWAP REFERENCE RATE (T.S.R.)" as of 10:00 a.m., Tokyo time, on the day that is two Tokyo Banking Days preceding that Reset Date.  If such rate does not appear on the Telerate Page 17143, the rate for that Reset Date will be determined as if the parties had specified "JPY-TSR-Reference Banks" as the applicable Floating Rate Option.</w:t>
      </w:r>
    </w:p>
    <w:p>
      <w:pPr>
        <w:pStyle w:val="Normal"/>
        <w:ind w:firstLine="720" w:end="0"/>
        <w:rPr/>
      </w:pPr>
      <w:r>
        <w:rPr/>
      </w:r>
    </w:p>
    <w:p>
      <w:pPr>
        <w:pStyle w:val="Normal"/>
        <w:ind w:firstLine="720" w:start="720" w:end="0"/>
        <w:rPr/>
      </w:pPr>
      <w:r>
        <w:rPr/>
        <w:t>(ix)</w:t>
        <w:tab/>
        <w:t>"JPY-ISDA-Swap Rate-10:00" means that the rate for a Reset Date will be the swap rate for Yen swap transactions with a maturity of the Designated Maturity, expressed as a percentage, which appears on the Reuters Screen ISDAFIX1 Page as of 10:00 a.m., Tokyo time, on the date that is two Tokyo Banking Days preceding that Reset Date.  If such rate does not appear on the Reuters Screen ISDAFIX1 Page, the rate for that Reset Date will be determined as if the parties had specified "JPY-TSR-Reference Banks" as the applicable Floating Rate Option.</w:t>
      </w:r>
    </w:p>
    <w:p>
      <w:pPr>
        <w:pStyle w:val="Normal"/>
        <w:ind w:firstLine="720" w:end="0"/>
        <w:rPr/>
      </w:pPr>
      <w:r>
        <w:rPr/>
      </w:r>
    </w:p>
    <w:p>
      <w:pPr>
        <w:pStyle w:val="Normal"/>
        <w:ind w:firstLine="720" w:start="720" w:end="0"/>
        <w:rPr/>
      </w:pPr>
      <w:r>
        <w:rPr/>
        <w:t>(x)</w:t>
        <w:tab/>
        <w:t>"JPY-TSR-Telerate-15:00" means that the rate for a Reset Date will be the swap rate for Yen swap transactions with a maturity of the Designated Maturity which appears on the Telerate Page 17143 under the heading "TOKYO SWAP REFERENCE RATE (T.S.R)" as of 3:00 p.m., Tokyo time, on the day that is two Tokyo Banking Days preceding that Reset Date.  If such rate does not appear on the Telerate Page 17143, the rate for that Reset Date will be determined as if the parties had specified "JPY-TSR-Reference Banks" as the applicable Floating Rate Option.</w:t>
      </w:r>
    </w:p>
    <w:p>
      <w:pPr>
        <w:pStyle w:val="Normal"/>
        <w:ind w:firstLine="720" w:end="0"/>
        <w:rPr/>
      </w:pPr>
      <w:r>
        <w:rPr/>
      </w:r>
    </w:p>
    <w:p>
      <w:pPr>
        <w:pStyle w:val="Normal"/>
        <w:ind w:firstLine="720" w:start="720" w:end="0"/>
        <w:rPr/>
      </w:pPr>
      <w:r>
        <w:rPr/>
        <w:t>(xi)</w:t>
        <w:tab/>
        <w:t>"JPY-ISDA-Swap Rate-15:00" means that the rate for that Reset Date will be the rate for Yen swap transactions with a maturity of the Designated Maturity, expressed as a percentage, which appears on the Reuters Screen ISDAFIX1 Page as of 3:00 p.m., Tokyo time, on the day that is two Tokyo Banking Days preceding that Reset Date.  If such rate does not appear on the Reuters Screen ISDAFIX1 Page, the rate for that Reset Date will be determined as if the parties had specified "JPY-TSR-Reference Banks" as the applicable Floating Rate Option.</w:t>
      </w:r>
    </w:p>
    <w:p>
      <w:pPr>
        <w:pStyle w:val="Normal"/>
        <w:ind w:firstLine="720" w:end="0"/>
        <w:rPr/>
      </w:pPr>
      <w:r>
        <w:rPr/>
      </w:r>
    </w:p>
    <w:p>
      <w:pPr>
        <w:pStyle w:val="Normal"/>
        <w:ind w:firstLine="720" w:start="720" w:end="0"/>
        <w:rPr>
          <w:b/>
          <w:i/>
          <w:i/>
        </w:rPr>
      </w:pPr>
      <w:r>
        <w:rPr/>
        <w:t>(xii)</w:t>
        <w:tab/>
        <w:t>"JPY-TSR-Reference Banks" means that the rate for a Reset Date will be a percentage determined on the basis of the mid-market semi-annual swap rate quotations provided by the Reference Banks (A) in the case of "JPY-TSR-Telerate-10:00" or "JPY-ISDA-Swap Rate-10:00", at approximately 10:00 a.m., Tokyo time, or (B) in the case of "JPY-TSR-Telerate-15:00" or "JPY-ISDA-Swap Rate-15:00", at approximately 3:00 p.m., Tokyo time, on the day that is two Tokyo Banking Days preceding that Reset Date, and, for this purpose, the mid-market semi-annual swap rate means the mean of the bid and offered rates for the semi-annual fixed leg of a fixed-for-floating Yen interest rate swap transaction with a term equal to the Designated Maturity commencing on that Reset Date and in a Representative Amount with an acknowledged dealer of good credit in the swap market, where the floating leg is equivalent to JPY-LIBOR-BBA with a Designated Maturity of six months on an Actual/365 day count basis.  The Calculation Agent will request the principal office of each of the Reference Banks to provide a quotation of its rate.  If at least three quotations are provided, the rate for that Reset Date will be the arithmetic mean of the quotations, eliminating the highest quotation (or, in the event of equality, one of the highest) and the lowest quotation (or, in the event of equality, one of the lowest).</w:t>
      </w:r>
    </w:p>
    <w:p>
      <w:pPr>
        <w:pStyle w:val="Normal"/>
        <w:rPr>
          <w:b/>
          <w:i/>
          <w:i/>
        </w:rPr>
      </w:pPr>
      <w:r>
        <w:rPr>
          <w:b/>
          <w:i/>
        </w:rPr>
      </w:r>
    </w:p>
    <w:p>
      <w:pPr>
        <w:pStyle w:val="Normal"/>
        <w:ind w:firstLine="720" w:start="720" w:end="0"/>
        <w:rPr/>
      </w:pPr>
      <w:r>
        <w:rPr/>
        <w:t>(xiii)</w:t>
        <w:tab/>
        <w:t>"JPY-TIBOR-ZTIBOR" means that the rate for a Reset Date will be the rate for deposits in Yen for a period of the Designated Maturity which appears on the Reuters Screen ZTIBOR Page as of 11:00 a.m., Tokyo time, on the day that is two Tokyo Banking Days preceding that Reset Date.  If such rate does not appear on the Reuters Screen ZTIBOR Page, the rate for that Reset Date will be determined as if the parties had specified "JPY-TIBOR-TIBM-Reference Banks" as the applicable Floating Rate Option.</w:t>
      </w:r>
    </w:p>
    <w:p>
      <w:pPr>
        <w:pStyle w:val="Normal"/>
        <w:keepNext w:val="true"/>
        <w:spacing w:before="240" w:after="0"/>
        <w:ind w:firstLine="720" w:end="0"/>
        <w:rPr>
          <w:b/>
          <w:i/>
          <w:i/>
        </w:rPr>
      </w:pPr>
      <w:r>
        <w:rPr>
          <w:b/>
          <w:i/>
        </w:rPr>
        <w:t>(k)</w:t>
        <w:tab/>
        <w:t>New Zealand Dollar.</w:t>
      </w:r>
    </w:p>
    <w:p>
      <w:pPr>
        <w:pStyle w:val="Normal"/>
        <w:ind w:hanging="720" w:start="720" w:end="0"/>
        <w:rPr>
          <w:b/>
          <w:i/>
          <w:i/>
        </w:rPr>
      </w:pPr>
      <w:r>
        <w:rPr>
          <w:b/>
          <w:i/>
        </w:rPr>
      </w:r>
    </w:p>
    <w:p>
      <w:pPr>
        <w:pStyle w:val="Normal"/>
        <w:ind w:firstLine="720" w:start="720" w:end="0"/>
        <w:rPr/>
      </w:pPr>
      <w:r>
        <w:rPr/>
        <w:t>(i)</w:t>
        <w:tab/>
        <w:t>"NZD-BBR-ISDC" means that the rate for a Reset Date will be the rate for New Zealand Dollar bills of exchange for a period of the Designated Maturity which appears on the Reuters Screen ISDC Page as of 11:00 a.m., Wellington time, on that Reset Date.  If such rate does not appear on the Reuters Screen ISDC Page, the rate for that Reset Date will be determined as if the parties had specified "NZD-BBR-Reference Banks" as the applicable Floating Rate Option.</w:t>
      </w:r>
    </w:p>
    <w:p>
      <w:pPr>
        <w:pStyle w:val="Normal"/>
        <w:ind w:hanging="720" w:start="720" w:end="0"/>
        <w:rPr/>
      </w:pPr>
      <w:r>
        <w:rPr/>
      </w:r>
    </w:p>
    <w:p>
      <w:pPr>
        <w:pStyle w:val="Normal"/>
        <w:ind w:firstLine="720" w:start="720" w:end="0"/>
        <w:rPr/>
      </w:pPr>
      <w:r>
        <w:rPr/>
        <w:t>(ii)</w:t>
        <w:tab/>
        <w:t>"NZD-BBR-FRA" means that the rate for a Reset Date will be the rate for New Zealand Dollar bills of exchange for a period of the Designated Maturity which appears on the Reuters Screen BKBM Page opposite the caption "FRA" as of 11:00 a.m., Wellington time, on that Reset Date.  If such rate does not appear on the Reuters Screen BKBM Page, the rate for that Reset Date will be determined as if the parties had specified "NZD-BBR-Reference Banks" as the applicable Floating Rate Option.</w:t>
      </w:r>
    </w:p>
    <w:p>
      <w:pPr>
        <w:pStyle w:val="Normal"/>
        <w:ind w:hanging="720" w:start="720" w:end="0"/>
        <w:rPr/>
      </w:pPr>
      <w:r>
        <w:rPr/>
      </w:r>
    </w:p>
    <w:p>
      <w:pPr>
        <w:pStyle w:val="Normal"/>
        <w:ind w:firstLine="720" w:start="720" w:end="0"/>
        <w:rPr/>
      </w:pPr>
      <w:r>
        <w:rPr/>
        <w:t>(iii)</w:t>
        <w:tab/>
        <w:t>"NZD-BBR-Telerate" means that the rate for a Reset Date will be the fixed midrate for New Zealand Dollar bills of exchange for a period of the Designated Maturity which appears on the Telerate Page 2484 as of 11:00 a.m., Wellington time, on that Reset Date.  If such rate does not appear on the Telerate Page 2484, the rate for that Reset Date will be determined as if the parties had specified "NZD-BBR-Reference Banks" as the applicable Floating Rate Option.</w:t>
      </w:r>
    </w:p>
    <w:p>
      <w:pPr>
        <w:pStyle w:val="Normal"/>
        <w:ind w:hanging="720" w:start="720" w:end="0"/>
        <w:rPr/>
      </w:pPr>
      <w:r>
        <w:rPr/>
      </w:r>
    </w:p>
    <w:p>
      <w:pPr>
        <w:pStyle w:val="Normal"/>
        <w:ind w:firstLine="720" w:start="720" w:end="0"/>
        <w:rPr/>
      </w:pPr>
      <w:r>
        <w:rPr/>
        <w:t>(iv)</w:t>
        <w:tab/>
        <w:t>"NZD-BBR-Reference Banks" means that the rate for a Reset Date will be determined on the basis of the average of the mean bid and offered rates of each of the Reference Banks for New Zealand Dollar bills of exchange for a period of the Designated Maturity for settlement on that Reset Date and in a Representative Amount at approximately 11:00 a.m., Wellington time, on the Reset Date.  The Calculation Agent will request the principal Wellington office of each of the Reference Banks to provide a quotation of its rates.</w:t>
      </w:r>
    </w:p>
    <w:p>
      <w:pPr>
        <w:pStyle w:val="Normal"/>
        <w:ind w:firstLine="720" w:start="720" w:end="0"/>
        <w:rPr/>
      </w:pPr>
      <w:r>
        <w:rPr/>
      </w:r>
    </w:p>
    <w:p>
      <w:pPr>
        <w:pStyle w:val="Normal"/>
        <w:keepNext w:val="true"/>
        <w:ind w:firstLine="720" w:end="0"/>
        <w:rPr>
          <w:b/>
          <w:i/>
          <w:i/>
        </w:rPr>
      </w:pPr>
      <w:r>
        <w:rPr>
          <w:b/>
          <w:i/>
        </w:rPr>
        <w:t>(l)</w:t>
        <w:tab/>
        <w:t>Norwegian Krone.</w:t>
      </w:r>
    </w:p>
    <w:p>
      <w:pPr>
        <w:pStyle w:val="Normal"/>
        <w:keepNext w:val="true"/>
        <w:ind w:firstLine="720" w:start="720" w:end="0"/>
        <w:rPr>
          <w:b/>
          <w:i/>
          <w:i/>
        </w:rPr>
      </w:pPr>
      <w:r>
        <w:rPr>
          <w:b/>
          <w:i/>
        </w:rPr>
      </w:r>
    </w:p>
    <w:p>
      <w:pPr>
        <w:pStyle w:val="Normal"/>
        <w:ind w:firstLine="720" w:start="720" w:end="0"/>
        <w:rPr/>
      </w:pPr>
      <w:r>
        <w:rPr/>
        <w:t>(i)</w:t>
        <w:tab/>
        <w:t>"NOK-NIBOR-NIBR" means that the rate for a Reset Date will be the rate for deposits in Norwegian Kroner for a period of the Designated Maturity which appears on the Reuters Screen NIBR Page as of 12:00 noon, Oslo time, on the day that is two Oslo Banking Days preceding that Reset Date.  If such rate does not appear on the Reuters Screen NIBR Page, the rate for that Reset Date will be determined as if the parties had specified "NOK-NIBOR-Reference Banks" as the applicable Floating Rate Option.</w:t>
      </w:r>
    </w:p>
    <w:p>
      <w:pPr>
        <w:pStyle w:val="Normal"/>
        <w:rPr/>
      </w:pPr>
      <w:r>
        <w:rPr/>
      </w:r>
    </w:p>
    <w:p>
      <w:pPr>
        <w:pStyle w:val="Normal"/>
        <w:ind w:firstLine="720" w:start="720" w:end="0"/>
        <w:rPr/>
      </w:pPr>
      <w:r>
        <w:rPr/>
        <w:t>(ii)</w:t>
        <w:tab/>
        <w:t xml:space="preserve">"NOK-NIBOR-Reference Banks" means that the rate for a Reset Date will be determined on the basis of the rates at which deposits in Norwegian Kroner are offered by the Reference Banks at approximately 12:00 noon, Oslo time, on the day that is two Oslo Banking Days preceding that Reset Date to prime banks in the Oslo interbank market for a period for the Designated Maturity commencing on that Reset Date and in a Representative Amount.  The Calculation Agent will request the principal Oslo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w:t>
      </w:r>
      <w:r>
        <w:rPr>
          <w:b/>
        </w:rPr>
        <w:t>[</w:t>
      </w:r>
      <w:r>
        <w:rPr/>
        <w:t>major</w:t>
      </w:r>
      <w:r>
        <w:rPr>
          <w:b/>
        </w:rPr>
        <w:t>]</w:t>
      </w:r>
      <w:r>
        <w:rPr/>
        <w:t xml:space="preserve"> banks in Oslo, selected by the Calculation Agent, at approximately 12:00 noon, Oslo time, on that Reset Date for loans in Norwegian Kroner to leading European banks for a period of the Designated Maturity commencing on that Reset Date and in a Representative Amount.</w:t>
      </w:r>
    </w:p>
    <w:p>
      <w:pPr>
        <w:pStyle w:val="Normal"/>
        <w:rPr/>
      </w:pPr>
      <w:r>
        <w:rPr/>
      </w:r>
    </w:p>
    <w:p>
      <w:pPr>
        <w:pStyle w:val="Normal"/>
        <w:keepNext w:val="true"/>
        <w:ind w:firstLine="720" w:end="0"/>
        <w:rPr/>
      </w:pPr>
      <w:r>
        <w:rPr>
          <w:b/>
          <w:i/>
        </w:rPr>
        <w:t>(m)</w:t>
      </w:r>
      <w:r>
        <w:rPr>
          <w:b/>
        </w:rPr>
        <w:tab/>
      </w:r>
      <w:r>
        <w:rPr>
          <w:b/>
          <w:i/>
        </w:rPr>
        <w:t>Polish Zloty</w:t>
      </w:r>
      <w:r>
        <w:rPr>
          <w:b/>
        </w:rPr>
        <w:t>.</w:t>
      </w:r>
    </w:p>
    <w:p>
      <w:pPr>
        <w:pStyle w:val="Normal"/>
        <w:keepNext w:val="true"/>
        <w:rPr>
          <w:b/>
        </w:rPr>
      </w:pPr>
      <w:r>
        <w:rPr>
          <w:b/>
        </w:rPr>
      </w:r>
    </w:p>
    <w:p>
      <w:pPr>
        <w:pStyle w:val="Normal"/>
        <w:ind w:firstLine="720" w:start="720" w:end="0"/>
        <w:rPr/>
      </w:pPr>
      <w:r>
        <w:rPr/>
        <w:t>(i)</w:t>
        <w:tab/>
        <w:t>"PLZ-WIBOR-WIBO" means that the rate for a Reset Date will be the offered rate for deposits in Polish Zloty for a period of the Designated Maturity which appears on the Reuters Screen WIBO Page as of 11:00 a.m., Warsaw time, on the day that is two Warsaw Banking Days preceding that Reset Date.  If such rate does not appear on the Reuters Screen WIBO Page, the rate for that Reset Date will be determined as if the parties had specified "PLZ-WIBOR-Reference Banks" as the applicable Floating Rate Option.</w:t>
      </w:r>
    </w:p>
    <w:p>
      <w:pPr>
        <w:pStyle w:val="Normal"/>
        <w:rPr/>
      </w:pPr>
      <w:r>
        <w:rPr/>
      </w:r>
    </w:p>
    <w:p>
      <w:pPr>
        <w:pStyle w:val="Normal"/>
        <w:ind w:firstLine="720" w:start="720" w:end="0"/>
        <w:rPr/>
      </w:pPr>
      <w:r>
        <w:rPr/>
        <w:t>(ii)</w:t>
        <w:tab/>
        <w:t>"PLZ-WIBOR-Reference Banks" means that the rate for a Reset Date will be determined on the basis of the rates at which deposits in Polish Zloty are offered by the Reference Banks at approximately 11:00 a.m., Warsaw time, on the day that is two Warsaw Banking Days preceding that Reset Date to prime banks in the Warsaw interbank market for a period of the Designated Maturity commencing on that Reset Date and in a Representative Amount.  The Calculation Agent will request the principal Warsaw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Warsaw, selected by the Calculation Agent, at approximately 11:00 a.m., Warsaw time, on that Reset Date for loans in Polish Zloty to leading European banks for a period of the Designated Maturity commencing on that Reset Date and in a Representative Amount.</w:t>
      </w:r>
    </w:p>
    <w:p>
      <w:pPr>
        <w:pStyle w:val="Normal"/>
        <w:rPr/>
      </w:pPr>
      <w:r>
        <w:rPr/>
      </w:r>
    </w:p>
    <w:p>
      <w:pPr>
        <w:pStyle w:val="Normal"/>
        <w:keepNext w:val="true"/>
        <w:tabs>
          <w:tab w:val="left" w:pos="720" w:leader="none"/>
        </w:tabs>
        <w:rPr>
          <w:b/>
          <w:i/>
          <w:i/>
        </w:rPr>
      </w:pPr>
      <w:r>
        <w:rPr>
          <w:b/>
          <w:i/>
        </w:rPr>
        <w:tab/>
        <w:t>(n)</w:t>
        <w:tab/>
        <w:t>Saudi Arabian Riyal.</w:t>
      </w:r>
    </w:p>
    <w:p>
      <w:pPr>
        <w:pStyle w:val="Normal"/>
        <w:keepNext w:val="true"/>
        <w:tabs>
          <w:tab w:val="left" w:pos="720" w:leader="none"/>
        </w:tabs>
        <w:rPr>
          <w:b/>
          <w:i/>
          <w:i/>
        </w:rPr>
      </w:pPr>
      <w:r>
        <w:rPr>
          <w:b/>
          <w:i/>
        </w:rPr>
      </w:r>
    </w:p>
    <w:p>
      <w:pPr>
        <w:pStyle w:val="Normal"/>
        <w:ind w:firstLine="720" w:start="720" w:end="0"/>
        <w:rPr/>
      </w:pPr>
      <w:r>
        <w:rPr/>
        <w:t>(i)</w:t>
        <w:tab/>
        <w:t>"SAR-SRIOR-SUAA" means that the rate for a Reset Date will be the arithmetic mean of the offered rates for deposits in Saudi Arabian Riyal, after eliminating the highest and lowest rates, for a period of the Designated Maturity which appear on the Reuters Screen SUAA Page as of 11:00 a.m., Riyadh time, on the day that is two Riyadh Banking Days preceding that Reset Date.  If only two rates appear on the Reuters Screen SUAA Page, the rate for that Reset Date will be the arithmetic mean of such rates.  If fewer than two rates appear, the rate for that Reset Date will be determined as if the parties had specified "SAR-SRIOR-Reference Banks" as the applicable Floating Rate Option.</w:t>
      </w:r>
    </w:p>
    <w:p>
      <w:pPr>
        <w:pStyle w:val="Normal"/>
        <w:tabs>
          <w:tab w:val="left" w:pos="720" w:leader="none"/>
        </w:tabs>
        <w:rPr/>
      </w:pPr>
      <w:r>
        <w:rPr/>
      </w:r>
    </w:p>
    <w:p>
      <w:pPr>
        <w:pStyle w:val="Normal"/>
        <w:ind w:firstLine="720" w:start="720" w:end="0"/>
        <w:rPr/>
      </w:pPr>
      <w:r>
        <w:rPr/>
        <w:t>(ii)</w:t>
        <w:tab/>
        <w:t>"SAR-SRIOR-Reference Banks" means that the rate for a Reset Date will be determined on the basis of the rates at which deposits in Saudi Arabian Riyal are offered by the Reference Banks at approximately 11:00 a.m., Riyadh time, on the day that is two Riyadh Banking Days preceding that Reset Date to prime banks in the Riyadh interbank market for a period of the Designated Maturity commencing on that Reset Date and in a Representative Amount.  The Calculation Agent will request the principal Riyadh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Riyadh, selected by the Calculation Agent, at approximately 11:00 a.m., Riyadh time, on the day that is two Riyadh Banking Days preceding that Reset Date for loans in Saudi Arabian Riyal to leading European banks for a period of the Designated Maturity commencing on that Reset Date and in a Representative Amount.</w:t>
      </w:r>
    </w:p>
    <w:p>
      <w:pPr>
        <w:pStyle w:val="Normal"/>
        <w:tabs>
          <w:tab w:val="left" w:pos="720" w:leader="none"/>
        </w:tabs>
        <w:rPr/>
      </w:pPr>
      <w:r>
        <w:rPr/>
      </w:r>
    </w:p>
    <w:p>
      <w:pPr>
        <w:pStyle w:val="Normal"/>
        <w:keepNext w:val="true"/>
        <w:tabs>
          <w:tab w:val="left" w:pos="720" w:leader="none"/>
        </w:tabs>
        <w:ind w:hanging="1440" w:start="1440" w:end="0"/>
        <w:rPr/>
      </w:pPr>
      <w:r>
        <w:rPr>
          <w:b/>
          <w:i/>
        </w:rPr>
        <w:tab/>
        <w:t>(o)</w:t>
      </w:r>
      <w:r>
        <w:rPr/>
        <w:tab/>
      </w:r>
      <w:r>
        <w:rPr>
          <w:b/>
          <w:i/>
        </w:rPr>
        <w:t>Singapore Dollar.</w:t>
      </w:r>
    </w:p>
    <w:p>
      <w:pPr>
        <w:pStyle w:val="Normal"/>
        <w:keepNext w:val="true"/>
        <w:tabs>
          <w:tab w:val="left" w:pos="720" w:leader="none"/>
        </w:tabs>
        <w:ind w:hanging="1440" w:start="1440" w:end="0"/>
        <w:rPr/>
      </w:pPr>
      <w:r>
        <w:rPr/>
      </w:r>
    </w:p>
    <w:p>
      <w:pPr>
        <w:pStyle w:val="Normal"/>
        <w:ind w:firstLine="720" w:start="720" w:end="0"/>
        <w:rPr/>
      </w:pPr>
      <w:r>
        <w:rPr/>
        <w:t>(i)</w:t>
        <w:tab/>
        <w:t xml:space="preserve">"SGD-SIBOR-Telerate" means that the rate for a Reset Date will be the rate for deposits in Singapore Dollars for a period of the Designated Maturity which appears on the Telerate Page 7310 </w:t>
      </w:r>
      <w:r>
        <w:rPr>
          <w:b/>
        </w:rPr>
        <w:t>[</w:t>
      </w:r>
      <w:r>
        <w:rPr/>
        <w:t>under the heading "Fixing"</w:t>
      </w:r>
      <w:r>
        <w:rPr>
          <w:b/>
        </w:rPr>
        <w:t xml:space="preserve">] </w:t>
      </w:r>
      <w:r>
        <w:rPr/>
        <w:t>as of 11:00 a.m., Singapore time, on the day that is two Singapore Banking Days preceding that Reset Date.  If such rate does not appear on the Telerate Page 7310, the rate for that Reset Date will be determined as if the parties had specified "SGD-SIBOR-Reference Banks" as the applicable Floating Rate Option.</w:t>
      </w:r>
    </w:p>
    <w:p>
      <w:pPr>
        <w:pStyle w:val="Normal"/>
        <w:tabs>
          <w:tab w:val="left" w:pos="720" w:leader="none"/>
        </w:tabs>
        <w:ind w:firstLine="720" w:end="0"/>
        <w:rPr/>
      </w:pPr>
      <w:r>
        <w:rPr/>
      </w:r>
    </w:p>
    <w:p>
      <w:pPr>
        <w:pStyle w:val="Normal"/>
        <w:ind w:firstLine="720" w:start="720" w:end="0"/>
        <w:rPr/>
      </w:pPr>
      <w:r>
        <w:rPr/>
        <w:t>(ii)</w:t>
        <w:tab/>
        <w:t>"SGD-SIBOR-Reference Banks" means that the rate for a Reset Date will be determined on the basis of the rates at which deposits in Singapore Dollars are offered by the Reference Banks at approximately 11:00 a.m., Singapore time, on the day that is two Singapore Banking Days preceding that Reset Date to prime banks in the Singapore interbank market for a period of the Designated Maturity commencing on that Reset Date and in a Representative Amount.  The Calculation Agent will request the principal Singapore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Singapore, selected by the Calculation Agent, at approximately 11:00 a.m., Singapore time, on that Reset Date for loans in Singapore Dollars to leading [European/Asian] banks for a period of the Designated Maturity commencing on that Reset Date and in a Representative Amount.</w:t>
      </w:r>
    </w:p>
    <w:p>
      <w:pPr>
        <w:pStyle w:val="Normal"/>
        <w:tabs>
          <w:tab w:val="left" w:pos="720" w:leader="none"/>
        </w:tabs>
        <w:ind w:firstLine="720" w:end="0"/>
        <w:rPr/>
      </w:pPr>
      <w:r>
        <w:rPr/>
      </w:r>
    </w:p>
    <w:p>
      <w:pPr>
        <w:pStyle w:val="Normal"/>
        <w:ind w:firstLine="720" w:start="720" w:end="0"/>
        <w:rPr/>
      </w:pPr>
      <w:r>
        <w:rPr>
          <w:color w:val="000000"/>
        </w:rPr>
        <w:t>(iii)</w:t>
        <w:tab/>
        <w:t xml:space="preserve">"SGD-SOR-Telerate" means that the rate for a Reset Date will be the </w:t>
      </w:r>
      <w:r>
        <w:rPr/>
        <w:t xml:space="preserve">synthetic rate for deposits in Singapore Dollars derived from swap offered points </w:t>
      </w:r>
      <w:r>
        <w:rPr>
          <w:color w:val="000000"/>
        </w:rPr>
        <w:t xml:space="preserve">for a period of the Designated Maturity which appears on the Telerate Page 50157 under the heading "SOR Fixing" as of 11:00 a.m., Singapore time, on the day that is two Singapore Banking Days preceding that Reset Date.  If such rate does not appear on the Telerate Page 50157, </w:t>
      </w:r>
      <w:r>
        <w:rPr/>
        <w:t xml:space="preserve">the rate for that Reset Date will be any substitute rate announced by the Association of Banks in Singapore ("ABS").  If ABS does not announce such rate by 4:00 p.m., Singapore time, on the day that is two Singapore Banking Days preceding the relevant Reset Date, </w:t>
      </w:r>
      <w:r>
        <w:rPr>
          <w:color w:val="000000"/>
        </w:rPr>
        <w:t>the rate for that Reset Date will be determined as if the parties had specified "SGD-SOR-Reference Banks" as the applicable Floating Rate Option.</w:t>
      </w:r>
    </w:p>
    <w:p>
      <w:pPr>
        <w:pStyle w:val="Normal"/>
        <w:tabs>
          <w:tab w:val="left" w:pos="720" w:leader="none"/>
        </w:tabs>
        <w:ind w:firstLine="720" w:start="720" w:end="0"/>
        <w:rPr>
          <w:color w:val="000000"/>
        </w:rPr>
      </w:pPr>
      <w:r>
        <w:rPr>
          <w:color w:val="000000"/>
        </w:rPr>
      </w:r>
    </w:p>
    <w:p>
      <w:pPr>
        <w:pStyle w:val="Normal"/>
        <w:ind w:firstLine="720" w:start="720" w:end="0"/>
        <w:rPr/>
      </w:pPr>
      <w:r>
        <w:rPr>
          <w:color w:val="000000"/>
        </w:rPr>
        <w:t>(iv)</w:t>
        <w:tab/>
        <w:t xml:space="preserve">"SGD-SOR-Reference Banks" means that the rate for a Reset Date will be determined by the Calculation Agent </w:t>
      </w:r>
      <w:r>
        <w:rPr/>
        <w:t>acting in good faith in accordance with the following formula:</w:t>
      </w:r>
    </w:p>
    <w:p>
      <w:pPr>
        <w:pStyle w:val="Normal"/>
        <w:ind w:firstLine="720" w:start="720" w:end="0"/>
        <w:rPr>
          <w:color w:val="000000"/>
        </w:rPr>
      </w:pPr>
      <w:r>
        <w:rPr>
          <w:color w:val="000000"/>
        </w:rPr>
      </w:r>
    </w:p>
    <w:p>
      <w:pPr>
        <w:pStyle w:val="Normal"/>
        <w:jc w:val="center"/>
        <w:rPr/>
      </w:pPr>
      <w:r>
        <w:rPr/>
      </w:r>
      <m:oMath xmlns:m="http://schemas.openxmlformats.org/officeDocument/2006/math"/>
      <w:r>
        <w:rPr/>
        <w:tab/>
      </w:r>
      <w:r>
        <w:rPr/>
      </w:r>
      <m:oMath xmlns:m="http://schemas.openxmlformats.org/officeDocument/2006/math">
        <m:d>
          <m:dPr>
            <m:begChr m:val="{"/>
            <m:endChr m:val="}"/>
          </m:dPr>
          <m:e>
            <m:d>
              <m:dPr>
                <m:begChr m:val="["/>
                <m:endChr m:val="]"/>
              </m:dPr>
              <m:e>
                <m:d>
                  <m:dPr>
                    <m:begChr m:val="("/>
                    <m:endChr m:val=")"/>
                  </m:dPr>
                  <m:e>
                    <m:f>
                      <m:num>
                        <m:r>
                          <m:rPr>
                            <m:lit/>
                            <m:nor/>
                          </m:rPr>
                          <m:t xml:space="preserve">Spot</m:t>
                        </m:r>
                        <m:r>
                          <m:t xml:space="preserve"> </m:t>
                        </m:r>
                        <m:r>
                          <m:rPr>
                            <m:lit/>
                            <m:nor/>
                          </m:rPr>
                          <m:t xml:space="preserve">Rate</m:t>
                        </m:r>
                        <m:r>
                          <m:t xml:space="preserve"> </m:t>
                        </m:r>
                        <m:r>
                          <m:t xml:space="preserve">+</m:t>
                        </m:r>
                        <m:r>
                          <m:t xml:space="preserve"> </m:t>
                        </m:r>
                        <m:r>
                          <m:rPr>
                            <m:lit/>
                            <m:nor/>
                          </m:rPr>
                          <m:t xml:space="preserve">Forward</m:t>
                        </m:r>
                        <m:r>
                          <m:t xml:space="preserve"> </m:t>
                        </m:r>
                        <m:r>
                          <m:rPr>
                            <m:lit/>
                            <m:nor/>
                          </m:rPr>
                          <m:t xml:space="preserve">Points</m:t>
                        </m:r>
                      </m:num>
                      <m:den>
                        <m:r>
                          <m:rPr>
                            <m:lit/>
                            <m:nor/>
                          </m:rPr>
                          <m:t xml:space="preserve">Spot</m:t>
                        </m:r>
                        <m:r>
                          <m:t xml:space="preserve"> </m:t>
                        </m:r>
                        <m:r>
                          <m:rPr>
                            <m:lit/>
                            <m:nor/>
                          </m:rPr>
                          <m:t xml:space="preserve">Rate</m:t>
                        </m:r>
                      </m:den>
                    </m:f>
                  </m:e>
                </m:d>
                <m:r>
                  <m:t xml:space="preserve"> </m:t>
                </m:r>
                <m:r>
                  <m:t xml:space="preserve">×</m:t>
                </m:r>
                <m:r>
                  <m:t xml:space="preserve"> </m:t>
                </m:r>
                <m:d>
                  <m:dPr>
                    <m:begChr m:val="("/>
                    <m:endChr m:val=")"/>
                  </m:dPr>
                  <m:e>
                    <m:r>
                      <m:t xml:space="preserve">1</m:t>
                    </m:r>
                    <m:r>
                      <m:t xml:space="preserve">+</m:t>
                    </m:r>
                    <m:f>
                      <m:num>
                        <m:r>
                          <m:rPr>
                            <m:lit/>
                            <m:nor/>
                          </m:rPr>
                          <m:t xml:space="preserve">USD</m:t>
                        </m:r>
                        <m:r>
                          <m:t xml:space="preserve"> </m:t>
                        </m:r>
                        <m:r>
                          <m:rPr>
                            <m:lit/>
                            <m:nor/>
                          </m:rPr>
                          <m:t xml:space="preserve">Rate</m:t>
                        </m:r>
                        <m:r>
                          <m:t xml:space="preserve"> </m:t>
                        </m:r>
                        <m:r>
                          <m:t xml:space="preserve">×</m:t>
                        </m:r>
                        <m:r>
                          <m:t xml:space="preserve"> </m:t>
                        </m:r>
                        <m:r>
                          <m:t xml:space="preserve"> </m:t>
                        </m:r>
                        <m:r>
                          <m:rPr>
                            <m:lit/>
                            <m:nor/>
                          </m:rPr>
                          <m:t xml:space="preserve">days</m:t>
                        </m:r>
                      </m:num>
                      <m:den>
                        <m:r>
                          <m:rPr>
                            <m:lit/>
                            <m:nor/>
                          </m:rPr>
                          <m:t xml:space="preserve">360</m:t>
                        </m:r>
                      </m:den>
                    </m:f>
                  </m:e>
                  <m:e/>
                </m:d>
              </m:e>
            </m:d>
            <m:r>
              <m:t xml:space="preserve"> </m:t>
            </m:r>
            <m:r>
              <m:t xml:space="preserve">−</m:t>
            </m:r>
            <m:r>
              <m:t xml:space="preserve">1</m:t>
            </m:r>
          </m:e>
        </m:d>
        <m:r>
          <m:t xml:space="preserve"> </m:t>
        </m:r>
        <m:r>
          <m:t xml:space="preserve">×</m:t>
        </m:r>
        <m:r>
          <m:t xml:space="preserve"> </m:t>
        </m:r>
        <m:f>
          <m:num>
            <m:r>
              <m:rPr>
                <m:lit/>
                <m:nor/>
              </m:rPr>
              <m:t xml:space="preserve">365</m:t>
            </m:r>
          </m:num>
          <m:den>
            <m:r>
              <m:t xml:space="preserve"> </m:t>
            </m:r>
            <m:r>
              <m:rPr>
                <m:lit/>
                <m:nor/>
              </m:rPr>
              <m:t xml:space="preserve">days</m:t>
            </m:r>
          </m:den>
        </m:f>
        <m:r>
          <m:t xml:space="preserve"> </m:t>
        </m:r>
        <m:r>
          <m:t xml:space="preserve">×</m:t>
        </m:r>
        <m:r>
          <m:t xml:space="preserve"> </m:t>
        </m:r>
        <m:r>
          <m:rPr>
            <m:lit/>
            <m:nor/>
          </m:rPr>
          <m:t xml:space="preserve">100</m:t>
        </m:r>
      </m:oMath>
    </w:p>
    <w:p>
      <w:pPr>
        <w:pStyle w:val="Normal"/>
        <w:jc w:val="center"/>
        <w:rPr/>
      </w:pPr>
      <w:r>
        <w:rPr/>
      </w:r>
    </w:p>
    <w:p>
      <w:pPr>
        <w:pStyle w:val="Normal"/>
        <w:ind w:firstLine="720" w:start="720" w:end="0"/>
        <w:rPr>
          <w:position w:val="-30"/>
        </w:rPr>
      </w:pPr>
      <w:r>
        <w:rPr>
          <w:position w:val="-30"/>
        </w:rPr>
        <w:t>where:</w:t>
      </w:r>
    </w:p>
    <w:p>
      <w:pPr>
        <w:pStyle w:val="Normal"/>
        <w:ind w:start="720" w:end="0"/>
        <w:rPr>
          <w:position w:val="-30"/>
        </w:rPr>
      </w:pPr>
      <w:r>
        <w:rPr>
          <w:position w:val="-30"/>
        </w:rPr>
      </w:r>
    </w:p>
    <w:p>
      <w:pPr>
        <w:pStyle w:val="BodyTextIndent3"/>
        <w:ind w:firstLine="720" w:start="1440" w:end="0"/>
        <w:jc w:val="both"/>
        <w:rPr>
          <w:rFonts w:ascii="Times New Roman" w:hAnsi="Times New Roman" w:cs="Times New Roman"/>
          <w:sz w:val="22"/>
        </w:rPr>
      </w:pPr>
      <w:r>
        <w:rPr>
          <w:rFonts w:cs="Times New Roman" w:ascii="Times New Roman" w:hAnsi="Times New Roman"/>
          <w:sz w:val="22"/>
        </w:rPr>
        <w:t>"Spot Rate" means the average of the bid and offer exchange rates for the sale of SGD against USD for settlement on a spot basis as determined by the Calculation Agent on the basis of bid and offer quotations obtained by the Calculation Agent from Reference Banks, as of 11:00 a.m., Singapore time, on the day that is two Singapore Banking Days preceding the relevant Reset Date or as close to such time as is reasonably practicable.  If at least three quotations are provided, the Spot Rate for that Reset Date will be the arithmetic mean of the quotations, without regard to the quotations with the highest and lowest values.  For this purpose if more than one quotation has the same highest or lowest value, then one such quotation shall be disregarded.  If exactly two quotations are provided, the Spot Rate for that Reset Date will be the arithmetic mean of the quotations.</w:t>
      </w:r>
    </w:p>
    <w:p>
      <w:pPr>
        <w:pStyle w:val="Normal"/>
        <w:ind w:start="720" w:end="0"/>
        <w:rPr>
          <w:rFonts w:ascii="Times New Roman" w:hAnsi="Times New Roman" w:cs="Times New Roman"/>
          <w:position w:val="-28"/>
          <w:sz w:val="22"/>
        </w:rPr>
      </w:pPr>
      <w:r>
        <w:rPr>
          <w:rFonts w:cs="Times New Roman"/>
          <w:position w:val="-28"/>
          <w:sz w:val="22"/>
        </w:rPr>
      </w:r>
    </w:p>
    <w:p>
      <w:pPr>
        <w:pStyle w:val="BodyTextIndent2"/>
        <w:ind w:firstLine="720" w:start="1440" w:end="0"/>
        <w:jc w:val="both"/>
        <w:rPr>
          <w:rFonts w:ascii="Times New Roman" w:hAnsi="Times New Roman" w:cs="Times New Roman"/>
        </w:rPr>
      </w:pPr>
      <w:r>
        <w:rPr>
          <w:rFonts w:cs="Times New Roman" w:ascii="Times New Roman" w:hAnsi="Times New Roman"/>
        </w:rPr>
        <w:t>"Forward Points" means the offered side of the FX forward points for the forward sale of SGD against USD for settlement on the last day of a period equivalent to the Designated Maturity and commencing on the relevant Reset Date as determined by the Calculation Agent on the basis of the offered side of indicative quotations obtained by the Calculation Agent from the Reference Banks, as of 11:00 a.m., Singapore time, on the day that is two Singapore Banking Days preceding the relevant Reset Date or as close to such time as is reasonably practicable.  If at least three quotations are provided, the Forward Points for that Reset Date will be the arithmetic mean of the quotations, without regard to the quotations with the highest and lowest values.  For this purpose if more than one quotation has the same highest or lowest value, then one such quotation shall be disregarded. If exactly two quotations are provided, the Forward Points for that Reset Date shall be the arithmetic mean of the quotations.</w:t>
      </w:r>
    </w:p>
    <w:p>
      <w:pPr>
        <w:pStyle w:val="BodyTextIndent2"/>
        <w:ind w:hanging="0" w:start="720" w:end="0"/>
        <w:rPr>
          <w:rFonts w:ascii="Times New Roman" w:hAnsi="Times New Roman" w:cs="Times New Roman"/>
        </w:rPr>
      </w:pPr>
      <w:r>
        <w:rPr>
          <w:rFonts w:cs="Times New Roman" w:ascii="Times New Roman" w:hAnsi="Times New Roman"/>
        </w:rPr>
      </w:r>
    </w:p>
    <w:p>
      <w:pPr>
        <w:pStyle w:val="BodyTextIndent2"/>
        <w:ind w:firstLine="720" w:start="1440" w:end="0"/>
        <w:jc w:val="both"/>
        <w:rPr>
          <w:rFonts w:ascii="Times New Roman" w:hAnsi="Times New Roman" w:cs="Times New Roman"/>
        </w:rPr>
      </w:pPr>
      <w:r>
        <w:rPr>
          <w:rFonts w:cs="Times New Roman" w:ascii="Times New Roman" w:hAnsi="Times New Roman"/>
        </w:rPr>
        <w:t>"# days" means the actual number of days in the Calculation Period in respect of which the calculation is being made.</w:t>
      </w:r>
    </w:p>
    <w:p>
      <w:pPr>
        <w:pStyle w:val="BodyTextIndent2"/>
        <w:ind w:hanging="0" w:start="720" w:end="0"/>
        <w:jc w:val="both"/>
        <w:rPr>
          <w:rFonts w:ascii="Times New Roman" w:hAnsi="Times New Roman" w:cs="Times New Roman"/>
        </w:rPr>
      </w:pPr>
      <w:r>
        <w:rPr>
          <w:rFonts w:cs="Times New Roman" w:ascii="Times New Roman" w:hAnsi="Times New Roman"/>
        </w:rPr>
      </w:r>
    </w:p>
    <w:p>
      <w:pPr>
        <w:pStyle w:val="BodyTextIndent2"/>
        <w:ind w:firstLine="720" w:start="1440" w:end="0"/>
        <w:jc w:val="both"/>
        <w:rPr>
          <w:rFonts w:ascii="Times New Roman" w:hAnsi="Times New Roman" w:cs="Times New Roman"/>
        </w:rPr>
      </w:pPr>
      <w:r>
        <w:rPr>
          <w:rFonts w:cs="Times New Roman" w:ascii="Times New Roman" w:hAnsi="Times New Roman"/>
        </w:rPr>
        <w:t>"USD Rate" means the rate for deposits in U.S. Dollars for a period of the Designated Maturity which appears under the heading "USD SIBOR" on the Telerate Page 7311 as of 11:00 a.m., Singapore time, on the day that is two Singapore Banking Days preceding the relevant Reset Date.  If such rate does not appear on the Telerate Page 7311, the USD Rate for that Reset Date will be determined as if the parties had specified ["USD-SIBOR-Reference Banks" (but omitting the final sentence of that Floating Rate Option)] as the USD Rate.</w:t>
      </w:r>
    </w:p>
    <w:p>
      <w:pPr>
        <w:pStyle w:val="Normal"/>
        <w:tabs>
          <w:tab w:val="left" w:pos="720" w:leader="none"/>
        </w:tabs>
        <w:ind w:firstLine="720" w:end="0"/>
        <w:rPr>
          <w:rFonts w:ascii="Times New Roman" w:hAnsi="Times New Roman" w:cs="Times New Roman"/>
        </w:rPr>
      </w:pPr>
      <w:r>
        <w:rPr>
          <w:rFonts w:cs="Times New Roman"/>
        </w:rPr>
      </w:r>
    </w:p>
    <w:p>
      <w:pPr>
        <w:pStyle w:val="Normal"/>
        <w:keepNext w:val="true"/>
        <w:ind w:start="720" w:end="0"/>
        <w:jc w:val="start"/>
        <w:rPr/>
      </w:pPr>
      <w:r>
        <w:rPr>
          <w:b/>
          <w:i/>
        </w:rPr>
        <w:t>(p)</w:t>
      </w:r>
      <w:r>
        <w:rPr/>
        <w:tab/>
      </w:r>
      <w:r>
        <w:rPr>
          <w:b/>
          <w:i/>
        </w:rPr>
        <w:t>Slovak Koruna.</w:t>
      </w:r>
    </w:p>
    <w:p>
      <w:pPr>
        <w:pStyle w:val="Normal"/>
        <w:keepNext w:val="true"/>
        <w:ind w:hanging="720" w:start="720" w:end="0"/>
        <w:jc w:val="start"/>
        <w:rPr/>
      </w:pPr>
      <w:r>
        <w:rPr/>
      </w:r>
    </w:p>
    <w:p>
      <w:pPr>
        <w:pStyle w:val="Normal"/>
        <w:ind w:firstLine="720" w:start="720" w:end="0"/>
        <w:rPr/>
      </w:pPr>
      <w:r>
        <w:rPr/>
        <w:t>(i)</w:t>
        <w:tab/>
        <w:t>"SKK-BRIBOR-BRBO" means that the rate for a Reset Date will be the offered rate for deposits in Slovak Korunas for a period of the Designated Maturity which appears on the Reuters Screen BRBO Page under the heading "Average 11.00", as of 11:00 a.m.,  Bratislava time, on the day that is two Bratislava and London Banking Days preceding that Reset Date. If such rate does not appear on the Reuters Screen BKBO Page, the rate for that Reset Date will be determined as if the parties had specified "SKK-BRIBOR-Reference Banks" as the applicable Floating Rate Option.</w:t>
      </w:r>
    </w:p>
    <w:p>
      <w:pPr>
        <w:pStyle w:val="Normal"/>
        <w:ind w:start="720" w:end="0"/>
        <w:jc w:val="start"/>
        <w:rPr/>
      </w:pPr>
      <w:r>
        <w:rPr/>
      </w:r>
    </w:p>
    <w:p>
      <w:pPr>
        <w:pStyle w:val="Normal"/>
        <w:ind w:firstLine="720" w:start="720" w:end="0"/>
        <w:rPr/>
      </w:pPr>
      <w:r>
        <w:rPr/>
        <w:t>(ii)</w:t>
        <w:tab/>
        <w:t>"SKK-BRIBOR-Bloomberg" means that the rate for a Reset Date will be the rate for deposits in Slovak Korunas for a period of the Designated Maturity which appears on the Bloomberg Screen MMR Slovakia Page 2 under the heading "LAST" as of 11:00 a.m., Bratislava time, on the day that is two Bratislava and</w:t>
      </w:r>
      <w:r>
        <w:rPr>
          <w:b/>
          <w:i/>
        </w:rPr>
        <w:t xml:space="preserve"> </w:t>
      </w:r>
      <w:r>
        <w:rPr/>
        <w:t xml:space="preserve">London Banking Days preceding that Reset Date.  If such rate does not appear on the Bloomberg Screen MMR Slovakia Page 2, the rate for that Reset Date will be determined as if the parties had specified "SKK-BRIBOR-Reference Banks" as the applicable Floating Rate Option. </w:t>
      </w:r>
    </w:p>
    <w:p>
      <w:pPr>
        <w:pStyle w:val="Normal"/>
        <w:ind w:start="720" w:end="0"/>
        <w:jc w:val="start"/>
        <w:rPr/>
      </w:pPr>
      <w:r>
        <w:rPr/>
      </w:r>
    </w:p>
    <w:p>
      <w:pPr>
        <w:pStyle w:val="Normal"/>
        <w:ind w:firstLine="720" w:start="720" w:end="0"/>
        <w:rPr/>
      </w:pPr>
      <w:r>
        <w:rPr/>
        <w:t>(iii)</w:t>
        <w:tab/>
        <w:t>"SKK-BRIBOR-Reference Banks" means that the rate for a Reset Date will be determined on the basis of the rates at which deposits in Slovak Korunas are offered by the Reference Banks at approximately 11:00 a.m., Bratislava time, on the day that is two Bratislava and London Banking Days preceding that Reset Date to prime banks in the Bratislava interbank market for a period of the Designated Maturity commencing on that Reset Date and in a Representative Amount.  The Calculation Agent will request the principal Bratislava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Bratislava, selected by the Calculation Agent, at approximately 11:00 a.m., Bratislava time, on that Reset Date for loans in Slovak Korunas to leading European banks for a period of the Designated Maturity commencing on that Reset Date and in a Representative Amount.</w:t>
      </w:r>
    </w:p>
    <w:p>
      <w:pPr>
        <w:pStyle w:val="Normal"/>
        <w:tabs>
          <w:tab w:val="left" w:pos="720" w:leader="none"/>
        </w:tabs>
        <w:rPr/>
      </w:pPr>
      <w:r>
        <w:rPr/>
      </w:r>
    </w:p>
    <w:p>
      <w:pPr>
        <w:pStyle w:val="Normal"/>
        <w:keepNext w:val="true"/>
        <w:tabs>
          <w:tab w:val="left" w:pos="720" w:leader="none"/>
        </w:tabs>
        <w:rPr>
          <w:b/>
          <w:i/>
          <w:i/>
        </w:rPr>
      </w:pPr>
      <w:r>
        <w:rPr>
          <w:b/>
          <w:i/>
        </w:rPr>
        <w:tab/>
        <w:t>(q)</w:t>
        <w:tab/>
        <w:t>South African Rand.</w:t>
      </w:r>
    </w:p>
    <w:p>
      <w:pPr>
        <w:pStyle w:val="Normal"/>
        <w:keepNext w:val="true"/>
        <w:tabs>
          <w:tab w:val="left" w:pos="720" w:leader="none"/>
        </w:tabs>
        <w:rPr>
          <w:b/>
          <w:i/>
          <w:i/>
        </w:rPr>
      </w:pPr>
      <w:r>
        <w:rPr>
          <w:b/>
          <w:i/>
        </w:rPr>
      </w:r>
    </w:p>
    <w:p>
      <w:pPr>
        <w:pStyle w:val="Normal"/>
        <w:ind w:firstLine="720" w:start="720" w:end="0"/>
        <w:rPr/>
      </w:pPr>
      <w:r>
        <w:rPr/>
        <w:t>(i)</w:t>
        <w:tab/>
        <w:t>"ZAR-JIBAR-SAFEX" means that the rate for a Reset Date will be the agreed rate for South African Rand money market assets for a period of the Designated Maturity which appears on the Reuters Screen SAFEY Page under the caption "YIELD" as of 11:00 a.m., Johannesburg time, on that Reset Date.  If such rate does not appear on the Reuters Screen SAFEY Page, the rate for that Reset Date will be determined as if the parties had specified "ZAR-JIBAR-Reference Banks" as the applicable Floating Rate Option.</w:t>
      </w:r>
    </w:p>
    <w:p>
      <w:pPr>
        <w:pStyle w:val="Normal"/>
        <w:rPr/>
      </w:pPr>
      <w:r>
        <w:rPr/>
      </w:r>
    </w:p>
    <w:p>
      <w:pPr>
        <w:pStyle w:val="Normal"/>
        <w:ind w:firstLine="720" w:start="720" w:end="0"/>
        <w:rPr/>
      </w:pPr>
      <w:r>
        <w:rPr/>
        <w:t>(ii)</w:t>
        <w:tab/>
        <w:t>"ZAR-JIBAR-Reference Banks" means that the rate for a Reset Date will be determined on the basis of the rates for South African Rand money market assets for a period of the Designated Maturity quoted by the Reference Banks at approximately 11:00 a.m., Johannesburg time, on that Reset Date as the rates that would have been quoted to SAFEX for purposes of determining the JIBAR rate.  The Calculation Agent will request the principal Johannesburg office of each of the Reference Banks to provide a quotation of its rate.  If at least two quotations are provided, the rate for that Reset Date will be the arithmetic mean of the quotations.  If fewer than two quotations are provided, the rate for that Reset Date will be determined by the Calculation Agent, acting in a commercially reasonable manner, using a representative rate.</w:t>
      </w:r>
    </w:p>
    <w:p>
      <w:pPr>
        <w:pStyle w:val="Normal"/>
        <w:rPr/>
      </w:pPr>
      <w:r>
        <w:rPr/>
      </w:r>
    </w:p>
    <w:p>
      <w:pPr>
        <w:pStyle w:val="Normal"/>
        <w:ind w:firstLine="720" w:start="720" w:end="0"/>
        <w:rPr/>
      </w:pPr>
      <w:r>
        <w:rPr/>
        <w:t>(iii)</w:t>
        <w:tab/>
        <w:t>"ZAR-PRIME-AVERAGE" means that the rate for a Reset Date will be the South African Average Prime Rate, which appears on the Reuters Screen SAFEY Page under the caption "Average Prime Rate" as of 1:00 p.m., Johannesburg time, on that Reset Date.  If such rate does not appear on the Reuters Screen SAFEY Page, the rate for that Reset Date will be determined as if the parties had specified "ZAR-PRIME-AVERAGE-Reference Banks" as the applicable Floating Rate Option.</w:t>
      </w:r>
    </w:p>
    <w:p>
      <w:pPr>
        <w:pStyle w:val="Normal"/>
        <w:rPr/>
      </w:pPr>
      <w:r>
        <w:rPr/>
      </w:r>
    </w:p>
    <w:p>
      <w:pPr>
        <w:pStyle w:val="Normal"/>
        <w:ind w:firstLine="720" w:start="720" w:end="0"/>
        <w:rPr/>
      </w:pPr>
      <w:r>
        <w:rPr/>
        <w:t>(iv)</w:t>
        <w:tab/>
        <w:t>"ZAR-PRIME-AVERAGE-Reference Banks" means that the rate for a Reset Date will be determined on the basis of the South African Prime Rate quoted by the Reference Banks at approximately 1:00 p.m., Johannesburg time, on that Reset Date.  The Calculation Agent will request the principal Johannesburg office of each of the Reference Banks to provide a quotation of its Prime rate.  If at least two quotations are provided, the rate for that Reset Date will be the arithmetic mean of the quotations (rounded to 3 decimal places).  If fewer than two quotations are provided, the rate for that Reset Date will be determined by the Calculation Agent, acting in a commercially reasonable manner, using a representative rate.</w:t>
      </w:r>
    </w:p>
    <w:p>
      <w:pPr>
        <w:pStyle w:val="Normal"/>
        <w:rPr/>
      </w:pPr>
      <w:r>
        <w:rPr/>
      </w:r>
    </w:p>
    <w:p>
      <w:pPr>
        <w:pStyle w:val="Normal"/>
        <w:ind w:firstLine="720" w:start="720" w:end="0"/>
        <w:rPr/>
      </w:pPr>
      <w:r>
        <w:rPr/>
        <w:t>(v)</w:t>
        <w:tab/>
        <w:t>"ZAR-DEPOSIT-SAFEX" means that the rate for a Reset Date will be the South African Overnight Deposit Rate which appears on the Reuters Screen SAFEY Page under the caption "Overnight Dep. Rate" as of 1:00 p.m., Johannesburg time, on that Reset Date.  If such rate does not appear on the Reuters Screen SAFEY Page, the rate for that Reset Date will be determined as if the parties had specified "ZAR-DEPOSIT-Reference Banks" as the applicable Floating Rate Option.</w:t>
      </w:r>
    </w:p>
    <w:p>
      <w:pPr>
        <w:pStyle w:val="Normal"/>
        <w:rPr/>
      </w:pPr>
      <w:r>
        <w:rPr/>
      </w:r>
    </w:p>
    <w:p>
      <w:pPr>
        <w:pStyle w:val="Normal"/>
        <w:ind w:firstLine="720" w:start="720" w:end="0"/>
        <w:rPr/>
      </w:pPr>
      <w:r>
        <w:rPr/>
        <w:t>(vi)</w:t>
        <w:tab/>
        <w:t>"ZAR-DEPOSIT-Reference Banks" means that the rate for a Reset Date will be determined on the basis of the South African Overnight Deposit Rate quoted by the Reference Banks at approximately 1:00 p.m., Johannesburg time, on that Reset Date.  The Calculation Agent will request the principal Johannesburg office of each of the Reference Banks to provide a quotation of its overnight deposit rate.  If at least two quotations are provided, the rate for that Reset Date will be the arithmetic mean of the quotations (rounded to 3 decimal places).  If fewer than two quotations are provided, the rate for that Reset Date will be determined by the Calculation Agent, acting in a commercially reasonable manner, using a representative rate.</w:t>
      </w:r>
    </w:p>
    <w:p>
      <w:pPr>
        <w:pStyle w:val="Normal"/>
        <w:ind w:firstLine="720" w:start="720" w:end="0"/>
        <w:rPr/>
      </w:pPr>
      <w:r>
        <w:rPr/>
      </w:r>
    </w:p>
    <w:p>
      <w:pPr>
        <w:pStyle w:val="Normal"/>
        <w:keepNext w:val="true"/>
        <w:ind w:firstLine="720" w:end="0"/>
        <w:rPr>
          <w:b/>
          <w:i/>
          <w:i/>
        </w:rPr>
      </w:pPr>
      <w:r>
        <w:rPr>
          <w:b/>
          <w:i/>
        </w:rPr>
        <w:t>(r)</w:t>
        <w:tab/>
        <w:t>Sterling.</w:t>
      </w:r>
    </w:p>
    <w:p>
      <w:pPr>
        <w:pStyle w:val="Normal"/>
        <w:keepNext w:val="true"/>
        <w:ind w:hanging="720" w:start="720" w:end="0"/>
        <w:rPr>
          <w:b/>
          <w:i/>
          <w:i/>
        </w:rPr>
      </w:pPr>
      <w:r>
        <w:rPr>
          <w:b/>
          <w:i/>
        </w:rPr>
      </w:r>
    </w:p>
    <w:p>
      <w:pPr>
        <w:pStyle w:val="Normal"/>
        <w:ind w:firstLine="720" w:start="720" w:end="0"/>
        <w:rPr/>
      </w:pPr>
      <w:r>
        <w:rPr/>
        <w:t>(i)</w:t>
        <w:tab/>
        <w:t>"GBP-LIBOR-ISDA" means that the rate for a Reset Date will be the rate for deposits in Sterling for a period of the Designated Maturity which appears on the Reuters Screen ISDA Page as of 11:00 a.m., London time, on that Reset Date.  If such rate does not appear on the Reuters Screen ISDA Page, the rate for that Reset Date will be determined as if the parties had specified "GBP-LIBOR-Reference Banks" as the applicable Floating Rate Option.</w:t>
      </w:r>
    </w:p>
    <w:p>
      <w:pPr>
        <w:pStyle w:val="Normal"/>
        <w:ind w:hanging="720" w:start="720" w:end="0"/>
        <w:rPr/>
      </w:pPr>
      <w:r>
        <w:rPr/>
      </w:r>
    </w:p>
    <w:p>
      <w:pPr>
        <w:pStyle w:val="Normal"/>
        <w:ind w:firstLine="720" w:start="720" w:end="0"/>
        <w:rPr/>
      </w:pPr>
      <w:r>
        <w:rPr/>
        <w:t>(ii)</w:t>
        <w:tab/>
        <w:t>"GBP-LIBOR-BBA" means that the rate for a Reset Date will be the rate for deposits in Sterling for a period of the Designated Maturity which appears on the Telerate Page 3750 as of 11:00 a.m., London time, on that Reset Date.  If such rate does not appear on the Telerate Page 3750, the rate for that Reset Date will be determined as if the parties had specified "GBP-LIBOR-Reference Banks" as the applicable Floating Rate Option.</w:t>
      </w:r>
    </w:p>
    <w:p>
      <w:pPr>
        <w:pStyle w:val="Normal"/>
        <w:rPr/>
      </w:pPr>
      <w:r>
        <w:rPr/>
      </w:r>
    </w:p>
    <w:p>
      <w:pPr>
        <w:pStyle w:val="Normal"/>
        <w:ind w:firstLine="720" w:start="720" w:end="0"/>
        <w:rPr/>
      </w:pPr>
      <w:r>
        <w:rPr/>
        <w:t>(iii)</w:t>
        <w:tab/>
        <w:t>"GBP-LIBOR-Reference Banks" means that the rate for a Reset Date will be determined on the basis of the rates at which deposits in Sterling are offered by the Reference Banks at approximately 11:00 a.m., London time, on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London, selected by the Calculation Agent, at approximately 11:00 a.m., London time, on that Reset Date for loans in Sterling to leading European banks for a period of the Designated Maturity commencing on that Reset Date and in a Representative Amount.</w:t>
      </w:r>
    </w:p>
    <w:p>
      <w:pPr>
        <w:pStyle w:val="Normal"/>
        <w:rPr/>
      </w:pPr>
      <w:r>
        <w:rPr/>
      </w:r>
    </w:p>
    <w:p>
      <w:pPr>
        <w:pStyle w:val="Normal"/>
        <w:ind w:firstLine="720" w:start="720" w:end="0"/>
        <w:rPr/>
      </w:pPr>
      <w:r>
        <w:rPr/>
        <w:t>(iv)</w:t>
        <w:tab/>
        <w:t>"GBP-Semi-Annual Swap Rate" means that the rate for a Reset Date will be the semi-annual swap rate for Sterling swap transactions with a maturity of the Designated Maturity, expressed as a percentage, which appears on the Telerate Page 42279 under the heading "MEAN" as of 11:00 a.m., London time, on that Reset Date.  If such rate does not appear on the Telerate Page 42279, the rate for that Reset Date will be determined as if the parties had specified "GBP-Semi-Annual Swap Rate-Reference Banks" as the applicable Floating Rate Option.</w:t>
      </w:r>
    </w:p>
    <w:p>
      <w:pPr>
        <w:pStyle w:val="Normal"/>
        <w:ind w:hanging="720" w:start="720" w:end="0"/>
        <w:rPr/>
      </w:pPr>
      <w:r>
        <w:rPr/>
      </w:r>
    </w:p>
    <w:p>
      <w:pPr>
        <w:pStyle w:val="Normal"/>
        <w:ind w:firstLine="720" w:start="720" w:end="0"/>
        <w:rPr/>
      </w:pPr>
      <w:r>
        <w:rPr/>
        <w:t>(v)</w:t>
        <w:tab/>
        <w:t>"GBP-Semi-Annual Swap Rate-Reference Banks" means that the rate for a Reset Date will be a percentage determined by the Reference Banks on the basis of the mid-market semi-annual swap rate quotations provided by the Reference Banks at approximately 11:00 a.m., London time, on that Reset Date, and, for this purpose, the mid-market semi-annual swap rate means the mean of the bid and offered rates for the semi-annual fixed leg of a fixed-for-floating Sterling interest rate swap transaction with a term equal to the Designated Maturity commencing on that Reset Date and in a Representative Amount with an acknowledged dealer of good credit in the swap market, where the floating leg is equivalent: (A) if the Designated Maturity is greater than one year,</w:t>
      </w:r>
      <w:r>
        <w:rPr>
          <w:b/>
        </w:rPr>
        <w:t xml:space="preserve"> </w:t>
      </w:r>
      <w:r>
        <w:rPr/>
        <w:t>to GBP-LIBOR-BBA with a Designated Maturity of six months on an Actual/365 (Fixed) day count basis or (B) if the Designated Maturity is one year or less, to GBP-LIBOR-BBA with a Designated Maturity of three months on an Actual/365 (Fixed) day count basis.  The Calculation Agent will request the principal London office of each of the Reference Banks to provide a quotation of its rate.  If at least three quotations are provided, the rate for that Reset Date will be the arithmetic mean of the quotations, eliminating the highest quotation (or, in the event of equality, one of the highest) and the lowest quotation (or, in the event of equality, one of the lowest).</w:t>
      </w:r>
    </w:p>
    <w:p>
      <w:pPr>
        <w:pStyle w:val="Normal"/>
        <w:rPr/>
      </w:pPr>
      <w:r>
        <w:rPr/>
      </w:r>
    </w:p>
    <w:p>
      <w:pPr>
        <w:pStyle w:val="Normal"/>
        <w:ind w:firstLine="720" w:start="720" w:end="0"/>
        <w:rPr/>
      </w:pPr>
      <w:r>
        <w:rPr/>
        <w:t>(vi)</w:t>
        <w:tab/>
        <w:t>"GBP-WMBA-SONIA" means that the rate for a Reset Date calculated in accordance with the formula set forth below in this clause, will be the rate of return of a daily compound interest investment (it being understood that the reference rate for the calculation of interest is the Sterling daily overnight reference rate).</w:t>
      </w:r>
    </w:p>
    <w:p>
      <w:pPr>
        <w:pStyle w:val="Normal"/>
        <w:rPr/>
      </w:pPr>
      <w:r>
        <w:rPr/>
      </w:r>
    </w:p>
    <w:p>
      <w:pPr>
        <w:pStyle w:val="Normal"/>
        <w:ind w:firstLine="720" w:start="720" w:end="0"/>
        <w:rPr/>
      </w:pPr>
      <w:r>
        <w:rPr/>
        <w:t>"GBP-WMBA-SONIA" shall be calculated as follows:</w:t>
      </w:r>
    </w:p>
    <w:p>
      <w:pPr>
        <w:pStyle w:val="Normal"/>
        <w:rPr/>
      </w:pPr>
      <w:r>
        <w:rPr/>
      </w:r>
    </w:p>
    <w:p>
      <w:pPr>
        <w:pStyle w:val="Normal"/>
        <w:ind w:firstLine="720" w:start="2880" w:end="0"/>
        <w:rPr>
          <w:sz w:val="20"/>
        </w:rPr>
      </w:pPr>
      <w:r>
        <w:rPr>
          <w:sz w:val="20"/>
        </w:rPr>
      </w:r>
      <m:oMathPara xmlns:m="http://schemas.openxmlformats.org/officeDocument/2006/math">
        <m:oMathParaPr>
          <m:jc m:val="left"/>
        </m:oMathParaPr>
        <m:oMath>
          <m:d>
            <m:dPr>
              <m:begChr m:val="["/>
              <m:endChr m:val="]"/>
            </m:dPr>
            <m:e>
              <m:limLow>
                <m:e>
                  <m:limUpp>
                    <m:e>
                      <m:r>
                        <m:rPr>
                          <m:lit/>
                          <m:nor/>
                        </m:rPr>
                        <m:t xml:space="preserve">II</m:t>
                      </m:r>
                    </m:e>
                    <m:lim>
                      <m:r>
                        <m:t xml:space="preserve">n</m:t>
                      </m:r>
                    </m:lim>
                  </m:limUpp>
                </m:e>
                <m:lim>
                  <m:r>
                    <m:t xml:space="preserve">i</m:t>
                  </m:r>
                  <m:r>
                    <m:t xml:space="preserve">=</m:t>
                  </m:r>
                  <m:r>
                    <m:t xml:space="preserve">1</m:t>
                  </m:r>
                </m:lim>
              </m:limLow>
              <m:r>
                <m:t xml:space="preserve"></m:t>
              </m:r>
              <m:d>
                <m:dPr>
                  <m:begChr m:val="("/>
                  <m:endChr m:val=")"/>
                </m:dPr>
                <m:e>
                  <m:r>
                    <m:t xml:space="preserve">1</m:t>
                  </m:r>
                  <m:r>
                    <m:t xml:space="preserve"></m:t>
                  </m:r>
                  <m:r>
                    <m:t xml:space="preserve">+</m:t>
                  </m:r>
                  <m:r>
                    <m:t xml:space="preserve"></m:t>
                  </m:r>
                  <m:f>
                    <m:num>
                      <m:r>
                        <m:rPr>
                          <m:lit/>
                          <m:nor/>
                        </m:rPr>
                        <m:t xml:space="preserve">SONIA</m:t>
                      </m:r>
                      <m:r>
                        <m:t xml:space="preserve">i</m:t>
                      </m:r>
                      <m:r>
                        <m:rPr>
                          <m:lit/>
                          <m:nor/>
                        </m:rPr>
                        <m:t xml:space="preserve"></m:t>
                      </m:r>
                      <m:r>
                        <m:t xml:space="preserve">×</m:t>
                      </m:r>
                      <m:r>
                        <m:t xml:space="preserve"></m:t>
                      </m:r>
                      <m:r>
                        <m:t xml:space="preserve">G</m:t>
                      </m:r>
                      <m:r>
                        <m:t xml:space="preserve">i</m:t>
                      </m:r>
                    </m:num>
                    <m:den>
                      <m:r>
                        <m:rPr>
                          <m:lit/>
                          <m:nor/>
                        </m:rPr>
                        <m:t xml:space="preserve">365</m:t>
                      </m:r>
                    </m:den>
                  </m:f>
                </m:e>
              </m:d>
              <m:r>
                <m:t xml:space="preserve"> </m:t>
              </m:r>
              <m:r>
                <m:t xml:space="preserve">−</m:t>
              </m:r>
              <m:r>
                <m:t xml:space="preserve"> </m:t>
              </m:r>
              <m:r>
                <m:t xml:space="preserve">1</m:t>
              </m:r>
            </m:e>
          </m:d>
          <m:r>
            <m:rPr>
              <m:lit/>
              <m:nor/>
            </m:rPr>
            <m:t xml:space="preserve"></m:t>
          </m:r>
          <m:r>
            <m:t xml:space="preserve">×</m:t>
          </m:r>
          <m:r>
            <m:t xml:space="preserve"></m:t>
          </m:r>
          <m:f>
            <m:num>
              <m:r>
                <m:rPr>
                  <m:lit/>
                  <m:nor/>
                </m:rPr>
                <m:t xml:space="preserve">365</m:t>
              </m:r>
            </m:num>
            <m:den>
              <m:r>
                <m:rPr>
                  <m:lit/>
                  <m:nor/>
                </m:rPr>
                <m:t xml:space="preserve">CG</m:t>
              </m:r>
            </m:den>
          </m:f>
        </m:oMath>
      </m:oMathPara>
    </w:p>
    <w:p>
      <w:pPr>
        <w:pStyle w:val="Normal"/>
        <w:rPr/>
      </w:pPr>
      <w:r>
        <w:rPr/>
      </w:r>
    </w:p>
    <w:p>
      <w:pPr>
        <w:pStyle w:val="Normal"/>
        <w:keepNext w:val="true"/>
        <w:ind w:firstLine="720" w:start="720" w:end="0"/>
        <w:rPr/>
      </w:pPr>
      <w:r>
        <w:rPr/>
        <w:t>where:</w:t>
      </w:r>
    </w:p>
    <w:p>
      <w:pPr>
        <w:pStyle w:val="Normal"/>
        <w:keepNext w:val="true"/>
        <w:ind w:start="720" w:end="0"/>
        <w:rPr/>
      </w:pPr>
      <w:r>
        <w:rPr/>
      </w:r>
    </w:p>
    <w:p>
      <w:pPr>
        <w:pStyle w:val="Normal"/>
        <w:ind w:firstLine="720" w:start="1440" w:end="0"/>
        <w:rPr/>
      </w:pPr>
      <w:r>
        <w:rPr/>
        <w:t>"n", for any Calculation Period, is the number of London Banking Days in the relevant Calculation Period;</w:t>
      </w:r>
    </w:p>
    <w:p>
      <w:pPr>
        <w:pStyle w:val="Normal"/>
        <w:ind w:start="720" w:end="0"/>
        <w:rPr/>
      </w:pPr>
      <w:r>
        <w:rPr/>
      </w:r>
    </w:p>
    <w:p>
      <w:pPr>
        <w:pStyle w:val="Normal"/>
        <w:ind w:firstLine="720" w:start="1440" w:end="0"/>
        <w:rPr/>
      </w:pPr>
      <w:r>
        <w:rPr/>
        <w:t>"i", is a series of whole numbers from one to CG each representing the relevant London Banking Days in chronological order from and including the first such day in the relevant Calculation Period;</w:t>
      </w:r>
    </w:p>
    <w:p>
      <w:pPr>
        <w:pStyle w:val="Normal"/>
        <w:ind w:start="720" w:end="0"/>
        <w:rPr/>
      </w:pPr>
      <w:r>
        <w:rPr/>
      </w:r>
    </w:p>
    <w:p>
      <w:pPr>
        <w:pStyle w:val="Normal"/>
        <w:ind w:firstLine="720" w:start="1440" w:end="0"/>
        <w:rPr>
          <w:b/>
          <w:i/>
          <w:i/>
        </w:rPr>
      </w:pPr>
      <w:r>
        <w:rPr/>
        <w:t>"SONIA</w:t>
      </w:r>
      <w:r>
        <w:rPr>
          <w:vertAlign w:val="subscript"/>
        </w:rPr>
        <w:t>i</w:t>
      </w:r>
      <w:r>
        <w:rPr/>
        <w:t>" for any day "i" in the relevant Calculation Period is a reference rate equal to the overnight rate as calculated by the Wholesale Market Brokers Association which appears on the Telerate Page 3937 under the heading "Sterling Overnight Index"</w:t>
      </w:r>
      <w:r>
        <w:rPr>
          <w:b/>
          <w:i/>
        </w:rPr>
        <w:t xml:space="preserve"> </w:t>
      </w:r>
      <w:r>
        <w:rPr/>
        <w:t>in respect of that day;</w:t>
      </w:r>
    </w:p>
    <w:p>
      <w:pPr>
        <w:pStyle w:val="Normal"/>
        <w:ind w:start="720" w:end="0"/>
        <w:rPr>
          <w:b/>
          <w:i/>
          <w:i/>
        </w:rPr>
      </w:pPr>
      <w:r>
        <w:rPr>
          <w:b/>
          <w:i/>
        </w:rPr>
      </w:r>
    </w:p>
    <w:p>
      <w:pPr>
        <w:pStyle w:val="Normal"/>
        <w:ind w:firstLine="720" w:start="1440" w:end="0"/>
        <w:rPr/>
      </w:pPr>
      <w:r>
        <w:rPr/>
        <w:t>"G</w:t>
      </w:r>
      <w:r>
        <w:rPr>
          <w:vertAlign w:val="subscript"/>
        </w:rPr>
        <w:t>i</w:t>
      </w:r>
      <w:r>
        <w:rPr/>
        <w:t>", is the number of days on which the rate is "SONIA</w:t>
      </w:r>
      <w:r>
        <w:rPr>
          <w:vertAlign w:val="subscript"/>
        </w:rPr>
        <w:t>i</w:t>
      </w:r>
      <w:r>
        <w:rPr/>
        <w:t>"; and</w:t>
      </w:r>
    </w:p>
    <w:p>
      <w:pPr>
        <w:pStyle w:val="Normal"/>
        <w:ind w:start="720" w:end="0"/>
        <w:rPr/>
      </w:pPr>
      <w:r>
        <w:rPr/>
      </w:r>
    </w:p>
    <w:p>
      <w:pPr>
        <w:pStyle w:val="Normal"/>
        <w:ind w:firstLine="720" w:start="1440" w:end="0"/>
        <w:rPr/>
      </w:pPr>
      <w:r>
        <w:rPr/>
        <w:t>"CG", is the number of days in the Calculation Period.</w:t>
      </w:r>
    </w:p>
    <w:p>
      <w:pPr>
        <w:pStyle w:val="Normal"/>
        <w:ind w:start="720" w:end="0"/>
        <w:rPr/>
      </w:pPr>
      <w:r>
        <w:rPr/>
      </w:r>
    </w:p>
    <w:p>
      <w:pPr>
        <w:pStyle w:val="Normal"/>
        <w:keepNext w:val="true"/>
        <w:ind w:start="720" w:end="0"/>
        <w:rPr>
          <w:b/>
          <w:i/>
          <w:i/>
        </w:rPr>
      </w:pPr>
      <w:r>
        <w:rPr>
          <w:b/>
          <w:i/>
        </w:rPr>
        <w:t>(s)</w:t>
        <w:tab/>
        <w:t>Swedish Krona.</w:t>
      </w:r>
    </w:p>
    <w:p>
      <w:pPr>
        <w:pStyle w:val="Normal"/>
        <w:keepNext w:val="true"/>
        <w:ind w:hanging="720" w:start="720" w:end="0"/>
        <w:rPr>
          <w:b/>
          <w:i/>
          <w:i/>
        </w:rPr>
      </w:pPr>
      <w:r>
        <w:rPr>
          <w:b/>
          <w:i/>
        </w:rPr>
      </w:r>
    </w:p>
    <w:p>
      <w:pPr>
        <w:pStyle w:val="Normal"/>
        <w:ind w:firstLine="720" w:start="720" w:end="0"/>
        <w:rPr/>
      </w:pPr>
      <w:r>
        <w:rPr/>
        <w:t>(i)</w:t>
        <w:tab/>
        <w:t>"SEK-STIBOR-SIDE" means that the rate for a Reset Date will be the rate for deposits in Swedish Kronor for a period of the Designated Maturity which appears on the Reuters Screen SIDE Page under the caption "FIXINGS" as of 11:00 a.m., Stockholm time, on the day that is two Stockholm Banking Days preceding that Reset Date.  If such rate does not appear on the Reuters Screen SIDE Page, the rate for that Reset Date will be determined as if the parties had specified "SEK-STIBOR-Reference Banks" as the applicable Floating Rate Option.</w:t>
      </w:r>
    </w:p>
    <w:p>
      <w:pPr>
        <w:pStyle w:val="Normal"/>
        <w:ind w:hanging="720" w:start="720" w:end="0"/>
        <w:rPr/>
      </w:pPr>
      <w:r>
        <w:rPr/>
      </w:r>
    </w:p>
    <w:p>
      <w:pPr>
        <w:pStyle w:val="Normal"/>
        <w:ind w:firstLine="720" w:start="720" w:end="0"/>
        <w:rPr/>
      </w:pPr>
      <w:r>
        <w:rPr/>
        <w:t>(ii)</w:t>
        <w:tab/>
        <w:t>"SEK-STIBOR-Reference Banks" means that the rate for a Reset Date will be determined on the basis of the rates at which deposits in Swedish Kronor are offered by the Reference Banks at approximately 11:00 a.m., Stockholm time, on the day that is two Stockholm Banking Days preceding that Reset Date to prime banks in the Stockholm interbank market for a period of the Designated Maturity commencing on that Reset Date and in a Representative Amount.  The Calculation Agent will request the principal Stockholm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Stockholm, selected by the Calculation Agent, at approximately 11:00 a.m., Stockholm time, on that Reset Date for loans in Swedish Kronor to leading European banks for a period of the Designated Maturity commencing on that Reset Date and in a Representative Amount.</w:t>
      </w:r>
    </w:p>
    <w:p>
      <w:pPr>
        <w:pStyle w:val="Normal"/>
        <w:ind w:firstLine="720" w:start="720" w:end="0"/>
        <w:rPr/>
      </w:pPr>
      <w:r>
        <w:rPr/>
      </w:r>
    </w:p>
    <w:p>
      <w:pPr>
        <w:pStyle w:val="Normal"/>
        <w:keepNext w:val="true"/>
        <w:ind w:firstLine="720" w:end="0"/>
        <w:rPr>
          <w:b/>
          <w:i/>
          <w:i/>
        </w:rPr>
      </w:pPr>
      <w:r>
        <w:rPr>
          <w:b/>
          <w:i/>
        </w:rPr>
        <w:t>(t)</w:t>
        <w:tab/>
        <w:t>Swiss Franc.</w:t>
      </w:r>
    </w:p>
    <w:p>
      <w:pPr>
        <w:pStyle w:val="Normal"/>
        <w:keepNext w:val="true"/>
        <w:ind w:hanging="720" w:start="720" w:end="0"/>
        <w:rPr>
          <w:b/>
          <w:i/>
          <w:i/>
        </w:rPr>
      </w:pPr>
      <w:r>
        <w:rPr>
          <w:b/>
          <w:i/>
        </w:rPr>
      </w:r>
    </w:p>
    <w:p>
      <w:pPr>
        <w:pStyle w:val="Normal"/>
        <w:ind w:firstLine="720" w:start="720" w:end="0"/>
        <w:rPr/>
      </w:pPr>
      <w:r>
        <w:rPr/>
        <w:t>(i)</w:t>
        <w:tab/>
        <w:t>"CHF-LIBOR-ISDA" means that the rate for a Reset Date will be the rate for deposits in Swiss Francs for a period of the Designated Maturity which appears on the Reuters Screen ISDA Page as of 11:00 a.m., London time, on the day that is two London Banking Days preceding that Reset Date.  If such rate does not appear on the Reuters Screen ISDA Page, the rate for that Reset Date will be determined as if the parties had specified "CHF-LIBOR-Reference Banks" as the applicable Floating Rate Option.</w:t>
      </w:r>
    </w:p>
    <w:p>
      <w:pPr>
        <w:pStyle w:val="Normal"/>
        <w:ind w:hanging="720" w:start="720" w:end="0"/>
        <w:rPr/>
      </w:pPr>
      <w:r>
        <w:rPr/>
      </w:r>
    </w:p>
    <w:p>
      <w:pPr>
        <w:pStyle w:val="Normal"/>
        <w:ind w:firstLine="720" w:start="720" w:end="0"/>
        <w:rPr/>
      </w:pPr>
      <w:r>
        <w:rPr/>
        <w:t>(ii)</w:t>
        <w:tab/>
        <w:t>"CHF-LIBOR-BBA" means that the rate for a Reset Date will be the rate for deposits in Swiss Francs for a period of the Designated Maturity which appears on the Telerate Page 3750 as of 11:00 a.m., London time, on the day that is two London Banking Days preceding that Reset Date.  If such rate does not appear on the Telerate Page 3750, the rate for that Reset Date will be determined as if the parties had specified "CHF-LIBOR-Reference Banks" as the applicable Floating Rate Option.</w:t>
      </w:r>
    </w:p>
    <w:p>
      <w:pPr>
        <w:pStyle w:val="Normal"/>
        <w:ind w:hanging="720" w:start="720" w:end="0"/>
        <w:rPr/>
      </w:pPr>
      <w:r>
        <w:rPr/>
      </w:r>
    </w:p>
    <w:p>
      <w:pPr>
        <w:pStyle w:val="Normal"/>
        <w:ind w:firstLine="720" w:start="720" w:end="0"/>
        <w:rPr/>
      </w:pPr>
      <w:r>
        <w:rPr/>
        <w:t>(iii)</w:t>
        <w:tab/>
        <w:t>"CHF-LIBOR-Reference Banks" means that the rate for a Reset Date will be determined on the basis of the rates at which deposits in Swiss Francs are offered by the Reference Banks at approximately 11:00 a.m., London time, on the day that is two London Banking Days preceding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quotations are provided, the rate for that Reset Date will be the arithmetic mean of the quotations.  If fewer than two quotations are provided as requested, the rate for that Reset Date will be the arithmetic mean of the rates quoted by major banks in Zurich, selected by the Calculation Agent, at approximately 11:00 a.m., Zurich time, on that Reset Date for loans in Swiss Francs to leading European banks for a period of the Designated Maturity commencing on that Reset Date and in a Representative Amount.</w:t>
      </w:r>
    </w:p>
    <w:p>
      <w:pPr>
        <w:pStyle w:val="Normal"/>
        <w:rPr/>
      </w:pPr>
      <w:r>
        <w:rPr/>
      </w:r>
    </w:p>
    <w:p>
      <w:pPr>
        <w:pStyle w:val="Normal"/>
        <w:ind w:firstLine="720" w:start="720" w:end="0"/>
        <w:rPr/>
      </w:pPr>
      <w:r>
        <w:rPr/>
        <w:t>(iv)</w:t>
        <w:tab/>
        <w:t xml:space="preserve">"CHF-Annual Swap Rate" means that the rate for a Reset Date will be the annual swap rate for Swiss Franc swap transactions with a maturity of the Designated Maturity expressed as a percentage which appears on the Telerate Page 42282 under the heading "MEAN" as of 11:00 a.m., London time, on the day that is two London Banking Days preceding that Reset Date.  If such rate does not appear on the Telerate Page 42282, the rate for that Reset Date will be determined as if the parties had specified "CHF-Annual Swap Rate-Reference Banks" as the applicable Floating Rate Option. </w:t>
      </w:r>
    </w:p>
    <w:p>
      <w:pPr>
        <w:pStyle w:val="Normal"/>
        <w:ind w:hanging="720" w:start="720" w:end="0"/>
        <w:rPr/>
      </w:pPr>
      <w:r>
        <w:rPr/>
      </w:r>
    </w:p>
    <w:p>
      <w:pPr>
        <w:pStyle w:val="Normal"/>
        <w:ind w:firstLine="720" w:start="720" w:end="0"/>
        <w:rPr/>
      </w:pPr>
      <w:r>
        <w:rPr/>
        <w:t>(v)</w:t>
        <w:tab/>
        <w:t>"CHF-Annual Swap Rate-Reference Banks" means that the rate for a Reset Date will be a percentage determined on the basis of the mid-market annual swap rate quotations provided by the Reference Banks at approximately 11:00 a.m., London time, on the day that is two London Banking Days preceding that Reset Date, and, for this purpose, the mid-market annual swap rate means the mean of the bid and offered rates for the annual fixed leg of a fixed-for-floating Swiss Franc interest rate swap transaction with a term equal to the Designated Maturity commencing on that Reset Date and in a Representative Amount with an acknowledged dealer of good credit in the swap market where the floating leg is equivalent to CHF-LIBOR-BBA with a Designated Maturity of six months on a 30/360 day count basis.  The Calculation Agent will request the principal office of each of the Reference Banks to provide a quotation of its rate.  If at least three quotations are provided, the rate for that Reset Date will be the arithmetic mean of the quotations, eliminating the highest quotation (or, in the event of equality, one of the highest) and the lowest quotation (or, in the event of equality, one of the lowest).</w:t>
      </w:r>
    </w:p>
    <w:p>
      <w:pPr>
        <w:pStyle w:val="Normal"/>
        <w:tabs>
          <w:tab w:val="left" w:pos="720" w:leader="none"/>
        </w:tabs>
        <w:ind w:hanging="1440" w:start="1440" w:end="0"/>
        <w:rPr>
          <w:b/>
        </w:rPr>
      </w:pPr>
      <w:r>
        <w:rPr>
          <w:b/>
        </w:rPr>
      </w:r>
    </w:p>
    <w:p>
      <w:pPr>
        <w:pStyle w:val="Normal"/>
        <w:keepNext w:val="true"/>
        <w:tabs>
          <w:tab w:val="left" w:pos="720" w:leader="none"/>
        </w:tabs>
        <w:ind w:hanging="1440" w:start="1440" w:end="0"/>
        <w:rPr/>
      </w:pPr>
      <w:r>
        <w:rPr>
          <w:b/>
          <w:i/>
        </w:rPr>
        <w:tab/>
        <w:t>(u)</w:t>
      </w:r>
      <w:r>
        <w:rPr/>
        <w:tab/>
      </w:r>
      <w:r>
        <w:rPr>
          <w:b/>
          <w:i/>
        </w:rPr>
        <w:t>Thai Baht</w:t>
      </w:r>
      <w:r>
        <w:rPr>
          <w:b/>
        </w:rPr>
        <w:t>.</w:t>
      </w:r>
    </w:p>
    <w:p>
      <w:pPr>
        <w:pStyle w:val="Normal"/>
        <w:keepNext w:val="true"/>
        <w:tabs>
          <w:tab w:val="left" w:pos="720" w:leader="none"/>
        </w:tabs>
        <w:ind w:hanging="1440" w:start="1440" w:end="0"/>
        <w:rPr>
          <w:b/>
        </w:rPr>
      </w:pPr>
      <w:r>
        <w:rPr>
          <w:b/>
        </w:rPr>
      </w:r>
    </w:p>
    <w:p>
      <w:pPr>
        <w:pStyle w:val="Normal"/>
        <w:ind w:firstLine="720" w:start="720" w:end="0"/>
        <w:rPr/>
      </w:pPr>
      <w:r>
        <w:rPr/>
        <w:t>(i)</w:t>
        <w:tab/>
        <w:t>"THB-SOR-Telerate" means that the rate for a Reset Date will be the synthetic rate for deposits in Thai Baht derived from the swap offered points for a period of the Designated Maturity which appears on the Telerate Page 44178 as of 11:00 a.m., Singapore time, on the day that is two Singapore Banking Days preceding that Reset Date.  If such rate does not appear on the Telerate Page 44178, the rate for that Reset Date will be determined as if the parties had specified "THB-SOR-Reference Banks" as the applicable Floating Rate Option.</w:t>
      </w:r>
    </w:p>
    <w:p>
      <w:pPr>
        <w:pStyle w:val="Normal"/>
        <w:tabs>
          <w:tab w:val="left" w:pos="720" w:leader="none"/>
        </w:tabs>
        <w:ind w:hanging="720" w:start="1440" w:end="0"/>
        <w:rPr/>
      </w:pPr>
      <w:r>
        <w:rPr/>
      </w:r>
    </w:p>
    <w:p>
      <w:pPr>
        <w:pStyle w:val="Normal"/>
        <w:ind w:firstLine="720" w:start="720" w:end="0"/>
        <w:rPr/>
      </w:pPr>
      <w:r>
        <w:rPr/>
      </w:r>
    </w:p>
    <w:p>
      <w:pPr>
        <w:pStyle w:val="Normal"/>
        <w:ind w:firstLine="720" w:start="720" w:end="0"/>
        <w:rPr/>
      </w:pPr>
      <w:r>
        <w:rPr>
          <w:color w:val="000000"/>
        </w:rPr>
        <w:t>(ii)</w:t>
        <w:tab/>
        <w:t xml:space="preserve">"THB-SOR-Reference Banks" means that the rate for a Reset Date will be determined by the Calculation Agent </w:t>
      </w:r>
      <w:r>
        <w:rPr/>
        <w:t>acting in good faith in accordance with the following formula:</w:t>
      </w:r>
    </w:p>
    <w:p>
      <w:pPr>
        <w:pStyle w:val="Normal"/>
        <w:ind w:firstLine="720" w:start="720" w:end="0"/>
        <w:rPr>
          <w:color w:val="000000"/>
        </w:rPr>
      </w:pPr>
      <w:r>
        <w:rPr>
          <w:color w:val="000000"/>
        </w:rPr>
      </w:r>
    </w:p>
    <w:p>
      <w:pPr>
        <w:pStyle w:val="Normal"/>
        <w:ind w:firstLine="720" w:end="0"/>
        <w:jc w:val="center"/>
        <w:rPr/>
      </w:pPr>
      <w:r>
        <w:rPr/>
      </w:r>
      <m:oMathPara xmlns:m="http://schemas.openxmlformats.org/officeDocument/2006/math">
        <m:oMathParaPr>
          <m:jc m:val="center"/>
        </m:oMathParaPr>
        <m:oMath>
          <m:d>
            <m:dPr>
              <m:begChr m:val="{"/>
              <m:endChr m:val="}"/>
            </m:dPr>
            <m:e>
              <m:d>
                <m:dPr>
                  <m:begChr m:val="["/>
                  <m:endChr m:val="]"/>
                </m:dPr>
                <m:e>
                  <m:d>
                    <m:dPr>
                      <m:begChr m:val="("/>
                      <m:endChr m:val=")"/>
                    </m:dPr>
                    <m:e>
                      <m:f>
                        <m:num>
                          <m:r>
                            <m:rPr>
                              <m:lit/>
                              <m:nor/>
                            </m:rPr>
                            <m:t xml:space="preserve">Spot</m:t>
                          </m:r>
                          <m:r>
                            <m:t xml:space="preserve"> </m:t>
                          </m:r>
                          <m:r>
                            <m:rPr>
                              <m:lit/>
                              <m:nor/>
                            </m:rPr>
                            <m:t xml:space="preserve">Rate</m:t>
                          </m:r>
                          <m:r>
                            <m:t xml:space="preserve"> </m:t>
                          </m:r>
                          <m:r>
                            <m:t xml:space="preserve">+</m:t>
                          </m:r>
                          <m:r>
                            <m:t xml:space="preserve"> </m:t>
                          </m:r>
                          <m:r>
                            <m:rPr>
                              <m:lit/>
                              <m:nor/>
                            </m:rPr>
                            <m:t xml:space="preserve">Forward</m:t>
                          </m:r>
                          <m:r>
                            <m:t xml:space="preserve"> </m:t>
                          </m:r>
                          <m:r>
                            <m:rPr>
                              <m:lit/>
                              <m:nor/>
                            </m:rPr>
                            <m:t xml:space="preserve">Points</m:t>
                          </m:r>
                        </m:num>
                        <m:den>
                          <m:r>
                            <m:rPr>
                              <m:lit/>
                              <m:nor/>
                            </m:rPr>
                            <m:t xml:space="preserve">Spot</m:t>
                          </m:r>
                          <m:r>
                            <m:t xml:space="preserve"> </m:t>
                          </m:r>
                          <m:r>
                            <m:rPr>
                              <m:lit/>
                              <m:nor/>
                            </m:rPr>
                            <m:t xml:space="preserve">Rate</m:t>
                          </m:r>
                        </m:den>
                      </m:f>
                    </m:e>
                  </m:d>
                  <m:r>
                    <m:t xml:space="preserve"> </m:t>
                  </m:r>
                  <m:r>
                    <m:t xml:space="preserve">×</m:t>
                  </m:r>
                  <m:r>
                    <m:t xml:space="preserve"> </m:t>
                  </m:r>
                  <m:d>
                    <m:dPr>
                      <m:begChr m:val="("/>
                      <m:endChr m:val=")"/>
                    </m:dPr>
                    <m:e>
                      <m:r>
                        <m:t xml:space="preserve">1</m:t>
                      </m:r>
                      <m:r>
                        <m:t xml:space="preserve"> </m:t>
                      </m:r>
                      <m:r>
                        <m:t xml:space="preserve">+</m:t>
                      </m:r>
                      <m:r>
                        <m:t xml:space="preserve"> </m:t>
                      </m:r>
                      <m:f>
                        <m:num>
                          <m:r>
                            <m:rPr>
                              <m:lit/>
                              <m:nor/>
                            </m:rPr>
                            <m:t xml:space="preserve">USD</m:t>
                          </m:r>
                          <m:r>
                            <m:t xml:space="preserve"> </m:t>
                          </m:r>
                          <m:r>
                            <m:rPr>
                              <m:lit/>
                              <m:nor/>
                            </m:rPr>
                            <m:t xml:space="preserve">Rate</m:t>
                          </m:r>
                          <m:r>
                            <m:t xml:space="preserve"> </m:t>
                          </m:r>
                          <m:r>
                            <m:t xml:space="preserve">×</m:t>
                          </m:r>
                          <m:r>
                            <m:t xml:space="preserve"> </m:t>
                          </m:r>
                          <m:r>
                            <m:t xml:space="preserve"> </m:t>
                          </m:r>
                          <m:r>
                            <m:rPr>
                              <m:lit/>
                              <m:nor/>
                            </m:rPr>
                            <m:t xml:space="preserve">days</m:t>
                          </m:r>
                        </m:num>
                        <m:den>
                          <m:r>
                            <m:rPr>
                              <m:lit/>
                              <m:nor/>
                            </m:rPr>
                            <m:t xml:space="preserve">360</m:t>
                          </m:r>
                        </m:den>
                      </m:f>
                    </m:e>
                    <m:e/>
                  </m:d>
                </m:e>
              </m:d>
              <m:r>
                <m:t xml:space="preserve"> </m:t>
              </m:r>
              <m:r>
                <m:t xml:space="preserve">−</m:t>
              </m:r>
              <m:r>
                <m:t xml:space="preserve">1</m:t>
              </m:r>
            </m:e>
          </m:d>
          <m:r>
            <m:t xml:space="preserve"> </m:t>
          </m:r>
          <m:r>
            <m:t xml:space="preserve">×</m:t>
          </m:r>
          <m:r>
            <m:t xml:space="preserve"> </m:t>
          </m:r>
          <m:f>
            <m:num>
              <m:r>
                <m:rPr>
                  <m:lit/>
                  <m:nor/>
                </m:rPr>
                <m:t xml:space="preserve">365</m:t>
              </m:r>
            </m:num>
            <m:den>
              <m:r>
                <m:t xml:space="preserve"> </m:t>
              </m:r>
              <m:r>
                <m:rPr>
                  <m:lit/>
                  <m:nor/>
                </m:rPr>
                <m:t xml:space="preserve">days</m:t>
              </m:r>
            </m:den>
          </m:f>
          <m:r>
            <m:t xml:space="preserve"> </m:t>
          </m:r>
          <m:r>
            <m:t xml:space="preserve">×</m:t>
          </m:r>
          <m:r>
            <m:t xml:space="preserve"> </m:t>
          </m:r>
          <m:r>
            <m:rPr>
              <m:lit/>
              <m:nor/>
            </m:rPr>
            <m:t xml:space="preserve">100</m:t>
          </m:r>
        </m:oMath>
      </m:oMathPara>
    </w:p>
    <w:p>
      <w:pPr>
        <w:pStyle w:val="Normal"/>
        <w:ind w:start="720" w:end="0"/>
        <w:rPr>
          <w:position w:val="-30"/>
        </w:rPr>
      </w:pPr>
      <w:r>
        <w:rPr>
          <w:position w:val="-30"/>
        </w:rPr>
      </w:r>
    </w:p>
    <w:p>
      <w:pPr>
        <w:pStyle w:val="Normal"/>
        <w:ind w:firstLine="720" w:start="720" w:end="0"/>
        <w:rPr>
          <w:position w:val="-30"/>
        </w:rPr>
      </w:pPr>
      <w:r>
        <w:rPr>
          <w:position w:val="-30"/>
        </w:rPr>
        <w:t>where:</w:t>
      </w:r>
    </w:p>
    <w:p>
      <w:pPr>
        <w:pStyle w:val="Normal"/>
        <w:ind w:start="720" w:end="0"/>
        <w:rPr>
          <w:position w:val="-30"/>
        </w:rPr>
      </w:pPr>
      <w:r>
        <w:rPr>
          <w:position w:val="-30"/>
        </w:rPr>
      </w:r>
    </w:p>
    <w:p>
      <w:pPr>
        <w:pStyle w:val="BodyTextIndent3"/>
        <w:ind w:firstLine="720" w:start="1440" w:end="0"/>
        <w:jc w:val="both"/>
        <w:rPr>
          <w:rFonts w:ascii="Times New Roman" w:hAnsi="Times New Roman" w:cs="Times New Roman"/>
          <w:sz w:val="22"/>
        </w:rPr>
      </w:pPr>
      <w:r>
        <w:rPr>
          <w:rFonts w:cs="Times New Roman" w:ascii="Times New Roman" w:hAnsi="Times New Roman"/>
          <w:sz w:val="22"/>
        </w:rPr>
        <w:t>"Spot Rate" means the average of the bid and offer exchange rates for the sale of THB against USD for settlement on a spot basis as determined by the Calculation Agent on the basis of bid and offer quotations obtained by the Calculation Agent from Reference Banks, as of 11:00 a.m., Singapore time, on the day that is two Singapore Banking Days preceding the relevant Reset Date or as close to such time as is reasonably practicable.  If at least three quotations are provided, the Spot Rate for that Reset Date will be the arithmetic mean of the quotations, without regard to the quotations with the highest and lowest values.  For this purpose if more than one quotation has the same highest or lowest value, then one such quotation shall be disregarded.  If exactly two quotations are provided, the Spot Rate for that Reset Date will be the arithmetic mean of the quotations.</w:t>
      </w:r>
    </w:p>
    <w:p>
      <w:pPr>
        <w:pStyle w:val="Normal"/>
        <w:ind w:start="720" w:end="0"/>
        <w:rPr>
          <w:rFonts w:ascii="Times New Roman" w:hAnsi="Times New Roman" w:cs="Times New Roman"/>
          <w:position w:val="-28"/>
          <w:sz w:val="22"/>
        </w:rPr>
      </w:pPr>
      <w:r>
        <w:rPr>
          <w:rFonts w:cs="Times New Roman"/>
          <w:position w:val="-28"/>
          <w:sz w:val="22"/>
        </w:rPr>
      </w:r>
    </w:p>
    <w:p>
      <w:pPr>
        <w:pStyle w:val="BodyTextIndent2"/>
        <w:ind w:firstLine="720" w:start="1440" w:end="0"/>
        <w:jc w:val="both"/>
        <w:rPr>
          <w:rFonts w:ascii="Times New Roman" w:hAnsi="Times New Roman" w:cs="Times New Roman"/>
        </w:rPr>
      </w:pPr>
      <w:r>
        <w:rPr>
          <w:rFonts w:cs="Times New Roman" w:ascii="Times New Roman" w:hAnsi="Times New Roman"/>
        </w:rPr>
        <w:t>"Forward Points" means the offered side of the FX forward points for the forward sale of THB against USD for settlement on the last day of a period equivalent to the Designated Maturity and commencing on the relevant Reset Date as determined by the Calculation Agent on the basis of the offered side of indicative quotations obtained by the Calculation Agent from the Reference Banks, as of 11:00 a.m., Singapore time, on the day that is two Singapore Banking Days preceding the relevant Reset Date or as close to such time as is reasonably practicable.  If at least three quotations are provided, the Forward Points for that Reset Date will be the arithmetic mean of the quotations, without regard to the quotations with the highest and lowest values.  For this purpose if more than one quotation has the same highest or lowest value, then one such quotation shall be disregarded. If exactly two quotations are provided, the Forward Points for that Reset Date shall be the arithmetic mean of the quotations.</w:t>
      </w:r>
    </w:p>
    <w:p>
      <w:pPr>
        <w:pStyle w:val="BodyTextIndent2"/>
        <w:ind w:hanging="0" w:start="720" w:end="0"/>
        <w:rPr>
          <w:rFonts w:ascii="Times New Roman" w:hAnsi="Times New Roman" w:cs="Times New Roman"/>
        </w:rPr>
      </w:pPr>
      <w:r>
        <w:rPr>
          <w:rFonts w:cs="Times New Roman" w:ascii="Times New Roman" w:hAnsi="Times New Roman"/>
        </w:rPr>
      </w:r>
    </w:p>
    <w:p>
      <w:pPr>
        <w:pStyle w:val="BodyTextIndent2"/>
        <w:ind w:firstLine="720" w:start="1440" w:end="0"/>
        <w:jc w:val="both"/>
        <w:rPr>
          <w:rFonts w:ascii="Times New Roman" w:hAnsi="Times New Roman" w:cs="Times New Roman"/>
        </w:rPr>
      </w:pPr>
      <w:r>
        <w:rPr>
          <w:rFonts w:cs="Times New Roman" w:ascii="Times New Roman" w:hAnsi="Times New Roman"/>
        </w:rPr>
        <w:t>"# days" means the actual number of days in the Calculation Period in respect of which the calculation is being made.</w:t>
      </w:r>
    </w:p>
    <w:p>
      <w:pPr>
        <w:pStyle w:val="BodyTextIndent2"/>
        <w:ind w:hanging="0" w:start="720" w:end="0"/>
        <w:rPr>
          <w:rFonts w:ascii="Times New Roman" w:hAnsi="Times New Roman" w:cs="Times New Roman"/>
        </w:rPr>
      </w:pPr>
      <w:r>
        <w:rPr>
          <w:rFonts w:cs="Times New Roman" w:ascii="Times New Roman" w:hAnsi="Times New Roman"/>
        </w:rPr>
      </w:r>
    </w:p>
    <w:p>
      <w:pPr>
        <w:pStyle w:val="BodyTextIndent2"/>
        <w:ind w:firstLine="720" w:start="1440" w:end="0"/>
        <w:jc w:val="both"/>
        <w:rPr>
          <w:rFonts w:ascii="Times New Roman" w:hAnsi="Times New Roman" w:cs="Times New Roman"/>
        </w:rPr>
      </w:pPr>
      <w:r>
        <w:rPr>
          <w:rFonts w:cs="Times New Roman" w:ascii="Times New Roman" w:hAnsi="Times New Roman"/>
        </w:rPr>
        <w:t>"USD Rate" means the rate for deposits in U.S. Dollars for a period of the Designated Maturity which appears under the heading ["USD SIBOR"] on the Telerate Page 7311 as of 11:00 a.m., Singapore time, on the day that is two Singapore Banking Days preceding the relevant Reset Date.  If such rate does not appear on the Telerate Page 7311, the USD Rate for that Reset Date will be determined as if the parties had specified ["USD-SIBOR-Reference Banks" (but omitting the final sentence of that Floating Rate Option)] as the USD Rate.</w:t>
      </w:r>
    </w:p>
    <w:p>
      <w:pPr>
        <w:pStyle w:val="Normal"/>
        <w:ind w:firstLine="720" w:start="720" w:end="0"/>
        <w:rPr>
          <w:rFonts w:ascii="Times New Roman" w:hAnsi="Times New Roman" w:cs="Times New Roman"/>
        </w:rPr>
      </w:pPr>
      <w:r>
        <w:rPr>
          <w:rFonts w:cs="Times New Roman"/>
        </w:rPr>
      </w:r>
    </w:p>
    <w:p>
      <w:pPr>
        <w:pStyle w:val="Normal"/>
        <w:ind w:firstLine="720" w:end="0"/>
        <w:rPr>
          <w:b/>
          <w:i/>
          <w:i/>
        </w:rPr>
      </w:pPr>
      <w:r>
        <w:rPr>
          <w:b/>
          <w:i/>
        </w:rPr>
        <w:t>(v)</w:t>
        <w:tab/>
        <w:t>U.S. Dollar.</w:t>
      </w:r>
    </w:p>
    <w:p>
      <w:pPr>
        <w:pStyle w:val="Normal"/>
        <w:keepNext w:val="true"/>
        <w:ind w:hanging="720" w:start="720" w:end="0"/>
        <w:rPr>
          <w:b/>
          <w:i/>
          <w:i/>
        </w:rPr>
      </w:pPr>
      <w:r>
        <w:rPr>
          <w:b/>
          <w:i/>
        </w:rPr>
      </w:r>
    </w:p>
    <w:p>
      <w:pPr>
        <w:pStyle w:val="Normal"/>
        <w:keepNext w:val="true"/>
        <w:ind w:firstLine="720" w:start="720" w:end="0"/>
        <w:rPr/>
      </w:pPr>
      <w:r>
        <w:rPr/>
        <w:t>(i)</w:t>
        <w:tab/>
        <w:t>"USD-LIBOR-ISDA" means that the rate for a Reset Date will be the rate for deposits in U.S. Dollars for a period of the Designated Maturity which appears on the Reuters Screen ISDA Page as of 11:00 a.m., London time, on the day that is two London Banking Days preceding that Reset Date.  If such rate does not appear on the Reuters Screen ISDA Page, the rate for that Reset Date will be determined as if the parties had specified "USD-LIBOR-Reference Banks" as the applicable Floating Rate Option.</w:t>
      </w:r>
    </w:p>
    <w:p>
      <w:pPr>
        <w:pStyle w:val="Normal"/>
        <w:ind w:hanging="720" w:start="720" w:end="0"/>
        <w:rPr/>
      </w:pPr>
      <w:r>
        <w:rPr/>
      </w:r>
    </w:p>
    <w:p>
      <w:pPr>
        <w:pStyle w:val="Normal"/>
        <w:ind w:firstLine="720" w:start="720" w:end="0"/>
        <w:rPr/>
      </w:pPr>
      <w:r>
        <w:rPr/>
        <w:t>(ii)</w:t>
        <w:tab/>
        <w:t>"USD-LIBOR-BBA" means that the rate for a Reset Date will be the rate for deposits in U.S. Dollars for a period of the Designated Maturity which appears on the Telerate Page 3750 as of 11:00 a.m., London time, on the day that is two London Banking Days preceding that Reset Date.  If such rate does not appear on the Telerate Page 3750, the rate for that Reset Date will be determined as if the parties had specified "USD-LIBOR-Reference Banks" as the applicable Floating Rate Option.</w:t>
      </w:r>
    </w:p>
    <w:p>
      <w:pPr>
        <w:pStyle w:val="Normal"/>
        <w:ind w:hanging="720" w:start="720" w:end="0"/>
        <w:rPr/>
      </w:pPr>
      <w:r>
        <w:rPr/>
      </w:r>
    </w:p>
    <w:p>
      <w:pPr>
        <w:pStyle w:val="Normal"/>
        <w:ind w:firstLine="720" w:start="720" w:end="0"/>
        <w:rPr/>
      </w:pPr>
      <w:r>
        <w:rPr/>
        <w:t>(iii)</w:t>
        <w:tab/>
        <w:t>"USD-LIBOR-LIBO" means that the rate for a Reset Date will be determined on the basis of the offered rates for deposits in U.S. Dollars for a period of the Designated Maturity which appear on the Reuters Screen LIBO Page as of 11:00 a.m., London time, on the day that is two London Banking Days preceding that Reset Date.  If at least two rates appear on the Reuters Screen LIBO Page, the rate for that Reset Date will be the arithmetic mean of such rates.  If fewer than two rates appear, the rate for that Reset Date will be determined as if the parties had specified "USD-LIBOR-Reference Banks" as the applicable Floating Rate Option.</w:t>
      </w:r>
    </w:p>
    <w:p>
      <w:pPr>
        <w:pStyle w:val="Normal"/>
        <w:ind w:hanging="720" w:start="720" w:end="0"/>
        <w:rPr/>
      </w:pPr>
      <w:r>
        <w:rPr/>
      </w:r>
    </w:p>
    <w:p>
      <w:pPr>
        <w:pStyle w:val="Normal"/>
        <w:ind w:firstLine="720" w:start="720" w:end="0"/>
        <w:rPr/>
      </w:pPr>
      <w:r>
        <w:rPr/>
        <w:t>(iv)</w:t>
        <w:tab/>
        <w:t>"USD-LIBOR-Reference Banks" means that the rate for a Reset Date will be determined on the basis of the rates at which deposits in U.S. Dollars are offered by the Reference Banks at approximately 11:00 a.m., London time, on the day that is two London Banking Days preceding that Reset Date to prime banks in the London interbank market for a period of the Designated Maturity commencing on that Reset Date and in a Representative Amount.  The Calculation Agent will request the principal London office of each of the Reference Banks to provide a quotation of its rate.  If at least two such quotations are provided, the rate for that Reset Date will be the arithmetic mean of the quotations.  If fewer than two quotations are provided as requested, the rate for that Reset Date will be the arithmetic mean of the rates quoted by major banks in New York City, selected by the Calculation Agent, at approximately 11:00 a.m., New York City time, on that Reset Date for loans in U.S. Dollars to leading European banks for a period of the Designated Maturity commencing on that Reset Date and in a Representative Amount.</w:t>
      </w:r>
    </w:p>
    <w:p>
      <w:pPr>
        <w:pStyle w:val="Normal"/>
        <w:rPr/>
      </w:pPr>
      <w:r>
        <w:rPr/>
      </w:r>
    </w:p>
    <w:p>
      <w:pPr>
        <w:pStyle w:val="Normal"/>
        <w:ind w:firstLine="720" w:start="720" w:end="0"/>
        <w:rPr/>
      </w:pPr>
      <w:r>
        <w:rPr/>
        <w:t>(v)</w:t>
        <w:tab/>
        <w:t>"USD-Prime-H.15" means that the rate for a Reset Date will be the rate set forth in H.15(519) for that day opposite the caption "Bank prime loan".  If on the Calculation Date for a Calculation Period such rate for a Reset Date in that Calculation Period is not yet published in H.15(519), the rate for that Reset Date will be the rate set forth in H.15 Daily Update, or such other recognized electronic source used for the purpose of displaying such rate, for that day opposite the caption "Bank prime loan".  If on the Calculation Date for a Calculation Period such rate for a Reset Date in that Calculation Period is not yet published in H.15(519), H.15 Daily Update or another recognized electronic source, the rate for that Reset Date will be the arithmetic mean of the rates of interest publicly announced by each bank that appears on the Reuters Screen US PRIME 1 Page as such bank's prime rate or base lending rate as of 11.00 a.m., New York City time, on that Reset Date or, if fewer than four rates appear on the Reuters Screen US PRIME 1 Page for that Reset Date, the rate determined as if the parties had specified "USD-Prime-Reference Banks" as the applicable Floating Rate Option.</w:t>
      </w:r>
    </w:p>
    <w:p>
      <w:pPr>
        <w:pStyle w:val="Normal"/>
        <w:rPr/>
      </w:pPr>
      <w:r>
        <w:rPr/>
      </w:r>
    </w:p>
    <w:p>
      <w:pPr>
        <w:pStyle w:val="Normal"/>
        <w:ind w:firstLine="720" w:start="720" w:end="0"/>
        <w:rPr/>
      </w:pPr>
      <w:r>
        <w:rPr/>
        <w:t>(vi)</w:t>
        <w:tab/>
        <w:t>"USD-Prime-Reference Banks" means that the rate for a Reset Date will be the arithmetic mean of the rates of interest publicly announced by each Reference Bank as its U.S. Dollar prime rate of base lending rate as in effect for that day.  Each change in the prime rate or base lending rate of any bank so announced by such bank will be effective as of the effective date of the announcement or, if no effective date is specified, as of the date of the announcement.</w:t>
      </w:r>
    </w:p>
    <w:p>
      <w:pPr>
        <w:pStyle w:val="Normal"/>
        <w:rPr/>
      </w:pPr>
      <w:r>
        <w:rPr/>
      </w:r>
    </w:p>
    <w:p>
      <w:pPr>
        <w:pStyle w:val="Normal"/>
        <w:ind w:firstLine="720" w:start="720" w:end="0"/>
        <w:rPr/>
      </w:pPr>
      <w:r>
        <w:rPr/>
        <w:t>(vii)</w:t>
        <w:tab/>
        <w:t>"USD-TBILL-H.15" means that the rate for a Reset Date on which United States Treasury bills are auctioned will be the rate for that day which appears on either the Telerate Page 56 or the Telerate Page 57 opposite the Designated Maturity under the heading "INVESTMENT RATE".  If on the Calculation Date for a Calculation Period United States Treasury bills of the Designated Maturity have been auctioned on a Reset Date during that Calculation Period but such rate for such Reset Date does not appear on either the Telerate Page 56 or the Telerate Page 57, the rate for that Reset Date will be the Bond Equivalent Yield of the rate set forth in H.15 Daily Update, or such other recognized electronic source used for the purpose of displaying such rate, for that day in respect of the Designated Maturity under the caption "U.S. Government securities/Treasury bills/Auction high".  If on the Calculation Date for a Calculation Period United States Treasury bills of the Designated Maturity have been auctioned on a Reset Date during that Calculation Period but such rate for such Reset Date does not appear on either the Telerate Page 56 or the Telerate page 57 and such rate is not set forth in the H.15 Daily Update in respect of the Designated Maturity under the caption "U.S. Government securities/Treasury bills/Auction high" or another recognized electronic source, the rate for that Reset Date will be the Bond Equivalent Yield of the auction rate for those Treasury bills as announced by the United States Department of the Treasury.  If the United States Treasury bills of the Designated Maturity are not auctioned during any period of seven consecutive calendar days ending on and including any Friday and a Reset Date would have occurred if such Treasury bills had been auctioned during that seven-day period, a Reset Date will be deemed to have occurred on the day during that seven-day period on which such Treasury bills would have been auctioned in accordance with the usual practices of the United States Department of the Treasury, and the rate for that Reset Date will be determined as if the parties had specified "USD-TBILL-Secondary Market" as the applicable Floating Rate Option (unless it is indicated for the Swap Transaction that weeks in which United States Treasury bills of the Designated Maturity are not auctioned will be ignored, in which case there will not be any Reset Date during that seven-day period).</w:t>
      </w:r>
    </w:p>
    <w:p>
      <w:pPr>
        <w:pStyle w:val="Normal"/>
        <w:rPr/>
      </w:pPr>
      <w:r>
        <w:rPr/>
      </w:r>
    </w:p>
    <w:p>
      <w:pPr>
        <w:pStyle w:val="Normal"/>
        <w:ind w:firstLine="720" w:start="720" w:end="0"/>
        <w:rPr/>
      </w:pPr>
      <w:r>
        <w:rPr/>
        <w:t>(viii)</w:t>
        <w:tab/>
        <w:t>"USD-TBILL-Secondary Market" means that the rate for a Reset Date will be the Bond Equivalent Yield of the rate set forth in H.15(519) for that day opposite the Designated Maturity under the caption "U.S. government securities/Treasury bills/Secondary market".  If on the Calculation Date for a Calculation Period such rate for a Reset Date in that Calculation Period is not yet published in H.15(519), the rate for that Reset Date will be the rate set forth in H.15 Daily Update, or such other recognized electronic source used for the purpose of displaying such rate, for that day in respect of the Designated Maturity under the caption "U.S. government securities/Treasury bills/Secondary market".  If on the Calculation Date for a Calculation Period such rate for a Reset Date in that Calculation Period is not yet published in H.15(519), H.15 Daily Update or another recognized electronic source, the rate for that Reset Date will be the Bond Equivalent Yield of the arithmetic mean of the secondary market bid rates of the Reference Dealers as of approximately 3.30 p.m., New York City time, on that day for the issue of United States Treasury bills with a remaining maturity closest to the Designated Maturity.</w:t>
      </w:r>
    </w:p>
    <w:p>
      <w:pPr>
        <w:pStyle w:val="Normal"/>
        <w:rPr/>
      </w:pPr>
      <w:r>
        <w:rPr/>
      </w:r>
    </w:p>
    <w:p>
      <w:pPr>
        <w:pStyle w:val="Normal"/>
        <w:ind w:firstLine="720" w:start="720" w:end="0"/>
        <w:rPr/>
      </w:pPr>
      <w:r>
        <w:rPr/>
        <w:t>(ix)</w:t>
        <w:tab/>
        <w:t>"USD-CD-H.15" means that the rate for a Reset Date will be the rate set forth in H.15(519) for that day opposite the Designated Maturity under the caption "CDs (secondary market)".  If on the Calculation Date for a Calculation Period such rate for a Reset Date in that Calculation Period is not yet published in H.15(519), the rate for that Reset Date will be the rate set forth in H.15 Daily Update, or such other recognized electronic source used for the purpose of displaying such rate, for that day in respect of the Designated Maturity under the caption "CDs (secondary market)".  If on the Calculation Date for a Calculation Period such rate for a Reset Date in that Calculation Period is not yet published in H.15(519), H.15 Daily Update or another recognized electronic source, the rate for that Reset Date will be determined as if the parties had specified "USD-CD-Reference Dealers" as the applicable Floating Rate Option.</w:t>
      </w:r>
    </w:p>
    <w:p>
      <w:pPr>
        <w:pStyle w:val="Normal"/>
        <w:rPr/>
      </w:pPr>
      <w:r>
        <w:rPr/>
      </w:r>
    </w:p>
    <w:p>
      <w:pPr>
        <w:pStyle w:val="Normal"/>
        <w:ind w:firstLine="720" w:start="720" w:end="0"/>
        <w:rPr/>
      </w:pPr>
      <w:r>
        <w:rPr/>
        <w:t>(x)</w:t>
        <w:tab/>
        <w:t>"USD-CD-Reference Dealers" means that the rate for a Reset Date will the arithmetic mean of the secondary market offered rates of the Reference Dealers as of 10:00 a.m., New York City time, on that day for negotiable U.S. Dollar certificates of deposit of major United States money market banks with a remaining maturity closest to the Designated Maturity and in a Representative Amount.</w:t>
      </w:r>
    </w:p>
    <w:p>
      <w:pPr>
        <w:pStyle w:val="Normal"/>
        <w:rPr/>
      </w:pPr>
      <w:r>
        <w:rPr/>
      </w:r>
    </w:p>
    <w:p>
      <w:pPr>
        <w:pStyle w:val="Normal"/>
        <w:ind w:firstLine="720" w:start="720" w:end="0"/>
        <w:rPr/>
      </w:pPr>
      <w:r>
        <w:rPr/>
        <w:t>(xi)</w:t>
        <w:tab/>
        <w:t>"USD-CP-H.15" means that the rate for a Reset Date will be the Money Market Yield of the rate set forth in H.15(519) for that day opposite the Designated Maturity under the caption "Commercial paper - Nonfinancial".  If on the Calculation Date for a Calculation Period such rate for a Reset Date in that Calculation Period is not yet published in H.15(519), the rate for that Reset Date will be the Money Market Yield of the rate set forth in H.15 Daily Update, or such other recognized electronic source used for the purpose of displaying such rate, for that day in respect of the Designated Maturity under the caption "Commercial paper/Nonfinancial".  If on the Calculation Date for a Calculation Period such rate for a Reset Date in that Calculation Period is not yet published in H.15(519), H.15 Daily Update or another recognized electronic source, the rate for that Reset Date will be determined as if the parties had specified "USD-CP-Reference Dealers" as the applicable Floating Rate Option.</w:t>
      </w:r>
    </w:p>
    <w:p>
      <w:pPr>
        <w:pStyle w:val="Normal"/>
        <w:rPr/>
      </w:pPr>
      <w:r>
        <w:rPr/>
      </w:r>
    </w:p>
    <w:p>
      <w:pPr>
        <w:pStyle w:val="Normal"/>
        <w:ind w:firstLine="720" w:start="720" w:end="0"/>
        <w:rPr/>
      </w:pPr>
      <w:r>
        <w:rPr/>
        <w:t>(xii)</w:t>
        <w:tab/>
        <w:t>"USD-CP-ISDD" means that the rate for a Reset Date will be the Money Market Yield of the rate for U.S. Dollar commercial paper for a period of the Designated Maturity which appears on the Reuters Screen ISDD Page as of 4:00 p.m., New York City time, on that Reset Date.  If on the Calculation Date for a Calculation Period the appropriate rate for a Reset Date in that Calculation Period does not appear on the Reuters Screen ISDD Page, the rate for that Reset Date will be determined as if the parties had specified "USD-CP-Reference Dealers" as the applicable Floating Rate Option.</w:t>
      </w:r>
    </w:p>
    <w:p>
      <w:pPr>
        <w:pStyle w:val="Normal"/>
        <w:rPr/>
      </w:pPr>
      <w:r>
        <w:rPr/>
      </w:r>
    </w:p>
    <w:p>
      <w:pPr>
        <w:pStyle w:val="Normal"/>
        <w:ind w:firstLine="720" w:start="720" w:end="0"/>
        <w:rPr/>
      </w:pPr>
      <w:r>
        <w:rPr/>
        <w:t>(xiii)</w:t>
        <w:tab/>
        <w:t>"USD-CP-Reference Dealers" means that the rate for a Reset Date will be the Money Market Yield of the arithmetic mean of the offered rates of the Reference Dealers as of 11:00 a.m., New York City time, on that day for U.S. Dollar commercial paper of the Designated Maturity placed for industrial issuers whose bond rating is "Aa" or the equivalent from a nationally recognized rating agency.</w:t>
      </w:r>
    </w:p>
    <w:p>
      <w:pPr>
        <w:pStyle w:val="Normal"/>
        <w:rPr/>
      </w:pPr>
      <w:r>
        <w:rPr/>
      </w:r>
    </w:p>
    <w:p>
      <w:pPr>
        <w:pStyle w:val="Normal"/>
        <w:ind w:firstLine="720" w:start="720" w:end="0"/>
        <w:rPr/>
      </w:pPr>
      <w:r>
        <w:rPr/>
        <w:t>(xiv)</w:t>
        <w:tab/>
        <w:t>"USD-Federal Funds-H.15" means that the rate for a Reset Date will be the rate set forth in H.15(519) for that day opposite the caption "Federal funds (effective)", as such rate is displayed on Telerate Page 120.  If on the Calculation Date for a Calculation Period such rate for a Reset Date in that Calculation Period does not appear on Telerate Page 120 or is not yet published in H.15(519), the rate for that Reset Date will be the rate set forth in H.15 Daily Update, or such other recognized electronic source used for the purpose of displaying such rate, for that day opposite the caption "Federal funds (effective)". If on the Calculation Date for a Calculation Period such rate for a Reset Date in that Calculation Period does not appear on the Telerate Page 120 or is not yet published in H.15(519), H.15 Daily Update or another recognized electronic source, the rate for that Reset Date will be determined as if the parties had specified "USD-Federal Funds-Reference Dealers" as the applicable Floating Rate Option.</w:t>
      </w:r>
    </w:p>
    <w:p>
      <w:pPr>
        <w:pStyle w:val="Normal"/>
        <w:rPr/>
      </w:pPr>
      <w:r>
        <w:rPr/>
      </w:r>
    </w:p>
    <w:p>
      <w:pPr>
        <w:pStyle w:val="Normal"/>
        <w:ind w:firstLine="720" w:start="720" w:end="0"/>
        <w:rPr/>
      </w:pPr>
      <w:r>
        <w:rPr/>
        <w:t>(xv)</w:t>
        <w:tab/>
        <w:t>"USD-Federal Funds-Reference Dealers" means that the rate for a Reset Date will be the arithmetic mean of the rates for the last transaction in overnight U.S. Dollar Federal funds arranged by each Reference Dealer prior to 9:00 a.m., New York City time, on that day.</w:t>
      </w:r>
    </w:p>
    <w:p>
      <w:pPr>
        <w:pStyle w:val="Normal"/>
        <w:rPr/>
      </w:pPr>
      <w:r>
        <w:rPr/>
      </w:r>
    </w:p>
    <w:p>
      <w:pPr>
        <w:pStyle w:val="Normal"/>
        <w:ind w:firstLine="720" w:start="720" w:end="0"/>
        <w:rPr/>
      </w:pPr>
      <w:r>
        <w:rPr/>
        <w:t>(xvi)</w:t>
        <w:tab/>
        <w:t>"USD-BA-H.15" means that the rate for a Reset Date will be the Money Market Yield of the rate set forth in H.15(519) for that day opposite the Designated Maturity under the caption "Bankers acceptances (top rated)".  If on the Calculation Date for a Calculation Period such rate for a Reset Date in that Calculation Period is not yet published in H.15(519), the rate for that Reset Date will be the rate set forth in H.15 Daily Update, or such other recognized electronic source used for the purpose of displaying such rate, for that day in respect of the Designated Maturity under the caption "Bankers acceptances (top rated)".  If on the Calculation Date for a Calculation Period such rate for a Reset Date in that Calculation Period is not yet published in H.15(519), H.15 Daily Update or another recognized electronic source, the rate for that Reset Date will be determined as if the parties had specified "USD-BA-Reference Dealers" as the applicable Floating Rate Option.</w:t>
      </w:r>
    </w:p>
    <w:p>
      <w:pPr>
        <w:pStyle w:val="Normal"/>
        <w:rPr/>
      </w:pPr>
      <w:r>
        <w:rPr/>
      </w:r>
    </w:p>
    <w:p>
      <w:pPr>
        <w:pStyle w:val="Normal"/>
        <w:ind w:firstLine="720" w:start="720" w:end="0"/>
        <w:rPr/>
      </w:pPr>
      <w:r>
        <w:rPr/>
        <w:t>(xvii)</w:t>
        <w:tab/>
        <w:t>"USD-BA-Reference Dealers" means that the rate for a Reset Date will be the Money Market Yield of the arithmetic mean of the offered rates of the Reference Dealers as of the close of business in New York City on that day for top-rated U.S. Dollar bankers acceptances of the Designated Maturity and in a Representative Amount.</w:t>
      </w:r>
    </w:p>
    <w:p>
      <w:pPr>
        <w:pStyle w:val="Normal"/>
        <w:rPr/>
      </w:pPr>
      <w:r>
        <w:rPr/>
      </w:r>
    </w:p>
    <w:p>
      <w:pPr>
        <w:pStyle w:val="Normal"/>
        <w:ind w:firstLine="720" w:start="720" w:end="0"/>
        <w:rPr/>
      </w:pPr>
      <w:r>
        <w:rPr/>
        <w:t>(xviii)</w:t>
        <w:tab/>
        <w:t>"USD-TIBOR-ISDC" means that the rate for a Reset Date will be the rate for deposits in U.S. Dollars for a period of the Designated Maturity which appears on the Reuters Screen ISDC Page as of 11:00 a.m., Tokyo time, on the day that is two Tokyo Banking Days preceding that Reset Date.  If such rate does not appear on the Reuters Screen ISDC Page, the rate for that Reset Date will be determined as if the parties had specified "USD-TIBOR-Reference Banks" as the applicable Floating Rate Option.</w:t>
      </w:r>
    </w:p>
    <w:p>
      <w:pPr>
        <w:pStyle w:val="Normal"/>
        <w:rPr/>
      </w:pPr>
      <w:r>
        <w:rPr/>
      </w:r>
    </w:p>
    <w:p>
      <w:pPr>
        <w:pStyle w:val="Normal"/>
        <w:ind w:firstLine="720" w:start="720" w:end="0"/>
        <w:rPr/>
      </w:pPr>
      <w:r>
        <w:rPr/>
        <w:t>(xix)</w:t>
        <w:tab/>
        <w:t>"USD-TIBOR-Reference Banks" means that the rate for a Reset Date will be determined on the basis of the rates at which deposits in U.S. Dollars are offered by the Reference Banks at approximately 11:00 a.m., Tokyo time, on the day that is two Tokyo Banking Days preceding that Reset Date to prime banks in the Tokyo interbank market for a period of the Designated Maturity commencing on that Reset Date and in a Representative Amount.  The Calculation Agent will request the principal Tokyo office of each of the Reference Banks to provide a quotation of its rate.  If at least two such quotations are provided, the rate for that Reset Date will be the arithmetic mean of the quotations.  If fewer than two quotations are provided as requested, the rate for that Reset Date will be the arithmetic mean of the rates quoted by major banks in New York City, selected by the Calculation Agent, at approximately 11:00 a.m., New York City time, on that Reset Date for loans in U.S. Dollars to leading banks for a period of the Designated Maturity commencing on that Reset Date and in a Representative Amount.</w:t>
      </w:r>
    </w:p>
    <w:p>
      <w:pPr>
        <w:pStyle w:val="Normal"/>
        <w:rPr/>
      </w:pPr>
      <w:r>
        <w:rPr/>
      </w:r>
    </w:p>
    <w:p>
      <w:pPr>
        <w:pStyle w:val="Normal"/>
        <w:ind w:firstLine="720" w:start="720" w:end="0"/>
        <w:rPr/>
      </w:pPr>
      <w:r>
        <w:rPr/>
        <w:t>(xx)</w:t>
        <w:tab/>
        <w:t>"USD-COF11-Telerate" means that the rate for a Reset Date will be the monthly weighted average cost of funds set forth under the caption "11th" on the Telerate Page 7058 as of 11:00 a.m., San Francisco time, on that Reset Date.  If such rate does not appear on the Telerate Page 7058, the rate for that Reset Date will be determined as if the parties had specified "USD-COF11-FHLBSF" as the applicable Floating Rate Option.</w:t>
      </w:r>
    </w:p>
    <w:p>
      <w:pPr>
        <w:pStyle w:val="Normal"/>
        <w:rPr/>
      </w:pPr>
      <w:r>
        <w:rPr/>
      </w:r>
    </w:p>
    <w:p>
      <w:pPr>
        <w:pStyle w:val="Normal"/>
        <w:ind w:firstLine="720" w:start="720" w:end="0"/>
        <w:rPr/>
      </w:pPr>
      <w:r>
        <w:rPr/>
        <w:t>(xxi)</w:t>
        <w:tab/>
        <w:t>"USD-COF11-FHLBSF" means that the rate for a Reset Date will be the monthly weighted average cost of funds paid by member institutions of the Eleventh Federal Home Loan Bank District that was most recently announced by the FHLBSF as such cost of funds for the calendar month preceding the date of such announcement.  If the FHLBSF fails to announce such rate for that calendar month, then the rate for that Reset Date will be determined on the basis of the latest comparable rate announced by the FHLBSF prior to the Payment Date immediately following that Reset Date.</w:t>
      </w:r>
    </w:p>
    <w:p>
      <w:pPr>
        <w:pStyle w:val="Normal"/>
        <w:rPr/>
      </w:pPr>
      <w:r>
        <w:rPr/>
      </w:r>
    </w:p>
    <w:p>
      <w:pPr>
        <w:pStyle w:val="Normal"/>
        <w:ind w:firstLine="720" w:start="720" w:end="0"/>
        <w:rPr/>
      </w:pPr>
      <w:r>
        <w:rPr/>
        <w:t>(xxii)</w:t>
        <w:tab/>
        <w:t xml:space="preserve">"USD-Treasury Rate-T500" means that the rate for a Reset Date will be a percentage equal to the mid-market yield-to-maturity of the current "on-the-run" United States Treasury with a maturity equal to the Designated Maturity which appears on the Telerate Page 500 as of 11:00 a.m., New York City time, on that Reset Date.  If such rate does not appear on the Telerate Page 500, the rate for that Reset Date will be determined by the Calculation Agent and will be a percentage equal to the yield-to-maturity based on the secondary market mid-market prices as of 11:00 a.m., New York City time, on that Reset Date of three leading primary United States government securities dealers in the City of New York, selected by the Calculation Agent, (from five such dealers and eliminating the highest quotation (or, in the event of equality, one of the highest) and the lowest quotation (or, in the event of equality, one of the lowest)) for United States Treasury securities with a maturity equal to the Designated Maturity and taking a simple average of the remaining three values.   </w:t>
      </w:r>
    </w:p>
    <w:p>
      <w:pPr>
        <w:pStyle w:val="Normal"/>
        <w:rPr/>
      </w:pPr>
      <w:r>
        <w:rPr/>
      </w:r>
    </w:p>
    <w:p>
      <w:pPr>
        <w:pStyle w:val="Normal"/>
        <w:ind w:firstLine="720" w:start="720" w:end="0"/>
        <w:rPr/>
      </w:pPr>
      <w:r>
        <w:rPr/>
        <w:t>(xxiii)</w:t>
        <w:tab/>
        <w:t xml:space="preserve">"USD-Treasury Rate-T1990" means that the rate for a Reset Date will be a percentage equal to the mid-market yield-to-maturity of the current "on-the-run" United States Treasury with a maturity equal to the Designated Maturity which appears on the Telerate Page 1990 as of 11:00 a.m., New York City time, on that Reset Date. If such rate does not appear on the Telerate Page 1990, the rate for that Reset Date will be determined by the Calculation Agent and will be a percentage equal to the yield-to-maturity based on the secondary market mid-market prices as of 11:00 a.m., New York City time, on that Reset Date of three leading primary United States government securities dealers in the City of New York, selected by the Calculation Agent, (from five such dealers and eliminating the highest quotation (or, in the event of equality, one of the highest) and the lowest quotation (or, in the event of equality, one of the lowest) for United States Treasury securities with a maturity equal to the Designated Maturity and taking a simple average of the remaining three values. </w:t>
      </w:r>
    </w:p>
    <w:p>
      <w:pPr>
        <w:pStyle w:val="Normal"/>
        <w:tabs>
          <w:tab w:val="left" w:pos="720" w:leader="none"/>
        </w:tabs>
        <w:rPr/>
      </w:pPr>
      <w:r>
        <w:rPr/>
      </w:r>
    </w:p>
    <w:p>
      <w:pPr>
        <w:pStyle w:val="Normal"/>
        <w:ind w:firstLine="720" w:start="720" w:end="0"/>
        <w:rPr/>
      </w:pPr>
      <w:r>
        <w:rPr/>
        <w:t>(xxiv)</w:t>
        <w:tab/>
        <w:t>"USD-CMT-T7051" means that the rate for a Reset Date will be a percentage equal to the yield for United States Treasury securities at "constant maturity" for a period of the Designated Maturity and for that Reset Date as set forth in H.15(519) under the caption "Treasury constant maturities", as such yield is displayed on the Telerate Page 7051 for the day that is two U.S. Government Securities Business Days preceding that Reset Date.  If such rate does not appear on the Telerate Page 7051, the rate for that Reset Date will be a percentage equal to the yield for United States Treasury securities at "constant maturity" for a period of the Designated Maturity and for that Reset Date as set forth in H.15(519) under the caption "Treasury constant maturities".  If such rate does not appear in H.15(519), the rate for that Reset Date will be the rate for</w:t>
      </w:r>
      <w:r>
        <w:rPr>
          <w:b/>
          <w:i/>
        </w:rPr>
        <w:t xml:space="preserve"> </w:t>
      </w:r>
      <w:r>
        <w:rPr/>
        <w:t xml:space="preserve">a period of the Designated Maturity as may then be published by either the Federal Reserve System Board of Governors or the United States Department of the Treasury that the Calculation Agent determines to be comparable to the rate which would otherwise have been published in H.15-519.  </w:t>
      </w:r>
    </w:p>
    <w:p>
      <w:pPr>
        <w:pStyle w:val="Normal"/>
        <w:tabs>
          <w:tab w:val="left" w:pos="720" w:leader="none"/>
        </w:tabs>
        <w:rPr/>
      </w:pPr>
      <w:r>
        <w:rPr/>
      </w:r>
    </w:p>
    <w:p>
      <w:pPr>
        <w:pStyle w:val="Normal"/>
        <w:ind w:firstLine="720" w:start="720" w:end="0"/>
        <w:rPr/>
      </w:pPr>
      <w:r>
        <w:rPr/>
        <w:t>If on the day that is two U.S. Government Securities Business Days preceding a Reset Date the Federal Reserve System Board of Governors or the United States Department of the Treasury does not publish a yield on United States Treasury securities at "constant maturity" for a period of the Designated Maturity, the rate for that Reset Date will be calculated by the Calculation Agent and will be a yield-to-maturity based on the arithmetic mean of the secondary market bid prices at approximately 3:30 p.m., New York City time, on the day that is two U.S. Government Securities Business Days preceding that Reset Date, of three leading primary United States government securities dealers in the City of New York selected by the Calculation Agent (from five such dealers and eliminating the highest quotation (or, in the event of equality, one of the highest) and the lowest quotation (or, in the event of equality, one of the lowest)) for United States Treasury securities with an original maturity equal to the Designated Maturity, a remaining term to maturity no more than 1 year shorter than the Designated Maturity and in a Representative Amount.  If fewer than five but more than two such prices are provided as requested, the rate for that Reset Date will be based on the arithmetic mean of the bid prices obtained and neither the highest nor lowest of such quotations will be eliminated.  If fewer than three prices are provided as requested, the rate for that Reset Date will be calculated by the Calculation Agent and will be a yield-to-maturity based on the arithmetic mean of the secondary market bid prices as of approximately 3:30 p.m., New York City time, on the day that is two U.S. Government Securities Business Days preceding that Reset Date of three leading primary United States government securities dealers in the City of New York selected by the Calculation Agent (from five such dealers and eliminating the highest quotation (or, in the event of equality, one of the highest) and the lowest quotation (or, in the event of equality, one of the lowest)) for United States Treasury securities with an original maturity greater than</w:t>
      </w:r>
      <w:r>
        <w:rPr>
          <w:b/>
        </w:rPr>
        <w:t xml:space="preserve"> </w:t>
      </w:r>
      <w:r>
        <w:rPr/>
        <w:t>the Designated Maturity, a remaining term to maturity closest to the Designated Maturity and in a Representative Amount.  If fewer than five but more than two such prices are provided, the rate for that Reset Date will be based on the arithmetic mean of the bid prices obtained and neither the highest nor lowest of such quotations will be eliminated.  If two United States Treasury securities with an original maturity greater than the Designated Maturity have remaining terms to maturity equally close to the Designated Maturity, the quotes for the Treasury security with the shorter original term to maturity will be used.</w:t>
      </w:r>
    </w:p>
    <w:p>
      <w:pPr>
        <w:pStyle w:val="Normal"/>
        <w:tabs>
          <w:tab w:val="left" w:pos="720" w:leader="none"/>
        </w:tabs>
        <w:rPr/>
      </w:pPr>
      <w:r>
        <w:rPr/>
      </w:r>
    </w:p>
    <w:p>
      <w:pPr>
        <w:pStyle w:val="Normal"/>
        <w:ind w:firstLine="720" w:start="720" w:end="0"/>
        <w:rPr/>
      </w:pPr>
      <w:r>
        <w:rPr/>
        <w:t>(xxv)</w:t>
        <w:tab/>
        <w:t xml:space="preserve">"USD-CMT-T7052" means that the rate for a Reset Date will be a percentage equal to the one-week average yield for United States Treasury securities at "constant maturity" for a period of the Designated Maturity and for that Reset Date as set forth in H.15(519) </w:t>
      </w:r>
      <w:r>
        <w:rPr>
          <w:b/>
        </w:rPr>
        <w:t>[</w:t>
      </w:r>
      <w:r>
        <w:rPr/>
        <w:t>under the caption "This Week" and</w:t>
      </w:r>
      <w:r>
        <w:rPr>
          <w:b/>
        </w:rPr>
        <w:t>]</w:t>
      </w:r>
      <w:r>
        <w:rPr/>
        <w:t xml:space="preserve"> opposite the caption "Treasury constant maturities", as such yield is displayed on the Telerate Page 7052 for the week preceding that Reset Date.  If such rate does not appear on the Telerate Page 7052, the rate for that Reset Date will be a percentage equal to the one-week average yield for United States Treasury securities at "constant maturity" for a period of the Designated Maturity and for the week preceding that Reset Date as set forth in H.15(519) </w:t>
      </w:r>
      <w:r>
        <w:rPr>
          <w:b/>
        </w:rPr>
        <w:t>[</w:t>
      </w:r>
      <w:r>
        <w:rPr/>
        <w:t>under the caption "This Week" and</w:t>
      </w:r>
      <w:r>
        <w:rPr>
          <w:b/>
        </w:rPr>
        <w:t>]</w:t>
      </w:r>
      <w:r>
        <w:rPr/>
        <w:t xml:space="preserve"> opposite the caption "Treasury constant maturities".  If such rate does not appear in H.15(519), the rate for that Reset Date will be the one-week average yield for United States Treasury securities at "constant maturity" for a period of the Designated Maturity as otherwise announced by the Federal Reserve Bank of New York for the week preceding that Reset Date.  </w:t>
      </w:r>
    </w:p>
    <w:p>
      <w:pPr>
        <w:pStyle w:val="Normal"/>
        <w:tabs>
          <w:tab w:val="left" w:pos="720" w:leader="none"/>
        </w:tabs>
        <w:rPr/>
      </w:pPr>
      <w:r>
        <w:rPr/>
      </w:r>
    </w:p>
    <w:p>
      <w:pPr>
        <w:pStyle w:val="Normal"/>
        <w:ind w:firstLine="720" w:start="720" w:end="0"/>
        <w:rPr/>
      </w:pPr>
      <w:r>
        <w:rPr/>
        <w:t>If for the week preceding a Reset Date the Federal Reserve Bank of New York does not publish a one-week average yield on United States Treasury securities at "constant maturity" for a period of the Designated Maturity for the preceding week, the rate for that Reset Date will be calculated by the Calculation Agent and will be a yield-to-maturity based on the arithmetic mean of the secondary market bid prices at approximately 3:30 p.m., New York City time, on the day that is two U.S. Government Securities Business Days preceding that Reset Date of three leading primary United States government securities dealers in the City of New York selected by the Calculation Agent (from five such dealers and eliminating the highest quotation (or, in the event of equality, one of the highest) and the lowest quotation (or, in the event of equality, one of the lowest)) for United States Treasury securities with an original maturity equal to the Designated Maturity, a remaining term to maturity of no more than 1 year shorter than the Designated Maturity and in a Representative Amount.  If fewer than five but more than two such prices are provided, the rate for that Reset Date will be based on the arithmetic mean of the bid prices obtained and neither the highest nor lowest of such quotations will be eliminated.  If fewer than three prices are provided as requested, the rate for that Reset Date will be calculated by the Calculation Agent and will be a yield-to-maturity based on the arithmetic mean of the secondary market bid prices as of approximately 3:30 p.m., New York City time, on the day that is two U.S. Government Securities Business Days preceding that Reset Date of three leading primary United States government securities dealers in the City of New York selected by the Calculation Agent (from five such dealers and eliminating the highest quotation (or, in the event of equality, one of the highest) and the lowest quotation (or, in the event of equality, one of the lowest)) for United States Treasury securities with an original maturity longer than the Designated Maturity, a remaining term to maturity closest to the Designated Maturity and in a Representative Amount.  If fewer than five but more than two such prices are provided, the rate for that Reset Date will be based on the arithmetic mean of the bid prices obtained and neither the highest nor lowest of such quotations will be eliminated.  If two United States Treasury securities with an original maturity greater than the Designated Maturity</w:t>
      </w:r>
      <w:r>
        <w:rPr>
          <w:b/>
        </w:rPr>
        <w:t xml:space="preserve"> </w:t>
      </w:r>
      <w:r>
        <w:rPr/>
        <w:t>have remaining terms to maturity equally close to the Designated Maturity, the quotes for the Treasury security with the shorter original term to maturity will be used.</w:t>
      </w:r>
    </w:p>
    <w:p>
      <w:pPr>
        <w:pStyle w:val="Normal"/>
        <w:ind w:start="720" w:end="0"/>
        <w:rPr/>
      </w:pPr>
      <w:r>
        <w:rPr/>
      </w:r>
    </w:p>
    <w:p>
      <w:pPr>
        <w:pStyle w:val="Normal"/>
        <w:ind w:firstLine="720" w:start="720" w:end="0"/>
        <w:rPr/>
      </w:pPr>
      <w:r>
        <w:rPr/>
        <w:t>(xxvi)</w:t>
        <w:tab/>
        <w:t>"USD-SIBOR-SIBO" means that the rate for a Reset Date will be the rate for deposits in U.S. Dollars for a period of the Designated Maturity which appears on the Reuters Screen SIBO Page as of 11:00 a.m., Singapore time, on the day that is two Singapore Banking Days preceding that Reset Date.  If such rate does not appear on the Reuters Screen  SIBO Page, the rate for that Reset Date will be determined as if the parties had specified "USD-SIBOR-Reference Banks" as the applicable Floating Rate Option.</w:t>
      </w:r>
    </w:p>
    <w:p>
      <w:pPr>
        <w:pStyle w:val="Normal"/>
        <w:ind w:hanging="720" w:start="720" w:end="0"/>
        <w:rPr/>
      </w:pPr>
      <w:r>
        <w:rPr/>
      </w:r>
    </w:p>
    <w:p>
      <w:pPr>
        <w:pStyle w:val="Normal"/>
        <w:ind w:firstLine="720" w:start="720" w:end="0"/>
        <w:rPr/>
      </w:pPr>
      <w:r>
        <w:rPr/>
        <w:t>(xxvii)</w:t>
        <w:tab/>
        <w:t>"USD-SIBOR-Reference Banks" means that the rate for a Reset Date will be determined on the basis of the rates at which deposits in U.S. Dollars are offered by the Reference Banks at approximately 11:00 a.m., Singapore time, on the day that is two Singapore Banking Days preceding that Reset Date to prime banks in the Singapore interbank market for a period of the Designated Maturity commencing on that Reset Date and in a Representative Amount.  The Calculation Agent will request the principal Singapore office of each of the Reference Banks to provide a quotation of its rate.  If at least two such quotations are provided, the rate for that Reset Date will be the arithmetic mean of the quotations.  If fewer than two quotations are provided as requested, the rate for that Reset Date will be the arithmetic mean of the rates quoted by major banks in New York City, selected by the Calculation Agent, at approximately 11:00 a.m., New York City time, on that Reset Date for loans in United States Dollars to leading European banks for a period of the Designated Maturity commencing on that Reset Date and in a Representative Amount.</w:t>
      </w:r>
    </w:p>
    <w:p>
      <w:pPr>
        <w:pStyle w:val="Normal"/>
        <w:rPr/>
      </w:pPr>
      <w:r>
        <w:rPr/>
      </w:r>
    </w:p>
    <w:p>
      <w:pPr>
        <w:pStyle w:val="Normal"/>
        <w:ind w:firstLine="720" w:start="720" w:end="0"/>
        <w:rPr/>
      </w:pPr>
      <w:r>
        <w:rPr/>
        <w:t>(xxviii)</w:t>
        <w:tab/>
        <w:t xml:space="preserve">"USD-CMS-Telerate" means that the rate for a Reset Date will be the arithmetic mean of the bid and offered swap rate quotations published on the Telerate Page 42276 under the heading </w:t>
      </w:r>
      <w:r>
        <w:rPr>
          <w:b/>
        </w:rPr>
        <w:t>[</w:t>
      </w:r>
      <w:r>
        <w:rPr/>
        <w:t>"RATES AS AT 11:00 EST (16:00 GMT)"</w:t>
      </w:r>
      <w:r>
        <w:rPr>
          <w:b/>
        </w:rPr>
        <w:t>]</w:t>
      </w:r>
      <w:r>
        <w:rPr/>
        <w:t xml:space="preserve">, for the Designated Maturity as of 11:00 a.m., New York City time, on the day that is two U.S. Government Securities Business Days preceding that Reset Date.  If such rate does not appear on the Telerate Page 42276, the rate for that Reset Date will be determined as if the parties had specified "USD-CMS Reference Banks" as the applicable Floating Rate Option.  </w:t>
      </w:r>
    </w:p>
    <w:p>
      <w:pPr>
        <w:pStyle w:val="Normal"/>
        <w:rPr/>
      </w:pPr>
      <w:r>
        <w:rPr/>
      </w:r>
    </w:p>
    <w:p>
      <w:pPr>
        <w:pStyle w:val="Normal"/>
        <w:ind w:firstLine="720" w:start="720" w:end="0"/>
        <w:rPr>
          <w:b/>
          <w:i/>
          <w:i/>
        </w:rPr>
      </w:pPr>
      <w:r>
        <w:rPr/>
        <w:t>(xxix)</w:t>
        <w:tab/>
        <w:t>"USD-ISDA-Swap Rate" means that the rate for a Reset Date will be the rate for U.S. Dollar swaps with a maturity of the Designated Maturity, expressed as a percentage, which appears on the Reuters Screen ISDAFIX1 Page as of 11:00 a.m., New York City time, on the day that is two U.S. Government Securities Business Days preceding that Reset Date.  If such rate does not appear on the Reuters Screen ISDAFIX1 Page, the rate for that Reset Date will be determined as if the parties had specified "USD-CMS-Reference Banks" as the applicable Floating Rate Option.</w:t>
      </w:r>
    </w:p>
    <w:p>
      <w:pPr>
        <w:pStyle w:val="Normal"/>
        <w:rPr>
          <w:b/>
          <w:i/>
          <w:i/>
        </w:rPr>
      </w:pPr>
      <w:r>
        <w:rPr>
          <w:b/>
          <w:i/>
        </w:rPr>
      </w:r>
    </w:p>
    <w:p>
      <w:pPr>
        <w:pStyle w:val="Normal"/>
        <w:ind w:firstLine="720" w:start="720" w:end="0"/>
        <w:rPr/>
      </w:pPr>
      <w:r>
        <w:rPr/>
        <w:t>(xxx)</w:t>
        <w:tab/>
        <w:t>"USD-CMS-Reference Banks" means that the rate for a Reset Date will be a percentage determined on the basis of the mid-market semi-annual swap rate quotations provided by the Reference Banks at approximately 11:00 a.m., New York City time, on the day that is two U.S. Government Securities Business Days preceding that Reset Date, and, for this purpose, the semi-annual swap rate means the mean of the bid and offered rates for the semi-annual fixed leg of a fixed-for-floating U.S. Dollar interest rate swap transaction with a term equal to the Designated Maturity commencing on that Reset Date and in a Representative Amount with an acknowledged dealer of good credit in the swap market, where the floating leg is equivalent to USD-LIBOR-BBA</w:t>
      </w:r>
      <w:r>
        <w:rPr>
          <w:b/>
          <w:i/>
        </w:rPr>
        <w:t xml:space="preserve"> </w:t>
      </w:r>
      <w:r>
        <w:rPr/>
        <w:t>with a Designated Maturity of three months on a 30/360 day count basis.  The Calculation Agent will request the principal New York City office of each of the Reference Banks to provide a quotation of its rate.  If at least three quotations are provided, the rate for that Reset Date will be the arithmetic mean of the quotations, eliminating the highest quotation (or, in the event of equality, one of the highest) and the lowest quotation (or, in the event of equality, one of the lowest).</w:t>
      </w:r>
    </w:p>
    <w:p>
      <w:pPr>
        <w:pStyle w:val="Normal"/>
        <w:rPr/>
      </w:pPr>
      <w:r>
        <w:rPr/>
      </w:r>
    </w:p>
    <w:p>
      <w:pPr>
        <w:pStyle w:val="Normal"/>
        <w:ind w:firstLine="720" w:start="720" w:end="0"/>
        <w:rPr/>
      </w:pPr>
      <w:r>
        <w:rPr/>
        <w:t>(xxxi)</w:t>
        <w:tab/>
        <w:t xml:space="preserve">"USD-FFCB-DISCO" means that the rate for a Reset Date will be the Bond Equivalent Yield of the rate which appears on the Telerate Page 26244 under the caption </w:t>
      </w:r>
      <w:r>
        <w:rPr>
          <w:b/>
        </w:rPr>
        <w:t>[</w:t>
      </w:r>
      <w:r>
        <w:rPr/>
        <w:t>"RATE"</w:t>
      </w:r>
      <w:r>
        <w:rPr>
          <w:b/>
        </w:rPr>
        <w:t>]</w:t>
      </w:r>
      <w:r>
        <w:rPr/>
        <w:t xml:space="preserve"> as of 9:15 a.m., New York City time, on the day prior to that Reset Date.  If such rate does not appear on the Telerate Page 26244, the rate for that Reset Date will be the Bond Equivalent Yield of the arithmetic mean of the rates at which four Reference Dealers in the Federal Farm Credit Banks ("FFCB") Funding Corporation Consolidated Systemwide Discount Note Selling Group mutually agreed upon by both parties would offer FFCB Discount Notes with a maturity of 90 days for settlement on such Reset Date.</w:t>
      </w:r>
    </w:p>
    <w:p>
      <w:pPr>
        <w:pStyle w:val="Normal"/>
        <w:ind w:firstLine="720" w:end="0"/>
        <w:rPr/>
      </w:pPr>
      <w:r>
        <w:rPr/>
      </w:r>
    </w:p>
    <w:p>
      <w:pPr>
        <w:pStyle w:val="Heading2"/>
        <w:ind w:firstLine="720" w:start="0" w:end="0"/>
        <w:rPr/>
      </w:pPr>
      <w:r>
        <w:rPr/>
        <w:t>Section 7.2. Certain Published and Displayed Sources</w:t>
      </w:r>
      <w:r>
        <w:rPr>
          <w:b w:val="false"/>
        </w:rPr>
        <w:t>.</w:t>
      </w:r>
      <w:r>
        <w:fldChar w:fldCharType="begin"/>
      </w:r>
      <w:r>
        <w:rPr/>
        <w:instrText xml:space="preserve"> TC "SECTION 7.2.</w:instrText>
        <w:tab/>
        <w:instrText xml:space="preserve">Certain Published and Displayed Sources." \l 1 </w:instrText>
      </w:r>
      <w:r>
        <w:rPr/>
        <w:fldChar w:fldCharType="separate"/>
      </w:r>
      <w:r>
        <w:rPr/>
      </w:r>
      <w:r>
        <w:rPr/>
        <w:fldChar w:fldCharType="end"/>
      </w:r>
      <w:bookmarkStart w:id="11" w:name="__RefHeading___Toc474574655"/>
      <w:bookmarkEnd w:id="11"/>
    </w:p>
    <w:p>
      <w:pPr>
        <w:pStyle w:val="Normal"/>
        <w:ind w:firstLine="720" w:end="0"/>
        <w:rPr/>
      </w:pPr>
      <w:r>
        <w:rPr/>
        <w:t>(a)</w:t>
        <w:tab/>
        <w:t>"H.15(519)" means the weekly statistical release designated as such, or any successor publication, published by the Federal Reserve System Board of Governors, available through the world</w:t>
        <w:noBreakHyphen/>
        <w:t>wide</w:t>
        <w:noBreakHyphen/>
        <w:t>web site of the Board of Governors of the Federal Reserve System at http://www.bog.frb.fed.us/releases/h15, or any successor site or publication.</w:t>
      </w:r>
    </w:p>
    <w:p>
      <w:pPr>
        <w:pStyle w:val="Normal"/>
        <w:ind w:firstLine="720" w:end="0"/>
        <w:rPr/>
      </w:pPr>
      <w:r>
        <w:rPr/>
      </w:r>
    </w:p>
    <w:p>
      <w:pPr>
        <w:pStyle w:val="Normal"/>
        <w:ind w:firstLine="720" w:end="0"/>
        <w:rPr/>
      </w:pPr>
      <w:r>
        <w:rPr/>
        <w:t>(b)</w:t>
        <w:tab/>
        <w:t>"H.15 Daily Update" means the daily update of H.15(519), available through the world</w:t>
        <w:noBreakHyphen/>
        <w:t>wide</w:t>
        <w:noBreakHyphen/>
        <w:t>web site of the Board of Governors of the Federal Reserve System at http://www.bog.frb.fed.us/releases/h15/update, or any successor site or publication.</w:t>
      </w:r>
    </w:p>
    <w:p>
      <w:pPr>
        <w:pStyle w:val="Normal"/>
        <w:ind w:firstLine="720" w:end="0"/>
        <w:rPr/>
      </w:pPr>
      <w:r>
        <w:rPr/>
      </w:r>
    </w:p>
    <w:p>
      <w:pPr>
        <w:pStyle w:val="Normal"/>
        <w:ind w:firstLine="720" w:end="0"/>
        <w:rPr/>
      </w:pPr>
      <w:r>
        <w:rPr/>
        <w:t>(c)</w:t>
        <w:tab/>
        <w:t>"Bloomberg Screen" means, when used in connection with any designated pages and any Floating Rate Option, the display page so designated on the Bloomberg service (or such other page as may replace that page on that service, or such other service as may be nominated as the information vendor, for the purpose of displaying rates or prices comparable to that Floating Rate Option).</w:t>
      </w:r>
    </w:p>
    <w:p>
      <w:pPr>
        <w:pStyle w:val="Normal"/>
        <w:ind w:firstLine="720" w:end="0"/>
        <w:rPr/>
      </w:pPr>
      <w:r>
        <w:rPr/>
      </w:r>
    </w:p>
    <w:p>
      <w:pPr>
        <w:pStyle w:val="Normal"/>
        <w:ind w:firstLine="720" w:end="0"/>
        <w:rPr/>
      </w:pPr>
      <w:r>
        <w:rPr/>
        <w:t>(d)</w:t>
        <w:tab/>
        <w:t>"Reuters Screen" means, when used in connection with any designated page and any Floating Rate Option, the display page so designated on the Reuters Money 3000 Service (or such other page as may replace that page on that service for the purpose of displaying rates or prices comparable to that Floating Rate Option).</w:t>
      </w:r>
    </w:p>
    <w:p>
      <w:pPr>
        <w:pStyle w:val="Normal"/>
        <w:ind w:firstLine="720" w:end="0"/>
        <w:rPr/>
      </w:pPr>
      <w:r>
        <w:rPr/>
      </w:r>
    </w:p>
    <w:p>
      <w:pPr>
        <w:pStyle w:val="Normal"/>
        <w:ind w:firstLine="720" w:end="0"/>
        <w:rPr/>
      </w:pPr>
      <w:r>
        <w:rPr/>
        <w:t>(e)</w:t>
        <w:tab/>
        <w:t xml:space="preserve">"Telerate" means, when used in connection with any designated page and any Floating Rate Option, the display page so designated on Bridge's Telerate Service (or such other page as may replace that page on that service, or such other service as may be nominated as the information vendor, for the purpose of displaying rates or prices comparable to that Floating Rate Option).  </w:t>
      </w:r>
    </w:p>
    <w:p>
      <w:pPr>
        <w:pStyle w:val="Normal"/>
        <w:ind w:firstLine="720" w:end="0"/>
        <w:rPr/>
      </w:pPr>
      <w:r>
        <w:rPr/>
      </w:r>
    </w:p>
    <w:p>
      <w:pPr>
        <w:pStyle w:val="Normal"/>
        <w:ind w:firstLine="720" w:end="0"/>
        <w:rPr/>
      </w:pPr>
      <w:r>
        <w:rPr/>
        <w:t xml:space="preserve">(f) </w:t>
        <w:tab/>
        <w:t xml:space="preserve">"FHLBSF" means the Federal Home Loan Bank of San Francisco or its successor.  </w:t>
      </w:r>
    </w:p>
    <w:p>
      <w:pPr>
        <w:pStyle w:val="Normal"/>
        <w:ind w:firstLine="720" w:end="0"/>
        <w:rPr/>
      </w:pPr>
      <w:r>
        <w:rPr/>
      </w:r>
    </w:p>
    <w:p>
      <w:pPr>
        <w:pStyle w:val="Normal"/>
        <w:ind w:firstLine="720" w:end="0"/>
        <w:rPr/>
      </w:pPr>
      <w:r>
        <w:rPr/>
        <w:t>(g)</w:t>
        <w:tab/>
        <w:t>"SAFEX" means the South African Futures Exchange.</w:t>
      </w:r>
    </w:p>
    <w:p>
      <w:pPr>
        <w:pStyle w:val="Normal"/>
        <w:rPr/>
      </w:pPr>
      <w:r>
        <w:rPr/>
      </w:r>
    </w:p>
    <w:p>
      <w:pPr>
        <w:pStyle w:val="Heading2"/>
        <w:keepNext w:val="false"/>
        <w:ind w:firstLine="720" w:start="0" w:end="0"/>
        <w:rPr/>
      </w:pPr>
      <w:r>
        <w:rPr/>
        <w:t>Section 7.3. Price Source Conversion</w:t>
      </w:r>
      <w:r>
        <w:rPr>
          <w:b w:val="false"/>
        </w:rPr>
        <w:t>.</w:t>
      </w:r>
      <w:r>
        <w:fldChar w:fldCharType="begin"/>
      </w:r>
      <w:r>
        <w:rPr/>
        <w:instrText xml:space="preserve"> TC "SECTION 7.3.</w:instrText>
        <w:tab/>
        <w:instrText xml:space="preserve">Price Source Conversion." \l 1 </w:instrText>
      </w:r>
      <w:r>
        <w:rPr/>
        <w:fldChar w:fldCharType="separate"/>
      </w:r>
      <w:r>
        <w:rPr/>
      </w:r>
      <w:r>
        <w:rPr/>
        <w:fldChar w:fldCharType="end"/>
      </w:r>
      <w:bookmarkStart w:id="12" w:name="__RefHeading___Toc474574656"/>
      <w:bookmarkEnd w:id="12"/>
      <w:r>
        <w:rPr>
          <w:b w:val="false"/>
        </w:rPr>
        <w:t xml:space="preserve">  For purposes of the calculation of a Floating Amount payable by a party, if a Successor Price Source and a Successor Price Source Effective Date are specified in respect of a Swap Transaction, then, for any Reset Date falling on or after the Successor Price Source Effective Date, the Relevant Rate for that Reset Date will be determined as if the parties had specified the Successor Price Source as the applicable Floating Rate Option.</w:t>
      </w:r>
    </w:p>
    <w:p>
      <w:pPr>
        <w:pStyle w:val="Heading2"/>
        <w:keepLines/>
        <w:ind w:hanging="0" w:start="0"/>
        <w:rPr/>
      </w:pPr>
      <w:r>
        <w:rPr/>
        <w:tab/>
        <w:t>Section 7.4. Certain Definitions Relating to Price Source Conversion.</w:t>
      </w:r>
      <w:r>
        <w:fldChar w:fldCharType="begin"/>
      </w:r>
      <w:r>
        <w:rPr/>
        <w:instrText xml:space="preserve"> TC "SECTION 7.4.</w:instrText>
        <w:tab/>
        <w:instrText xml:space="preserve">Certain Definitions Relating to Price Source Conversion." \l 1 </w:instrText>
      </w:r>
      <w:r>
        <w:rPr/>
        <w:fldChar w:fldCharType="separate"/>
      </w:r>
      <w:r>
        <w:rPr/>
      </w:r>
      <w:r>
        <w:rPr/>
        <w:fldChar w:fldCharType="end"/>
      </w:r>
      <w:bookmarkStart w:id="13" w:name="__RefHeading___Toc474574657"/>
      <w:bookmarkEnd w:id="13"/>
    </w:p>
    <w:p>
      <w:pPr>
        <w:pStyle w:val="Normal"/>
        <w:keepNext w:val="true"/>
        <w:keepLines/>
        <w:ind w:firstLine="720" w:end="0"/>
        <w:rPr/>
      </w:pPr>
      <w:r>
        <w:rPr/>
        <w:t>(a)</w:t>
        <w:tab/>
      </w:r>
      <w:r>
        <w:rPr>
          <w:b/>
        </w:rPr>
        <w:t>Successor Price Source.</w:t>
      </w:r>
      <w:r>
        <w:rPr/>
        <w:t xml:space="preserve">  "Successor Price Source" means, in respect of a Swap Transaction and the calculation of a Floating Amount, the Floating Rate Option specified as such in the related Confirmation or other document governing the Swap Transaction.</w:t>
      </w:r>
    </w:p>
    <w:p>
      <w:pPr>
        <w:pStyle w:val="Normal"/>
        <w:ind w:firstLine="720" w:end="0"/>
        <w:rPr/>
      </w:pPr>
      <w:r>
        <w:rPr/>
      </w:r>
    </w:p>
    <w:p>
      <w:pPr>
        <w:pStyle w:val="Normal"/>
        <w:ind w:firstLine="720" w:end="0"/>
        <w:rPr/>
      </w:pPr>
      <w:r>
        <w:rPr/>
        <w:t>(b)</w:t>
        <w:tab/>
      </w:r>
      <w:r>
        <w:rPr>
          <w:b/>
        </w:rPr>
        <w:t>Successor Price Source Effective Date.</w:t>
      </w:r>
      <w:r>
        <w:rPr/>
        <w:t xml:space="preserve">  "Successor Price Source Effective Date" means, in respect of a Swap Transaction, the date specified as such or otherwise determined as provided in the related Confirmation or other document governing the Swap Transaction.</w:t>
      </w:r>
    </w:p>
    <w:p>
      <w:pPr>
        <w:pStyle w:val="Normal"/>
        <w:ind w:hanging="720" w:start="720" w:end="0"/>
        <w:rPr/>
      </w:pPr>
      <w:r>
        <w:rPr/>
      </w:r>
    </w:p>
    <w:p>
      <w:pPr>
        <w:pStyle w:val="Heading2"/>
        <w:ind w:firstLine="720" w:start="0" w:end="0"/>
        <w:rPr/>
      </w:pPr>
      <w:r>
        <w:rPr/>
        <w:t>Section 7.5. Certain General Definitions Relating to Floating Rate Options.</w:t>
      </w:r>
      <w:r>
        <w:fldChar w:fldCharType="begin"/>
      </w:r>
      <w:r>
        <w:rPr/>
        <w:instrText xml:space="preserve"> TC "SECTION 7.5.</w:instrText>
        <w:tab/>
        <w:instrText xml:space="preserve">Certain General Definitions Relating to Floating Rate Options." \l 1 </w:instrText>
      </w:r>
      <w:r>
        <w:rPr/>
        <w:fldChar w:fldCharType="separate"/>
      </w:r>
      <w:r>
        <w:rPr/>
      </w:r>
      <w:r>
        <w:rPr/>
        <w:fldChar w:fldCharType="end"/>
      </w:r>
      <w:bookmarkStart w:id="14" w:name="__RefHeading___Toc474574658"/>
      <w:bookmarkEnd w:id="14"/>
    </w:p>
    <w:p>
      <w:pPr>
        <w:pStyle w:val="Normal"/>
        <w:ind w:firstLine="720" w:end="0"/>
        <w:rPr/>
      </w:pPr>
      <w:r>
        <w:rPr/>
        <w:t>(a)</w:t>
        <w:tab/>
        <w:t xml:space="preserve">"Representative Amount" means, for purposes of any Floating Rate Option for which a Representative Amount is relevant, an amount that is representative for a single transaction in the relevant market at the relevant time.  </w:t>
      </w:r>
    </w:p>
    <w:p>
      <w:pPr>
        <w:pStyle w:val="Normal"/>
        <w:ind w:firstLine="720" w:end="0"/>
        <w:rPr/>
      </w:pPr>
      <w:r>
        <w:rPr/>
      </w:r>
    </w:p>
    <w:p>
      <w:pPr>
        <w:pStyle w:val="Normal"/>
        <w:ind w:firstLine="720" w:end="0"/>
        <w:rPr/>
      </w:pPr>
      <w:r>
        <w:rPr/>
        <w:t>(b)</w:t>
        <w:tab/>
        <w:t>"Designated Maturity" means the period of time specified as such for a Swap Transaction or a party.</w:t>
      </w:r>
    </w:p>
    <w:p>
      <w:pPr>
        <w:pStyle w:val="Normal"/>
        <w:ind w:firstLine="720" w:end="0"/>
        <w:rPr/>
      </w:pPr>
      <w:r>
        <w:rPr/>
      </w:r>
    </w:p>
    <w:p>
      <w:pPr>
        <w:pStyle w:val="Normal"/>
        <w:ind w:firstLine="720" w:end="0"/>
        <w:rPr/>
      </w:pPr>
      <w:r>
        <w:rPr/>
        <w:t>(c)</w:t>
        <w:tab/>
        <w:t>"Reference Banks" means:</w:t>
      </w:r>
    </w:p>
    <w:p>
      <w:pPr>
        <w:pStyle w:val="Normal"/>
        <w:ind w:firstLine="720" w:end="0"/>
        <w:rPr/>
      </w:pPr>
      <w:r>
        <w:rPr/>
      </w:r>
    </w:p>
    <w:p>
      <w:pPr>
        <w:pStyle w:val="Normal"/>
        <w:ind w:firstLine="720" w:start="720" w:end="0"/>
        <w:rPr/>
      </w:pPr>
      <w:r>
        <w:rPr/>
        <w:t>(i)</w:t>
        <w:tab/>
        <w:t xml:space="preserve">for purposes of the "AUD-BBR-BBSW" Floating Rate Option, the financial institutions authorised to quote on the Reuters Screen BBSW Page; </w:t>
      </w:r>
    </w:p>
    <w:p>
      <w:pPr>
        <w:pStyle w:val="Normal"/>
        <w:spacing w:lineRule="exact" w:line="260"/>
        <w:rPr/>
      </w:pPr>
      <w:r>
        <w:rPr/>
      </w:r>
    </w:p>
    <w:p>
      <w:pPr>
        <w:pStyle w:val="Normal"/>
        <w:ind w:firstLine="720" w:start="720" w:end="0"/>
        <w:rPr/>
      </w:pPr>
      <w:r>
        <w:rPr/>
        <w:t>(ii)</w:t>
        <w:tab/>
        <w:t xml:space="preserve">for purposes of the "CAD-BA" and "CAD-TBILL" Floating Rate Options, four major Canadian Schedule 1 chartered banks; </w:t>
      </w:r>
    </w:p>
    <w:p>
      <w:pPr>
        <w:pStyle w:val="Normal"/>
        <w:spacing w:lineRule="exact" w:line="260"/>
        <w:ind w:firstLine="720" w:start="720" w:end="0"/>
        <w:rPr/>
      </w:pPr>
      <w:r>
        <w:rPr/>
      </w:r>
    </w:p>
    <w:p>
      <w:pPr>
        <w:pStyle w:val="Normal"/>
        <w:ind w:firstLine="720" w:start="720" w:end="0"/>
        <w:rPr/>
      </w:pPr>
      <w:r>
        <w:rPr/>
        <w:t>(iii)</w:t>
        <w:tab/>
        <w:t xml:space="preserve">for purposes of any "LIBOR" Floating Rate Option, four major banks in the London interbank market; </w:t>
      </w:r>
    </w:p>
    <w:p>
      <w:pPr>
        <w:pStyle w:val="Normal"/>
        <w:spacing w:lineRule="exact" w:line="260"/>
        <w:ind w:firstLine="720" w:start="720" w:end="0"/>
        <w:rPr/>
      </w:pPr>
      <w:r>
        <w:rPr/>
      </w:r>
    </w:p>
    <w:p>
      <w:pPr>
        <w:pStyle w:val="Normal"/>
        <w:ind w:firstLine="720" w:start="720" w:end="0"/>
        <w:rPr/>
      </w:pPr>
      <w:r>
        <w:rPr/>
        <w:t>(iv)</w:t>
        <w:tab/>
        <w:t xml:space="preserve">for purposes of the "CZK-PRIBOR" Floating Rate Option, four major banks in the Prague interbank market; </w:t>
      </w:r>
    </w:p>
    <w:p>
      <w:pPr>
        <w:pStyle w:val="Normal"/>
        <w:spacing w:lineRule="exact" w:line="260"/>
        <w:ind w:firstLine="720" w:start="720" w:end="0"/>
        <w:rPr/>
      </w:pPr>
      <w:r>
        <w:rPr/>
      </w:r>
    </w:p>
    <w:p>
      <w:pPr>
        <w:pStyle w:val="Normal"/>
        <w:ind w:firstLine="720" w:start="720" w:end="0"/>
        <w:rPr/>
      </w:pPr>
      <w:r>
        <w:rPr/>
        <w:t>(v)</w:t>
        <w:tab/>
        <w:t xml:space="preserve">for purposes of any "DKK-CIBOR" Floating Rate Option, four major banks in the Copenhagen interbank market; </w:t>
      </w:r>
    </w:p>
    <w:p>
      <w:pPr>
        <w:pStyle w:val="Normal"/>
        <w:spacing w:lineRule="exact" w:line="260"/>
        <w:ind w:firstLine="720" w:start="720" w:end="0"/>
        <w:rPr/>
      </w:pPr>
      <w:r>
        <w:rPr/>
      </w:r>
    </w:p>
    <w:p>
      <w:pPr>
        <w:pStyle w:val="Normal"/>
        <w:spacing w:lineRule="exact" w:line="260"/>
        <w:ind w:firstLine="720" w:start="720" w:end="0"/>
        <w:rPr/>
      </w:pPr>
      <w:r>
        <w:rPr/>
        <w:t>(vi)</w:t>
        <w:tab/>
        <w:t>for purposes of any "EURIBOR" Floating Rate Option, four major banks in the Euro-zone interbank market;</w:t>
      </w:r>
    </w:p>
    <w:p>
      <w:pPr>
        <w:pStyle w:val="Normal"/>
        <w:spacing w:lineRule="exact" w:line="260"/>
        <w:ind w:firstLine="720" w:start="720" w:end="0"/>
        <w:rPr/>
      </w:pPr>
      <w:r>
        <w:rPr/>
      </w:r>
    </w:p>
    <w:p>
      <w:pPr>
        <w:pStyle w:val="Normal"/>
        <w:ind w:firstLine="720" w:start="720" w:end="0"/>
        <w:rPr/>
      </w:pPr>
      <w:r>
        <w:rPr/>
        <w:t>(vii)</w:t>
        <w:tab/>
        <w:t>for purposes of any "EUR-Annual Swap Rate" Floating Rate Option, five leading swap dealers in the interbank market;</w:t>
      </w:r>
    </w:p>
    <w:p>
      <w:pPr>
        <w:pStyle w:val="Normal"/>
        <w:ind w:firstLine="720" w:start="720" w:end="0"/>
        <w:rPr/>
      </w:pPr>
      <w:r>
        <w:rPr/>
      </w:r>
    </w:p>
    <w:p>
      <w:pPr>
        <w:pStyle w:val="Normal"/>
        <w:ind w:firstLine="720" w:start="720" w:end="0"/>
        <w:rPr/>
      </w:pPr>
      <w:r>
        <w:rPr/>
        <w:t>(viii)</w:t>
        <w:tab/>
        <w:t xml:space="preserve">for purposes of the "GRD-ATHIMID" Floating Rate Option and any "GRD-ATHIBOR" Floating Rate Option, five major banks in the Athens interbank market; </w:t>
      </w:r>
    </w:p>
    <w:p>
      <w:pPr>
        <w:pStyle w:val="Normal"/>
        <w:spacing w:lineRule="exact" w:line="260"/>
        <w:ind w:firstLine="720" w:start="720" w:end="0"/>
        <w:rPr/>
      </w:pPr>
      <w:r>
        <w:rPr/>
      </w:r>
    </w:p>
    <w:p>
      <w:pPr>
        <w:pStyle w:val="Normal"/>
        <w:ind w:firstLine="720" w:start="720" w:end="0"/>
        <w:rPr/>
      </w:pPr>
      <w:r>
        <w:rPr/>
        <w:t>(ix)</w:t>
        <w:tab/>
        <w:t xml:space="preserve">for purposes of the "HKD-HIBOR" Floating Rate Option, four major banks in the Hong Kong interbank market; </w:t>
      </w:r>
    </w:p>
    <w:p>
      <w:pPr>
        <w:pStyle w:val="Normal"/>
        <w:spacing w:lineRule="exact" w:line="260"/>
        <w:ind w:firstLine="720" w:start="720" w:end="0"/>
        <w:rPr/>
      </w:pPr>
      <w:r>
        <w:rPr/>
      </w:r>
    </w:p>
    <w:p>
      <w:pPr>
        <w:pStyle w:val="Normal"/>
        <w:ind w:firstLine="720" w:start="720" w:end="0"/>
        <w:rPr/>
      </w:pPr>
      <w:r>
        <w:rPr/>
        <w:t>(x)</w:t>
        <w:tab/>
        <w:t>for purposes of the "HUF-BUBOR" Floating Rate Option, the banks designated as Active Interest Rate Listing Banks (as defined in the BUBOR Regulation) by the BUBOR Regulation on the last Budapest Banking Day for which a BUBOR rate was published by the National Bank of Hungary, subject (in the event that fewer than four Active Interest Rate Listing Banks provide quotations for the relevant rate) to substitution of one or more of the banks (as selected by the Calculation Agent) which were designated as Passive Interest Rate Listing Banks (as defined in the BUBOR Regulation) on the last Budapest Banking Day for which a BUBOR rate was published by the National Bank of Hungary;</w:t>
      </w:r>
    </w:p>
    <w:p>
      <w:pPr>
        <w:pStyle w:val="Normal"/>
        <w:ind w:firstLine="720" w:start="720" w:end="0"/>
        <w:rPr/>
      </w:pPr>
      <w:r>
        <w:rPr/>
      </w:r>
    </w:p>
    <w:p>
      <w:pPr>
        <w:pStyle w:val="Normal"/>
        <w:ind w:firstLine="720" w:start="720" w:end="0"/>
        <w:rPr/>
      </w:pPr>
      <w:r>
        <w:rPr>
          <w:b/>
        </w:rPr>
        <w:t>[</w:t>
      </w:r>
      <w:r>
        <w:rPr/>
        <w:t>(xi)</w:t>
        <w:tab/>
        <w:t>for purposes of the "HUF-BUIBOR" Floating Rate Option, four major banks in the Budapest interbank market;</w:t>
      </w:r>
      <w:r>
        <w:rPr>
          <w:b/>
        </w:rPr>
        <w:t>]</w:t>
      </w:r>
    </w:p>
    <w:p>
      <w:pPr>
        <w:pStyle w:val="Normal"/>
        <w:spacing w:lineRule="exact" w:line="260"/>
        <w:rPr>
          <w:b/>
        </w:rPr>
      </w:pPr>
      <w:r>
        <w:rPr>
          <w:b/>
        </w:rPr>
      </w:r>
    </w:p>
    <w:p>
      <w:pPr>
        <w:pStyle w:val="Normal"/>
        <w:ind w:firstLine="720" w:start="720" w:end="0"/>
        <w:rPr/>
      </w:pPr>
      <w:r>
        <w:rPr/>
        <w:t>(xii)</w:t>
        <w:tab/>
        <w:t xml:space="preserve">for purposes of the "NZD-BBR" Floating Rate Option, four major banks in the New Zealand money market; </w:t>
      </w:r>
    </w:p>
    <w:p>
      <w:pPr>
        <w:pStyle w:val="Normal"/>
        <w:spacing w:lineRule="exact" w:line="260"/>
        <w:ind w:firstLine="720" w:start="720" w:end="0"/>
        <w:rPr/>
      </w:pPr>
      <w:r>
        <w:rPr/>
      </w:r>
    </w:p>
    <w:p>
      <w:pPr>
        <w:pStyle w:val="Normal"/>
        <w:ind w:firstLine="720" w:start="720" w:end="0"/>
        <w:rPr/>
      </w:pPr>
      <w:r>
        <w:rPr/>
        <w:t>(xiii)</w:t>
        <w:tab/>
        <w:t xml:space="preserve">for purposes of the "NOK-NIBOR" Floating Rate Option, four major banks in the Oslo interbank market; </w:t>
      </w:r>
    </w:p>
    <w:p>
      <w:pPr>
        <w:pStyle w:val="Normal"/>
        <w:spacing w:lineRule="exact" w:line="260"/>
        <w:ind w:firstLine="720" w:start="720" w:end="0"/>
        <w:rPr/>
      </w:pPr>
      <w:r>
        <w:rPr/>
      </w:r>
    </w:p>
    <w:p>
      <w:pPr>
        <w:pStyle w:val="Normal"/>
        <w:ind w:firstLine="720" w:start="720" w:end="0"/>
        <w:rPr/>
      </w:pPr>
      <w:r>
        <w:rPr/>
        <w:t>(xiv)</w:t>
        <w:tab/>
        <w:t xml:space="preserve">for purposes of the "PLZ-WIBOR" Floating Rate Option, five major banks in the Warsaw interbank market; </w:t>
      </w:r>
    </w:p>
    <w:p>
      <w:pPr>
        <w:pStyle w:val="Normal"/>
        <w:spacing w:lineRule="exact" w:line="260"/>
        <w:ind w:firstLine="720" w:start="720" w:end="0"/>
        <w:rPr/>
      </w:pPr>
      <w:r>
        <w:rPr/>
      </w:r>
    </w:p>
    <w:p>
      <w:pPr>
        <w:pStyle w:val="Normal"/>
        <w:ind w:firstLine="720" w:start="720" w:end="0"/>
        <w:rPr/>
      </w:pPr>
      <w:r>
        <w:rPr/>
        <w:t>(xv)</w:t>
        <w:tab/>
        <w:t>for purposes of the "SAR-SRIOR" Floating Rate Option, four major banks in the Riyadh interbank market;</w:t>
      </w:r>
    </w:p>
    <w:p>
      <w:pPr>
        <w:pStyle w:val="Normal"/>
        <w:spacing w:lineRule="exact" w:line="260"/>
        <w:ind w:firstLine="720" w:start="720" w:end="0"/>
        <w:rPr/>
      </w:pPr>
      <w:r>
        <w:rPr/>
      </w:r>
    </w:p>
    <w:p>
      <w:pPr>
        <w:pStyle w:val="Normal"/>
        <w:ind w:firstLine="720" w:start="720" w:end="0"/>
        <w:rPr/>
      </w:pPr>
      <w:r>
        <w:rPr/>
        <w:t>(xvi)</w:t>
        <w:tab/>
        <w:t>for purposes of any "SIBOR" Floating Rate Option, four major banks in the Singapore interbank market;</w:t>
      </w:r>
    </w:p>
    <w:p>
      <w:pPr>
        <w:pStyle w:val="Normal"/>
        <w:spacing w:lineRule="exact" w:line="260"/>
        <w:ind w:firstLine="720" w:start="720" w:end="0"/>
        <w:rPr/>
      </w:pPr>
      <w:r>
        <w:rPr/>
      </w:r>
    </w:p>
    <w:p>
      <w:pPr>
        <w:pStyle w:val="Normal"/>
        <w:ind w:firstLine="720" w:start="720" w:end="0"/>
        <w:rPr/>
      </w:pPr>
      <w:r>
        <w:rPr/>
        <w:t>(xvii)</w:t>
        <w:tab/>
        <w:t>for purposes of any "SOR" Floating Rate Option, four major banks in the Singapore interbank market;</w:t>
      </w:r>
    </w:p>
    <w:p>
      <w:pPr>
        <w:pStyle w:val="Normal"/>
        <w:spacing w:lineRule="exact" w:line="260"/>
        <w:ind w:firstLine="720" w:start="720" w:end="0"/>
        <w:rPr/>
      </w:pPr>
      <w:r>
        <w:rPr/>
      </w:r>
    </w:p>
    <w:p>
      <w:pPr>
        <w:pStyle w:val="Normal"/>
        <w:ind w:firstLine="720" w:start="720" w:end="0"/>
        <w:rPr/>
      </w:pPr>
      <w:r>
        <w:rPr/>
        <w:t>(xviii)</w:t>
        <w:tab/>
        <w:t xml:space="preserve">for purposes of the "SKK-BRIBOR" Floating Rate Option, four major banks in the Bratislava interbank market; </w:t>
      </w:r>
    </w:p>
    <w:p>
      <w:pPr>
        <w:pStyle w:val="Normal"/>
        <w:spacing w:lineRule="exact" w:line="260"/>
        <w:ind w:firstLine="720" w:start="720" w:end="0"/>
        <w:rPr/>
      </w:pPr>
      <w:r>
        <w:rPr/>
      </w:r>
    </w:p>
    <w:p>
      <w:pPr>
        <w:pStyle w:val="Normal"/>
        <w:ind w:firstLine="720" w:start="720" w:end="0"/>
        <w:rPr/>
      </w:pPr>
      <w:r>
        <w:rPr/>
        <w:t>(xix)</w:t>
        <w:tab/>
        <w:t xml:space="preserve">for purposes of any "ZAR-JIBAR", "ZAR-PRIME" or "ZAR-DEPOSIT" Floating Rate Option, four major banks in the Johannesburg interbank market; </w:t>
      </w:r>
    </w:p>
    <w:p>
      <w:pPr>
        <w:pStyle w:val="Normal"/>
        <w:spacing w:lineRule="exact" w:line="260"/>
        <w:ind w:firstLine="720" w:start="720" w:end="0"/>
        <w:rPr/>
      </w:pPr>
      <w:r>
        <w:rPr/>
      </w:r>
    </w:p>
    <w:p>
      <w:pPr>
        <w:pStyle w:val="Normal"/>
        <w:ind w:firstLine="720" w:start="720" w:end="0"/>
        <w:rPr/>
      </w:pPr>
      <w:r>
        <w:rPr/>
        <w:t>(xx)</w:t>
        <w:tab/>
        <w:t>for purposes of the "GBP-Semi-Annual Swap Rate" Floating Rate Option, five leading swap dealers in the London interbank market;</w:t>
      </w:r>
    </w:p>
    <w:p>
      <w:pPr>
        <w:pStyle w:val="Normal"/>
        <w:spacing w:lineRule="exact" w:line="260"/>
        <w:ind w:firstLine="720" w:start="720" w:end="0"/>
        <w:rPr/>
      </w:pPr>
      <w:r>
        <w:rPr/>
      </w:r>
    </w:p>
    <w:p>
      <w:pPr>
        <w:pStyle w:val="Normal"/>
        <w:ind w:firstLine="720" w:start="720" w:end="0"/>
        <w:rPr/>
      </w:pPr>
      <w:r>
        <w:rPr/>
        <w:t>(xxi)</w:t>
        <w:tab/>
        <w:t xml:space="preserve">for purposes of the "STIBOR" Floating Rate Option, four major banks in the Stockholm interbank market; </w:t>
      </w:r>
    </w:p>
    <w:p>
      <w:pPr>
        <w:pStyle w:val="Normal"/>
        <w:spacing w:lineRule="exact" w:line="260"/>
        <w:ind w:firstLine="720" w:start="720" w:end="0"/>
        <w:rPr/>
      </w:pPr>
      <w:r>
        <w:rPr/>
      </w:r>
    </w:p>
    <w:p>
      <w:pPr>
        <w:pStyle w:val="Normal"/>
        <w:ind w:firstLine="720" w:start="720" w:end="0"/>
        <w:rPr/>
      </w:pPr>
      <w:r>
        <w:rPr/>
        <w:t>(xxii)</w:t>
        <w:tab/>
        <w:t>for purposes of the "CHF-Annual Swap Rate" Floating Rate Option, five leading swap dealers in the interbank market;</w:t>
      </w:r>
    </w:p>
    <w:p>
      <w:pPr>
        <w:pStyle w:val="Normal"/>
        <w:tabs>
          <w:tab w:val="left" w:pos="720" w:leader="none"/>
        </w:tabs>
        <w:spacing w:lineRule="exact" w:line="260"/>
        <w:ind w:firstLine="720" w:start="720" w:end="0"/>
        <w:rPr/>
      </w:pPr>
      <w:r>
        <w:rPr/>
      </w:r>
    </w:p>
    <w:p>
      <w:pPr>
        <w:pStyle w:val="Normal"/>
        <w:ind w:firstLine="720" w:start="720" w:end="0"/>
        <w:rPr/>
      </w:pPr>
      <w:r>
        <w:rPr/>
        <w:t>(xxiii)</w:t>
        <w:tab/>
        <w:t xml:space="preserve">for purposes of the "USD-Prime" Floating Rate Option, three major banks in New York City; </w:t>
      </w:r>
    </w:p>
    <w:p>
      <w:pPr>
        <w:pStyle w:val="Normal"/>
        <w:tabs>
          <w:tab w:val="left" w:pos="720" w:leader="none"/>
        </w:tabs>
        <w:spacing w:lineRule="exact" w:line="260"/>
        <w:ind w:firstLine="720" w:end="0"/>
        <w:rPr>
          <w:sz w:val="20"/>
        </w:rPr>
      </w:pPr>
      <w:r>
        <w:rPr>
          <w:sz w:val="20"/>
        </w:rPr>
      </w:r>
    </w:p>
    <w:p>
      <w:pPr>
        <w:pStyle w:val="Normal"/>
        <w:ind w:firstLine="720" w:start="720" w:end="0"/>
        <w:rPr/>
      </w:pPr>
      <w:r>
        <w:rPr/>
        <w:t xml:space="preserve">(xxiv) </w:t>
        <w:tab/>
        <w:t>for purposes of the "USD-TIBOR" Floating Rate Option, four major banks in the Tokyo interbank market;</w:t>
      </w:r>
    </w:p>
    <w:p>
      <w:pPr>
        <w:pStyle w:val="Normal"/>
        <w:tabs>
          <w:tab w:val="left" w:pos="720" w:leader="none"/>
        </w:tabs>
        <w:spacing w:lineRule="exact" w:line="260"/>
        <w:ind w:firstLine="720" w:start="720" w:end="0"/>
        <w:rPr/>
      </w:pPr>
      <w:r>
        <w:rPr/>
      </w:r>
    </w:p>
    <w:p>
      <w:pPr>
        <w:pStyle w:val="Normal"/>
        <w:ind w:firstLine="720" w:start="720" w:end="0"/>
        <w:rPr/>
      </w:pPr>
      <w:r>
        <w:rPr/>
        <w:t>(xxv)</w:t>
        <w:tab/>
        <w:t>for purposes of the "USD-CMS-Telerate" and the "USD-ISDA-Swap Rate" Floating Rate Options, five leading swap dealers in the New York City interbank market;</w:t>
      </w:r>
    </w:p>
    <w:p>
      <w:pPr>
        <w:pStyle w:val="Normal"/>
        <w:tabs>
          <w:tab w:val="left" w:pos="720" w:leader="none"/>
        </w:tabs>
        <w:spacing w:lineRule="exact" w:line="260"/>
        <w:ind w:firstLine="720" w:start="720" w:end="0"/>
        <w:rPr/>
      </w:pPr>
      <w:r>
        <w:rPr/>
      </w:r>
    </w:p>
    <w:p>
      <w:pPr>
        <w:pStyle w:val="Normal"/>
        <w:ind w:firstLine="720" w:start="720" w:end="0"/>
        <w:rPr/>
      </w:pPr>
      <w:r>
        <w:rPr/>
        <w:t>(xxvi)</w:t>
        <w:tab/>
        <w:t>for purposes of the "JPY-TIBOR-TIBM (5 Banks)" Floating Rate Option, five major banks in the Tokyo interbank market;</w:t>
      </w:r>
    </w:p>
    <w:p>
      <w:pPr>
        <w:pStyle w:val="Normal"/>
        <w:tabs>
          <w:tab w:val="left" w:pos="720" w:leader="none"/>
        </w:tabs>
        <w:spacing w:lineRule="exact" w:line="260"/>
        <w:ind w:firstLine="720" w:start="720" w:end="0"/>
        <w:rPr/>
      </w:pPr>
      <w:r>
        <w:rPr/>
      </w:r>
    </w:p>
    <w:p>
      <w:pPr>
        <w:pStyle w:val="Normal"/>
        <w:ind w:firstLine="720" w:start="720" w:end="0"/>
        <w:rPr/>
      </w:pPr>
      <w:r>
        <w:rPr/>
        <w:t>(xxvii)</w:t>
        <w:tab/>
        <w:t>for purposes of the "JPY-TIBOR-TIBM (10 Banks)", "JPY-TIBOR-TIBM (All Banks)" and "JPY-TIBOR-ZTIBOR" Floating Rate Options, ten major banks in the Tokyo interbank market; and</w:t>
      </w:r>
    </w:p>
    <w:p>
      <w:pPr>
        <w:pStyle w:val="Normal"/>
        <w:spacing w:lineRule="exact" w:line="260"/>
        <w:ind w:firstLine="720" w:start="720" w:end="0"/>
        <w:rPr/>
      </w:pPr>
      <w:r>
        <w:rPr/>
      </w:r>
    </w:p>
    <w:p>
      <w:pPr>
        <w:pStyle w:val="Normal"/>
        <w:ind w:firstLine="720" w:start="720" w:end="0"/>
        <w:rPr/>
      </w:pPr>
      <w:r>
        <w:rPr/>
        <w:t>(xxviii)</w:t>
        <w:tab/>
        <w:t>for purposes of the "JPY-TSR-Telerate" and "JPY-ISDA-Swap Rate" Floating Rate Options, five leading swap dealers in the interbank market;</w:t>
      </w:r>
    </w:p>
    <w:p>
      <w:pPr>
        <w:pStyle w:val="Normal"/>
        <w:ind w:firstLine="720" w:end="0"/>
        <w:rPr/>
      </w:pPr>
      <w:r>
        <w:rPr/>
      </w:r>
    </w:p>
    <w:p>
      <w:pPr>
        <w:pStyle w:val="Normal"/>
        <w:rPr/>
      </w:pPr>
      <w:r>
        <w:rPr/>
        <w:t>in each case selected by the Calculation Agent or specified for the Swap Transaction.</w:t>
      </w:r>
    </w:p>
    <w:p>
      <w:pPr>
        <w:pStyle w:val="Normal"/>
        <w:spacing w:lineRule="exact" w:line="260"/>
        <w:ind w:firstLine="720" w:end="0"/>
        <w:rPr/>
      </w:pPr>
      <w:r>
        <w:rPr/>
      </w:r>
    </w:p>
    <w:p>
      <w:pPr>
        <w:pStyle w:val="Normal"/>
        <w:spacing w:lineRule="exact" w:line="260"/>
        <w:ind w:firstLine="720" w:end="0"/>
        <w:rPr/>
      </w:pPr>
      <w:r>
        <w:rPr/>
        <w:t>(d)</w:t>
        <w:tab/>
        <w:t>"Euro-zone" means the region comprised of member states of the European Union that adopt the euro in accordance with the EC Treaty.</w:t>
      </w:r>
    </w:p>
    <w:p>
      <w:pPr>
        <w:pStyle w:val="Normal"/>
        <w:spacing w:lineRule="exact" w:line="260"/>
        <w:ind w:firstLine="720" w:end="0"/>
        <w:rPr/>
      </w:pPr>
      <w:r>
        <w:rPr/>
      </w:r>
    </w:p>
    <w:p>
      <w:pPr>
        <w:pStyle w:val="Normal"/>
        <w:ind w:firstLine="720" w:end="0"/>
        <w:rPr/>
      </w:pPr>
      <w:r>
        <w:rPr/>
        <w:t>(e)</w:t>
        <w:tab/>
        <w:t>"BUBOR Regulation" means, as of any time, the Regulation of the Hungarian Forex Association regarding Budapest Interbank HUF Loan Interest Rate Fixing Procedures or any successor regulation then in effect.</w:t>
      </w:r>
    </w:p>
    <w:p>
      <w:pPr>
        <w:pStyle w:val="Normal"/>
        <w:spacing w:lineRule="exact" w:line="260"/>
        <w:ind w:firstLine="720" w:end="0"/>
        <w:rPr/>
      </w:pPr>
      <w:r>
        <w:rPr/>
      </w:r>
    </w:p>
    <w:p>
      <w:pPr>
        <w:pStyle w:val="Normal"/>
        <w:ind w:start="720" w:end="0"/>
        <w:rPr/>
      </w:pPr>
      <w:r>
        <w:rPr/>
        <w:t>(f)</w:t>
        <w:tab/>
        <w:t>"Reference Dealers" means:</w:t>
      </w:r>
    </w:p>
    <w:p>
      <w:pPr>
        <w:pStyle w:val="Normal"/>
        <w:ind w:firstLine="720" w:end="0"/>
        <w:rPr/>
      </w:pPr>
      <w:r>
        <w:rPr/>
      </w:r>
    </w:p>
    <w:p>
      <w:pPr>
        <w:pStyle w:val="Normal"/>
        <w:ind w:firstLine="720" w:start="720" w:end="0"/>
        <w:rPr/>
      </w:pPr>
      <w:r>
        <w:rPr/>
        <w:t>(i)</w:t>
        <w:tab/>
        <w:t>for purposes of the "USD-TBILL" Floating Rate Option, three primary United States government securities dealers in New York City;</w:t>
      </w:r>
    </w:p>
    <w:p>
      <w:pPr>
        <w:pStyle w:val="Normal"/>
        <w:ind w:firstLine="720" w:start="720" w:end="0"/>
        <w:rPr/>
      </w:pPr>
      <w:r>
        <w:rPr/>
      </w:r>
    </w:p>
    <w:p>
      <w:pPr>
        <w:pStyle w:val="Normal"/>
        <w:ind w:firstLine="720" w:start="720" w:end="0"/>
        <w:rPr/>
      </w:pPr>
      <w:r>
        <w:rPr/>
        <w:t>(ii)</w:t>
        <w:tab/>
        <w:t>for purposes of the "USD-CD" Floating Rate Option, three leading nonbank dealers in negotiable U.S. Dollar certificates of deposit in New York City;</w:t>
      </w:r>
    </w:p>
    <w:p>
      <w:pPr>
        <w:pStyle w:val="Normal"/>
        <w:ind w:firstLine="720" w:start="720" w:end="0"/>
        <w:rPr/>
      </w:pPr>
      <w:r>
        <w:rPr/>
      </w:r>
    </w:p>
    <w:p>
      <w:pPr>
        <w:pStyle w:val="Normal"/>
        <w:ind w:firstLine="720" w:start="720" w:end="0"/>
        <w:rPr/>
      </w:pPr>
      <w:r>
        <w:rPr/>
        <w:t>(iii)</w:t>
        <w:tab/>
        <w:t>for purposes of the "USD-CP" Floating Rate Option, three leading dealers of U.S. Dollar commercial paper in New York City;</w:t>
      </w:r>
    </w:p>
    <w:p>
      <w:pPr>
        <w:pStyle w:val="Normal"/>
        <w:ind w:firstLine="720" w:start="720" w:end="0"/>
        <w:rPr/>
      </w:pPr>
      <w:r>
        <w:rPr/>
      </w:r>
    </w:p>
    <w:p>
      <w:pPr>
        <w:pStyle w:val="Normal"/>
        <w:ind w:firstLine="720" w:start="720" w:end="0"/>
        <w:rPr/>
      </w:pPr>
      <w:r>
        <w:rPr/>
        <w:t>(iv)</w:t>
        <w:tab/>
        <w:t>for purposes of the "USD-Federal Funds" Floating Rate Option, three leading brokers of U.S. Dollar Federal funds transactions in New York City; and</w:t>
      </w:r>
    </w:p>
    <w:p>
      <w:pPr>
        <w:pStyle w:val="Normal"/>
        <w:ind w:firstLine="720" w:start="720" w:end="0"/>
        <w:rPr/>
      </w:pPr>
      <w:r>
        <w:rPr/>
      </w:r>
    </w:p>
    <w:p>
      <w:pPr>
        <w:pStyle w:val="Normal"/>
        <w:ind w:firstLine="720" w:start="720" w:end="0"/>
        <w:rPr/>
      </w:pPr>
      <w:r>
        <w:rPr/>
        <w:t>(v)</w:t>
        <w:tab/>
        <w:t>for purposes of the "USD-BA" Floating Rate Option, three leading dealers of U.S. Dollar bankers acceptances in New York City;</w:t>
      </w:r>
    </w:p>
    <w:p>
      <w:pPr>
        <w:pStyle w:val="Normal"/>
        <w:ind w:firstLine="720" w:end="0"/>
        <w:rPr/>
      </w:pPr>
      <w:r>
        <w:rPr/>
      </w:r>
    </w:p>
    <w:p>
      <w:pPr>
        <w:pStyle w:val="Normal"/>
        <w:rPr/>
      </w:pPr>
      <w:r>
        <w:rPr/>
        <w:t>in each case selected by the Calculation Agent or specified for the Swap Transaction.</w:t>
      </w:r>
    </w:p>
    <w:p>
      <w:pPr>
        <w:pStyle w:val="Normal"/>
        <w:tabs>
          <w:tab w:val="clear" w:pos="720"/>
          <w:tab w:val="left" w:pos="460" w:leader="none"/>
        </w:tabs>
        <w:spacing w:lineRule="exact" w:line="260"/>
        <w:ind w:firstLine="720" w:end="0"/>
        <w:rPr/>
      </w:pPr>
      <w:r>
        <w:rPr/>
      </w:r>
    </w:p>
    <w:p>
      <w:pPr>
        <w:pStyle w:val="Normal"/>
        <w:ind w:firstLine="720" w:end="0"/>
        <w:rPr/>
      </w:pPr>
      <w:r>
        <w:rPr/>
        <w:t>(g)</w:t>
        <w:tab/>
        <w:t>"Bond Equivalent Yield" means, in respect of any security with a maturity of six months or less, the rate for which is quoted on a bank discount basis, a yield (expressed as a percentage) calculated in accordance with the following formula:</w:t>
      </w:r>
    </w:p>
    <w:p>
      <w:pPr>
        <w:pStyle w:val="Normal"/>
        <w:ind w:firstLine="720" w:end="0"/>
        <w:rPr/>
      </w:pPr>
      <w:r>
        <w:rPr/>
      </w:r>
    </w:p>
    <w:p>
      <w:pPr>
        <w:pStyle w:val="Normal"/>
        <w:jc w:val="center"/>
        <w:rPr/>
      </w:pPr>
      <w:r>
        <w:rPr/>
        <w:t xml:space="preserve">  </w:t>
      </w:r>
      <w:r>
        <w:rPr/>
      </w:r>
      <m:oMath xmlns:m="http://schemas.openxmlformats.org/officeDocument/2006/math"/>
      <w:r>
        <w:rPr/>
      </w:r>
      <m:oMath xmlns:m="http://schemas.openxmlformats.org/officeDocument/2006/math">
        <m:r>
          <m:rPr>
            <m:lit/>
            <m:nor/>
          </m:rPr>
          <m:t xml:space="preserve">Bond</m:t>
        </m:r>
        <m:r>
          <m:t xml:space="preserve"> </m:t>
        </m:r>
        <m:r>
          <m:rPr>
            <m:lit/>
            <m:nor/>
          </m:rPr>
          <m:t xml:space="preserve">Equivalent</m:t>
        </m:r>
        <m:r>
          <m:t xml:space="preserve"> </m:t>
        </m:r>
        <m:r>
          <m:rPr>
            <m:lit/>
            <m:nor/>
          </m:rPr>
          <m:t xml:space="preserve">Yield</m:t>
        </m:r>
        <m:r>
          <m:t xml:space="preserve"> </m:t>
        </m:r>
        <m:r>
          <m:t xml:space="preserve">=</m:t>
        </m:r>
        <m:r>
          <m:t xml:space="preserve"> </m:t>
        </m:r>
        <m:f>
          <m:num>
            <m:r>
              <m:t xml:space="preserve">D</m:t>
            </m:r>
            <m:r>
              <m:t xml:space="preserve"> </m:t>
            </m:r>
            <m:r>
              <m:t xml:space="preserve">×</m:t>
            </m:r>
            <m:r>
              <m:t xml:space="preserve"> </m:t>
            </m:r>
            <m:r>
              <m:t xml:space="preserve">N</m:t>
            </m:r>
          </m:num>
          <m:den>
            <m:r>
              <m:rPr>
                <m:lit/>
                <m:nor/>
              </m:rPr>
              <m:t xml:space="preserve">360</m:t>
            </m:r>
            <m:r>
              <m:t xml:space="preserve"> </m:t>
            </m:r>
            <m:r>
              <m:t xml:space="preserve">−</m:t>
            </m:r>
            <m:r>
              <m:t xml:space="preserve"> </m:t>
            </m:r>
            <m:r>
              <m:t xml:space="preserve">(</m:t>
            </m:r>
            <m:r>
              <m:t xml:space="preserve">D</m:t>
            </m:r>
            <m:r>
              <m:t xml:space="preserve"> </m:t>
            </m:r>
            <m:r>
              <m:t xml:space="preserve">×</m:t>
            </m:r>
            <m:r>
              <m:t xml:space="preserve"> </m:t>
            </m:r>
            <m:r>
              <m:t xml:space="preserve">M</m:t>
            </m:r>
            <m:r>
              <m:t xml:space="preserve">)</m:t>
            </m:r>
          </m:den>
        </m:f>
        <m:r>
          <m:t xml:space="preserve"> </m:t>
        </m:r>
        <m:r>
          <m:t xml:space="preserve">×</m:t>
        </m:r>
        <m:r>
          <m:t xml:space="preserve"> </m:t>
        </m:r>
        <m:r>
          <m:rPr>
            <m:lit/>
            <m:nor/>
          </m:rPr>
          <m:t xml:space="preserve">100</m:t>
        </m:r>
      </m:oMath>
    </w:p>
    <w:p>
      <w:pPr>
        <w:pStyle w:val="Normal"/>
        <w:ind w:firstLine="720" w:end="0"/>
        <w:rPr/>
      </w:pPr>
      <w:r>
        <w:rPr/>
      </w:r>
    </w:p>
    <w:p>
      <w:pPr>
        <w:pStyle w:val="Normal"/>
        <w:spacing w:lineRule="exact" w:line="260"/>
        <w:ind w:firstLine="720" w:start="720" w:end="0"/>
        <w:rPr/>
      </w:pPr>
      <w:r>
        <w:rPr/>
        <w:t>where:</w:t>
      </w:r>
    </w:p>
    <w:p>
      <w:pPr>
        <w:pStyle w:val="Normal"/>
        <w:spacing w:lineRule="exact" w:line="260"/>
        <w:ind w:firstLine="720" w:start="720" w:end="0"/>
        <w:rPr/>
      </w:pPr>
      <w:r>
        <w:rPr/>
      </w:r>
    </w:p>
    <w:p>
      <w:pPr>
        <w:pStyle w:val="Normal"/>
        <w:spacing w:lineRule="exact" w:line="260"/>
        <w:ind w:firstLine="720" w:start="1440" w:end="0"/>
        <w:rPr/>
      </w:pPr>
      <w:r>
        <w:rPr/>
        <w:t>"D" refers to the per annum rate for the security, quoted on a bank discount basis and expressed as a decimal;</w:t>
      </w:r>
    </w:p>
    <w:p>
      <w:pPr>
        <w:pStyle w:val="Normal"/>
        <w:spacing w:lineRule="exact" w:line="260"/>
        <w:ind w:firstLine="720" w:start="720" w:end="0"/>
        <w:rPr/>
      </w:pPr>
      <w:r>
        <w:rPr/>
      </w:r>
    </w:p>
    <w:p>
      <w:pPr>
        <w:pStyle w:val="Normal"/>
        <w:spacing w:lineRule="exact" w:line="260"/>
        <w:ind w:firstLine="720" w:start="1440" w:end="0"/>
        <w:rPr/>
      </w:pPr>
      <w:r>
        <w:rPr/>
        <w:t>"N" refers to 365 or 366</w:t>
      </w:r>
      <w:r>
        <w:rPr>
          <w:i/>
        </w:rPr>
        <w:t xml:space="preserve">, </w:t>
      </w:r>
      <w:r>
        <w:rPr/>
        <w:t>as the case may be; and</w:t>
      </w:r>
    </w:p>
    <w:p>
      <w:pPr>
        <w:pStyle w:val="Normal"/>
        <w:spacing w:lineRule="exact" w:line="260"/>
        <w:ind w:firstLine="720" w:start="720" w:end="0"/>
        <w:rPr/>
      </w:pPr>
      <w:r>
        <w:rPr/>
      </w:r>
    </w:p>
    <w:p>
      <w:pPr>
        <w:pStyle w:val="Normal"/>
        <w:spacing w:lineRule="exact" w:line="260"/>
        <w:ind w:firstLine="720" w:start="1440" w:end="0"/>
        <w:rPr/>
      </w:pPr>
      <w:r>
        <w:rPr/>
        <w:t>"M" refers to, if the Designated Maturity approximately corresponds to the length of the Calculation Period or Compounding Period for which the Bond Equivalent Yield is being calculated, the actual number of days in that Calculation Period or Compounding Period and, otherwise, the actual number of days in the period from, and including, the applicable Reset Date to, but excluding, the day that numerically corresponds to that Reset Date (or, if there is not any such numerically corresponding day, the last day) in the calendar month that is the number of months corresponding to the Designated Maturity after the month in which that Reset Date occurred.</w:t>
      </w:r>
    </w:p>
    <w:p>
      <w:pPr>
        <w:pStyle w:val="Normal"/>
        <w:tabs>
          <w:tab w:val="left" w:pos="720" w:leader="none"/>
        </w:tabs>
        <w:spacing w:lineRule="exact" w:line="260"/>
        <w:rPr/>
      </w:pPr>
      <w:r>
        <w:rPr/>
      </w:r>
    </w:p>
    <w:p>
      <w:pPr>
        <w:pStyle w:val="Normal"/>
        <w:ind w:firstLine="720" w:end="0"/>
        <w:rPr/>
      </w:pPr>
      <w:r>
        <w:rPr/>
        <w:t xml:space="preserve">(h) </w:t>
        <w:tab/>
        <w:t>"Money Market Yield" means, in respect of any security with a maturity of six months or less, the rate for which is quoted on a bank discount basis, a yield (expressed as a percentage) calculated in accordance with the following formula:</w:t>
      </w:r>
    </w:p>
    <w:p>
      <w:pPr>
        <w:pStyle w:val="Normal"/>
        <w:ind w:firstLine="720" w:end="0"/>
        <w:rPr/>
      </w:pPr>
      <w:r>
        <w:rPr/>
      </w:r>
    </w:p>
    <w:p>
      <w:pPr>
        <w:pStyle w:val="Normal"/>
        <w:jc w:val="center"/>
        <w:rPr/>
      </w:pPr>
      <w:r>
        <w:rPr/>
      </w:r>
      <m:oMath xmlns:m="http://schemas.openxmlformats.org/officeDocument/2006/math"/>
      <w:r>
        <w:rPr/>
      </w:r>
      <m:oMath xmlns:m="http://schemas.openxmlformats.org/officeDocument/2006/math">
        <m:r>
          <m:rPr>
            <m:lit/>
            <m:nor/>
          </m:rPr>
          <m:t xml:space="preserve">Money</m:t>
        </m:r>
        <m:r>
          <m:t xml:space="preserve"> </m:t>
        </m:r>
        <m:r>
          <m:rPr>
            <m:lit/>
            <m:nor/>
          </m:rPr>
          <m:t xml:space="preserve">Market</m:t>
        </m:r>
        <m:r>
          <m:t xml:space="preserve"> </m:t>
        </m:r>
        <m:r>
          <m:rPr>
            <m:lit/>
            <m:nor/>
          </m:rPr>
          <m:t xml:space="preserve">Yield</m:t>
        </m:r>
        <m:r>
          <m:t xml:space="preserve"> </m:t>
        </m:r>
        <m:r>
          <m:t xml:space="preserve">=</m:t>
        </m:r>
        <m:r>
          <m:t xml:space="preserve"> </m:t>
        </m:r>
        <m:f>
          <m:num>
            <m:r>
              <m:t xml:space="preserve">D</m:t>
            </m:r>
            <m:r>
              <m:t xml:space="preserve"> </m:t>
            </m:r>
            <m:r>
              <m:t xml:space="preserve">×</m:t>
            </m:r>
            <m:r>
              <m:t xml:space="preserve"> </m:t>
            </m:r>
            <m:r>
              <m:rPr>
                <m:lit/>
                <m:nor/>
              </m:rPr>
              <m:t xml:space="preserve">360</m:t>
            </m:r>
          </m:num>
          <m:den>
            <m:r>
              <m:rPr>
                <m:lit/>
                <m:nor/>
              </m:rPr>
              <m:t xml:space="preserve">360</m:t>
            </m:r>
            <m:r>
              <m:t xml:space="preserve"> </m:t>
            </m:r>
            <m:r>
              <m:t xml:space="preserve">−</m:t>
            </m:r>
            <m:r>
              <m:t xml:space="preserve"> </m:t>
            </m:r>
            <m:r>
              <m:t xml:space="preserve">(</m:t>
            </m:r>
            <m:r>
              <m:t xml:space="preserve">D</m:t>
            </m:r>
            <m:r>
              <m:t xml:space="preserve"> </m:t>
            </m:r>
            <m:r>
              <m:t xml:space="preserve">×</m:t>
            </m:r>
            <m:r>
              <m:t xml:space="preserve"> </m:t>
            </m:r>
            <m:r>
              <m:t xml:space="preserve">M</m:t>
            </m:r>
            <m:r>
              <m:t xml:space="preserve">)</m:t>
            </m:r>
          </m:den>
        </m:f>
        <m:r>
          <m:t xml:space="preserve"> </m:t>
        </m:r>
        <m:r>
          <m:t xml:space="preserve">×</m:t>
        </m:r>
        <m:r>
          <m:t xml:space="preserve"> </m:t>
        </m:r>
        <m:r>
          <m:rPr>
            <m:lit/>
            <m:nor/>
          </m:rPr>
          <m:t xml:space="preserve">100</m:t>
        </m:r>
      </m:oMath>
    </w:p>
    <w:p>
      <w:pPr>
        <w:pStyle w:val="Normal"/>
        <w:ind w:firstLine="720" w:end="0"/>
        <w:rPr/>
      </w:pPr>
      <w:r>
        <w:rPr/>
      </w:r>
    </w:p>
    <w:p>
      <w:pPr>
        <w:pStyle w:val="Normal"/>
        <w:ind w:firstLine="720" w:start="720" w:end="0"/>
        <w:rPr/>
      </w:pPr>
      <w:r>
        <w:rPr/>
        <w:t>where:</w:t>
      </w:r>
    </w:p>
    <w:p>
      <w:pPr>
        <w:pStyle w:val="Normal"/>
        <w:ind w:firstLine="720" w:start="720" w:end="0"/>
        <w:rPr/>
      </w:pPr>
      <w:r>
        <w:rPr/>
      </w:r>
    </w:p>
    <w:p>
      <w:pPr>
        <w:pStyle w:val="Normal"/>
        <w:ind w:firstLine="720" w:start="1440" w:end="0"/>
        <w:rPr/>
      </w:pPr>
      <w:r>
        <w:rPr/>
        <w:t>"D" refers to the per annum rate for a security, quoted on a bank discount basis and expressed as a decimal; and</w:t>
      </w:r>
    </w:p>
    <w:p>
      <w:pPr>
        <w:pStyle w:val="Normal"/>
        <w:ind w:firstLine="720" w:start="720" w:end="0"/>
        <w:rPr/>
      </w:pPr>
      <w:r>
        <w:rPr/>
      </w:r>
    </w:p>
    <w:p>
      <w:pPr>
        <w:pStyle w:val="Normal"/>
        <w:ind w:firstLine="720" w:start="1440" w:end="0"/>
        <w:rPr/>
      </w:pPr>
      <w:r>
        <w:rPr/>
        <w:t>"M" refers to, if the Designated Maturity approximately corresponds to the length of the Calculation Period or Compounding Period for which the Money Market Yield is being calculated, the actual number of days in that Calculation Period or Compounding Period and, otherwise, the actual number of days in the period from, and including, the applicable Reset Date to, but excluding, the day that numerically corresponds to that Reset Date (or, if there is not any such numerically corresponding day, the last day) in the calendar month that is the number of months corresponding to the Designated Maturity after the month in which that Reset Date occurred.</w:t>
      </w:r>
    </w:p>
    <w:p>
      <w:pPr>
        <w:pStyle w:val="Normal"/>
        <w:spacing w:lineRule="exact" w:line="260"/>
        <w:ind w:start="720" w:end="0"/>
        <w:rPr/>
      </w:pPr>
      <w:r>
        <w:rPr/>
      </w:r>
      <w:r>
        <w:br w:type="page"/>
      </w:r>
    </w:p>
    <w:p>
      <w:pPr>
        <w:pStyle w:val="Normal"/>
        <w:ind w:firstLine="720" w:end="0"/>
        <w:rPr/>
      </w:pPr>
      <w:r>
        <w:rPr>
          <w:b/>
        </w:rPr>
        <w:t>Section 7.6. Corrections to Published and Displayed Rates.</w:t>
      </w:r>
      <w:r>
        <w:fldChar w:fldCharType="begin"/>
      </w:r>
      <w:r>
        <w:rPr/>
        <w:instrText xml:space="preserve"> TC "SECTION 7.6.</w:instrText>
        <w:tab/>
        <w:instrText xml:space="preserve">Corrections to Published and Displayed Rates and Prices." \l 1 </w:instrText>
      </w:r>
      <w:r>
        <w:rPr/>
        <w:fldChar w:fldCharType="separate"/>
      </w:r>
      <w:r>
        <w:rPr/>
      </w:r>
      <w:r>
        <w:rPr/>
        <w:fldChar w:fldCharType="end"/>
      </w:r>
      <w:bookmarkStart w:id="15" w:name="__RefHeading___Toc474574659"/>
      <w:bookmarkEnd w:id="15"/>
      <w:r>
        <w:rPr/>
        <w:t xml:space="preserve">  For purposes of determining the Relevant Rate for any day:</w:t>
      </w:r>
    </w:p>
    <w:p>
      <w:pPr>
        <w:pStyle w:val="Normal"/>
        <w:tabs>
          <w:tab w:val="clear" w:pos="720"/>
          <w:tab w:val="left" w:pos="1260" w:leader="none"/>
        </w:tabs>
        <w:rPr/>
      </w:pPr>
      <w:r>
        <w:rPr/>
      </w:r>
      <w:bookmarkStart w:id="16" w:name="ARTICLE7"/>
      <w:bookmarkStart w:id="17" w:name="ARTICLE7"/>
      <w:bookmarkEnd w:id="17"/>
    </w:p>
    <w:p>
      <w:pPr>
        <w:pStyle w:val="Normal"/>
        <w:ind w:firstLine="720" w:end="0"/>
        <w:rPr/>
      </w:pPr>
      <w:r>
        <w:rPr/>
        <w:t>(a)</w:t>
        <w:tab/>
        <w:t xml:space="preserve">in any case where the Relevant Rate for a day is based on information obtained from the Reuters Screen, Telerate or the Bloomberg Screen, that Relevant Rate will be subject to the corrections, if any, to that information subsequently displayed by that source within </w:t>
      </w:r>
      <w:r>
        <w:rPr>
          <w:b/>
        </w:rPr>
        <w:t>[</w:t>
      </w:r>
      <w:r>
        <w:rPr/>
        <w:t>one hour</w:t>
      </w:r>
      <w:r>
        <w:rPr>
          <w:b/>
        </w:rPr>
        <w:t>]</w:t>
      </w:r>
      <w:r>
        <w:rPr/>
        <w:t xml:space="preserve"> of the time when such rate is first displayed by such source;</w:t>
      </w:r>
    </w:p>
    <w:p>
      <w:pPr>
        <w:pStyle w:val="Normal"/>
        <w:spacing w:lineRule="exact" w:line="260"/>
        <w:ind w:firstLine="720" w:start="720" w:end="0"/>
        <w:rPr/>
      </w:pPr>
      <w:r>
        <w:rPr/>
      </w:r>
    </w:p>
    <w:p>
      <w:pPr>
        <w:pStyle w:val="Normal"/>
        <w:ind w:firstLine="720" w:end="0"/>
        <w:rPr/>
      </w:pPr>
      <w:r>
        <w:rPr/>
        <w:t>(b)</w:t>
        <w:tab/>
        <w:t>in any case where the Relevant Rate for a day is based on information obtained from H.15(519) or H.15 Daily Update, that Relevant Rate will be subject to the corrections, if any, to that information subsequently published by that source within 30 days of that day; and</w:t>
      </w:r>
    </w:p>
    <w:p>
      <w:pPr>
        <w:pStyle w:val="Normal"/>
        <w:spacing w:lineRule="exact" w:line="260"/>
        <w:rPr/>
      </w:pPr>
      <w:r>
        <w:rPr/>
      </w:r>
    </w:p>
    <w:p>
      <w:pPr>
        <w:pStyle w:val="Normal"/>
        <w:ind w:firstLine="720" w:end="0"/>
        <w:rPr/>
      </w:pPr>
      <w:r>
        <w:rPr/>
        <w:t>(c)</w:t>
        <w:tab/>
        <w:t>in the event that a party to any Swap Transaction notifies the other party to the Swap Transaction of any correction referred to in subsections (a) or (b) above no later than 15 days after the expiration of the period referred to in such subsection, an appropriate amount will be payable as a result of such correction (whether such correction is made or such notice is given before or after the Termination Date of the Swap Transaction), together with interest on that amount at a rate per annum equal to the cost (without proof or evidence of any actual cost) to the relevant party (as certified by it) of funding that amount for the period from, and including, the day on which, based on such correction, a payment in the incorrect amount was first made to, but excluding, the day of payment of the refund or payment resulting from such correction.</w:t>
      </w:r>
    </w:p>
    <w:p>
      <w:pPr>
        <w:pStyle w:val="Normal"/>
        <w:ind w:firstLine="720" w:start="720" w:end="0"/>
        <w:rPr/>
      </w:pPr>
      <w:r>
        <w:rPr/>
      </w:r>
      <w:r>
        <w:br w:type="page"/>
      </w:r>
    </w:p>
    <w:p>
      <w:pPr>
        <w:pStyle w:val="Normal"/>
        <w:jc w:val="center"/>
        <w:rPr>
          <w:b/>
        </w:rPr>
      </w:pPr>
      <w:r>
        <w:rPr>
          <w:b/>
        </w:rPr>
        <w:t>ARTICLE 8</w:t>
      </w:r>
    </w:p>
    <w:p>
      <w:pPr>
        <w:pStyle w:val="Normal"/>
        <w:jc w:val="center"/>
        <w:rPr>
          <w:b/>
        </w:rPr>
      </w:pPr>
      <w:r>
        <w:rPr>
          <w:b/>
        </w:rPr>
      </w:r>
    </w:p>
    <w:p>
      <w:pPr>
        <w:pStyle w:val="Normal"/>
        <w:jc w:val="center"/>
        <w:rPr>
          <w:b/>
        </w:rPr>
      </w:pPr>
      <w:r>
        <w:rPr>
          <w:b/>
        </w:rPr>
        <w:t>ROUNDING; INTERPOLATION; DISCOUNTING</w:t>
      </w:r>
    </w:p>
    <w:p>
      <w:pPr>
        <w:pStyle w:val="Normal"/>
        <w:jc w:val="center"/>
        <w:rPr>
          <w:b/>
        </w:rPr>
      </w:pPr>
      <w:r>
        <w:rPr>
          <w:b/>
        </w:rPr>
      </w:r>
    </w:p>
    <w:p>
      <w:pPr>
        <w:pStyle w:val="Normal"/>
        <w:ind w:firstLine="720" w:end="0"/>
        <w:rPr/>
      </w:pPr>
      <w:bookmarkStart w:id="18" w:name="ARTICLE8"/>
      <w:bookmarkEnd w:id="18"/>
      <w:r>
        <w:rPr>
          <w:b/>
        </w:rPr>
        <w:t>Section 8.2. Rounding of Currency Amounts.</w:t>
      </w:r>
      <w:r>
        <w:fldChar w:fldCharType="begin"/>
      </w:r>
      <w:r>
        <w:rPr/>
        <w:instrText xml:space="preserve"> TC "SECTION 8.2.</w:instrText>
        <w:tab/>
        <w:instrText xml:space="preserve">Rounding of Currency Amounts" \l 1 </w:instrText>
      </w:r>
      <w:r>
        <w:rPr/>
        <w:fldChar w:fldCharType="separate"/>
      </w:r>
      <w:r>
        <w:rPr/>
      </w:r>
      <w:r>
        <w:rPr/>
        <w:fldChar w:fldCharType="end"/>
      </w:r>
      <w:bookmarkStart w:id="19" w:name="__RefHeading___Toc474574722"/>
      <w:bookmarkEnd w:id="19"/>
      <w:r>
        <w:rPr/>
        <w:t xml:space="preserve">  For purposes of Section 9.1 (Rounding):</w:t>
      </w:r>
    </w:p>
    <w:p>
      <w:pPr>
        <w:pStyle w:val="Normal"/>
        <w:ind w:firstLine="720" w:end="0"/>
        <w:rPr/>
      </w:pPr>
      <w:r>
        <w:rPr/>
      </w:r>
      <w:bookmarkStart w:id="20" w:name="ARTICLE8"/>
      <w:bookmarkStart w:id="21" w:name="ARTICLE8"/>
      <w:bookmarkEnd w:id="21"/>
    </w:p>
    <w:p>
      <w:pPr>
        <w:pStyle w:val="Normal"/>
        <w:ind w:firstLine="720" w:end="0"/>
        <w:rPr/>
      </w:pPr>
      <w:r>
        <w:rPr/>
        <w:t>(a)</w:t>
        <w:tab/>
        <w:t>all U.S. Dollar amounts used in or resulting from such calculations will be rounded to the nearest cent (with one half cent being rounded up);</w:t>
      </w:r>
    </w:p>
    <w:p>
      <w:pPr>
        <w:pStyle w:val="Normal"/>
        <w:ind w:firstLine="720" w:end="0"/>
        <w:rPr/>
      </w:pPr>
      <w:r>
        <w:rPr/>
      </w:r>
    </w:p>
    <w:p>
      <w:pPr>
        <w:pStyle w:val="Normal"/>
        <w:ind w:firstLine="720" w:end="0"/>
        <w:rPr/>
      </w:pPr>
      <w:r>
        <w:rPr/>
        <w:t>(b)</w:t>
        <w:tab/>
        <w:t>all Japanese Yen amounts used in or resulting from such calculations will be rounded downwards to the next lower whole Japanese Yen amount; and</w:t>
      </w:r>
    </w:p>
    <w:p>
      <w:pPr>
        <w:pStyle w:val="Normal"/>
        <w:ind w:firstLine="720" w:end="0"/>
        <w:rPr/>
      </w:pPr>
      <w:r>
        <w:rPr/>
      </w:r>
    </w:p>
    <w:p>
      <w:pPr>
        <w:pStyle w:val="Normal"/>
        <w:ind w:firstLine="720" w:end="0"/>
        <w:rPr/>
      </w:pPr>
      <w:r>
        <w:rPr/>
        <w:t>(c)</w:t>
        <w:tab/>
        <w:t>all amounts denominated in any other currency used in or resulting from such calculations will be rounded to the nearest two decimal places in such currency, with .005 being rounded upwards (</w:t>
      </w:r>
      <w:r>
        <w:rPr>
          <w:i/>
        </w:rPr>
        <w:t>e.g.</w:t>
      </w:r>
      <w:r>
        <w:rPr/>
        <w:t>, .674 being rounded down to .67 and .675 being rounded up to .68).</w:t>
      </w:r>
    </w:p>
    <w:p>
      <w:pPr>
        <w:pStyle w:val="Normal"/>
        <w:ind w:firstLine="720" w:end="0"/>
        <w:rPr/>
      </w:pPr>
      <w:r>
        <w:rPr/>
      </w:r>
      <w:r>
        <w:br w:type="page"/>
      </w:r>
    </w:p>
    <w:p>
      <w:pPr>
        <w:pStyle w:val="Normal"/>
        <w:jc w:val="center"/>
        <w:rPr>
          <w:b/>
        </w:rPr>
      </w:pPr>
      <w:r>
        <w:rPr>
          <w:b/>
        </w:rPr>
        <w:t>ARTICLE 17</w:t>
      </w:r>
    </w:p>
    <w:p>
      <w:pPr>
        <w:pStyle w:val="Normal"/>
        <w:jc w:val="center"/>
        <w:rPr>
          <w:b/>
        </w:rPr>
      </w:pPr>
      <w:r>
        <w:rPr>
          <w:b/>
        </w:rPr>
      </w:r>
    </w:p>
    <w:p>
      <w:pPr>
        <w:pStyle w:val="Normal"/>
        <w:jc w:val="center"/>
        <w:rPr>
          <w:b/>
        </w:rPr>
      </w:pPr>
      <w:r>
        <w:rPr>
          <w:b/>
        </w:rPr>
        <w:t>CASH SETTLEMENT</w:t>
      </w:r>
    </w:p>
    <w:p>
      <w:pPr>
        <w:pStyle w:val="Normal"/>
        <w:rPr>
          <w:b/>
        </w:rPr>
      </w:pPr>
      <w:r>
        <w:rPr>
          <w:b/>
        </w:rPr>
      </w:r>
    </w:p>
    <w:p>
      <w:pPr>
        <w:pStyle w:val="Normal"/>
        <w:ind w:firstLine="720" w:end="0"/>
        <w:rPr/>
      </w:pPr>
      <w:bookmarkStart w:id="22" w:name="ARTICLE17"/>
      <w:bookmarkEnd w:id="22"/>
      <w:r>
        <w:rPr>
          <w:b/>
        </w:rPr>
        <w:t>Section 17.2(d).  Cash Settlement Valuation Dates.</w:t>
      </w:r>
      <w:r>
        <w:fldChar w:fldCharType="begin"/>
      </w:r>
      <w:r>
        <w:rPr/>
        <w:instrText xml:space="preserve"> TC "SECTION 17.2(d)</w:instrText>
        <w:tab/>
        <w:instrText xml:space="preserve">Cash Settlement Valuation Date" \l 1 </w:instrText>
      </w:r>
      <w:r>
        <w:rPr/>
        <w:fldChar w:fldCharType="separate"/>
      </w:r>
      <w:r>
        <w:rPr/>
      </w:r>
      <w:r>
        <w:rPr/>
        <w:fldChar w:fldCharType="end"/>
      </w:r>
      <w:bookmarkStart w:id="23" w:name="__RefHeading___Toc474574844"/>
      <w:bookmarkEnd w:id="23"/>
      <w:r>
        <w:rPr>
          <w:b/>
        </w:rPr>
        <w:t xml:space="preserve">  </w:t>
      </w:r>
      <w:r>
        <w:rPr/>
        <w:t>For purposes of Section 17.2(c)(i) , the Cash Settlement Valuation Date for each of the following currencies and Floating Rate Options will be determined as indicated below:</w:t>
      </w:r>
    </w:p>
    <w:p>
      <w:pPr>
        <w:pStyle w:val="Normal"/>
        <w:ind w:firstLine="720" w:end="0"/>
        <w:rPr/>
      </w:pPr>
      <w:r>
        <w:rPr/>
      </w:r>
      <w:bookmarkStart w:id="24" w:name="ARTICLE17"/>
      <w:bookmarkStart w:id="25" w:name="ARTICLE17"/>
      <w:bookmarkEnd w:id="25"/>
    </w:p>
    <w:tbl>
      <w:tblPr>
        <w:tblW w:w="6945" w:type="dxa"/>
        <w:jc w:val="start"/>
        <w:tblInd w:w="1668" w:type="dxa"/>
        <w:tblLayout w:type="fixed"/>
        <w:tblCellMar>
          <w:top w:w="0" w:type="dxa"/>
          <w:start w:w="108" w:type="dxa"/>
          <w:bottom w:w="0" w:type="dxa"/>
          <w:end w:w="108" w:type="dxa"/>
        </w:tblCellMar>
      </w:tblPr>
      <w:tblGrid>
        <w:gridCol w:w="2126"/>
        <w:gridCol w:w="2268"/>
        <w:gridCol w:w="2551"/>
      </w:tblGrid>
      <w:tr>
        <w:trPr/>
        <w:tc>
          <w:tcPr>
            <w:tcW w:w="2126" w:type="dxa"/>
            <w:tcBorders/>
          </w:tcPr>
          <w:p>
            <w:pPr>
              <w:pStyle w:val="Normal"/>
              <w:jc w:val="start"/>
              <w:rPr>
                <w:b/>
              </w:rPr>
            </w:pPr>
            <w:r>
              <w:rPr>
                <w:b/>
              </w:rPr>
              <w:t>Currency</w:t>
            </w:r>
          </w:p>
        </w:tc>
        <w:tc>
          <w:tcPr>
            <w:tcW w:w="2268" w:type="dxa"/>
            <w:tcBorders/>
          </w:tcPr>
          <w:p>
            <w:pPr>
              <w:pStyle w:val="Normal"/>
              <w:jc w:val="center"/>
              <w:rPr>
                <w:b/>
              </w:rPr>
            </w:pPr>
            <w:r>
              <w:rPr>
                <w:b/>
              </w:rPr>
              <w:t>Floating Rate Option</w:t>
            </w:r>
          </w:p>
        </w:tc>
        <w:tc>
          <w:tcPr>
            <w:tcW w:w="2551" w:type="dxa"/>
            <w:tcBorders/>
          </w:tcPr>
          <w:p>
            <w:pPr>
              <w:pStyle w:val="Normal"/>
              <w:jc w:val="end"/>
              <w:rPr>
                <w:b/>
              </w:rPr>
            </w:pPr>
            <w:r>
              <w:rPr>
                <w:b/>
              </w:rPr>
              <w:t>Cash Settlement</w:t>
            </w:r>
          </w:p>
          <w:p>
            <w:pPr>
              <w:pStyle w:val="Normal"/>
              <w:jc w:val="end"/>
              <w:rPr>
                <w:b/>
              </w:rPr>
            </w:pPr>
            <w:r>
              <w:rPr>
                <w:b/>
              </w:rPr>
              <w:t>Valuation Date</w:t>
            </w:r>
          </w:p>
        </w:tc>
      </w:tr>
      <w:tr>
        <w:trPr/>
        <w:tc>
          <w:tcPr>
            <w:tcW w:w="2126" w:type="dxa"/>
            <w:tcBorders/>
          </w:tcPr>
          <w:p>
            <w:pPr>
              <w:pStyle w:val="Normal"/>
              <w:snapToGrid w:val="false"/>
              <w:rPr>
                <w:b/>
              </w:rPr>
            </w:pPr>
            <w:r>
              <w:rPr>
                <w:b/>
              </w:rPr>
            </w:r>
          </w:p>
        </w:tc>
        <w:tc>
          <w:tcPr>
            <w:tcW w:w="2268" w:type="dxa"/>
            <w:tcBorders/>
          </w:tcPr>
          <w:p>
            <w:pPr>
              <w:pStyle w:val="Normal"/>
              <w:snapToGrid w:val="false"/>
              <w:rPr/>
            </w:pPr>
            <w:r>
              <w:rPr/>
            </w:r>
          </w:p>
        </w:tc>
        <w:tc>
          <w:tcPr>
            <w:tcW w:w="2551" w:type="dxa"/>
            <w:tcBorders/>
          </w:tcPr>
          <w:p>
            <w:pPr>
              <w:pStyle w:val="Normal"/>
              <w:snapToGrid w:val="false"/>
              <w:rPr/>
            </w:pPr>
            <w:r>
              <w:rPr/>
            </w:r>
          </w:p>
        </w:tc>
      </w:tr>
      <w:tr>
        <w:trPr/>
        <w:tc>
          <w:tcPr>
            <w:tcW w:w="2126" w:type="dxa"/>
            <w:tcBorders/>
          </w:tcPr>
          <w:p>
            <w:pPr>
              <w:pStyle w:val="Normal"/>
              <w:rPr/>
            </w:pPr>
            <w:r>
              <w:rPr/>
              <w:t>Canadian Dollar</w:t>
            </w:r>
          </w:p>
        </w:tc>
        <w:tc>
          <w:tcPr>
            <w:tcW w:w="2268" w:type="dxa"/>
            <w:tcBorders/>
          </w:tcPr>
          <w:p>
            <w:pPr>
              <w:pStyle w:val="Normal"/>
              <w:jc w:val="start"/>
              <w:rPr/>
            </w:pPr>
            <w:r>
              <w:rPr/>
              <w:t>[Any]</w:t>
            </w:r>
          </w:p>
        </w:tc>
        <w:tc>
          <w:tcPr>
            <w:tcW w:w="2551" w:type="dxa"/>
            <w:tcBorders/>
          </w:tcPr>
          <w:p>
            <w:pPr>
              <w:pStyle w:val="Normal"/>
              <w:jc w:val="end"/>
              <w:rPr/>
            </w:pPr>
            <w:r>
              <w:rPr/>
              <w:t>The Cash Settlement Payment Date or Mandatory Early Termination Date, as appropriate</w:t>
            </w:r>
          </w:p>
          <w:p>
            <w:pPr>
              <w:pStyle w:val="Normal"/>
              <w:jc w:val="start"/>
              <w:rPr/>
            </w:pPr>
            <w:r>
              <w:rPr/>
            </w:r>
          </w:p>
        </w:tc>
      </w:tr>
      <w:tr>
        <w:trPr/>
        <w:tc>
          <w:tcPr>
            <w:tcW w:w="2126" w:type="dxa"/>
            <w:tcBorders/>
          </w:tcPr>
          <w:p>
            <w:pPr>
              <w:pStyle w:val="Normal"/>
              <w:rPr/>
            </w:pPr>
            <w:r>
              <w:rPr/>
              <w:t>Sterling</w:t>
            </w:r>
          </w:p>
        </w:tc>
        <w:tc>
          <w:tcPr>
            <w:tcW w:w="2268" w:type="dxa"/>
            <w:tcBorders/>
          </w:tcPr>
          <w:p>
            <w:pPr>
              <w:pStyle w:val="Normal"/>
              <w:jc w:val="start"/>
              <w:rPr/>
            </w:pPr>
            <w:r>
              <w:rPr/>
              <w:t>[Any]</w:t>
            </w:r>
          </w:p>
        </w:tc>
        <w:tc>
          <w:tcPr>
            <w:tcW w:w="2551" w:type="dxa"/>
            <w:tcBorders/>
          </w:tcPr>
          <w:p>
            <w:pPr>
              <w:pStyle w:val="Normal"/>
              <w:jc w:val="end"/>
              <w:rPr/>
            </w:pPr>
            <w:r>
              <w:rPr/>
              <w:t>The Cash Settlement Payment Date or Mandatory Early Termination Date, as appropriate</w:t>
            </w:r>
          </w:p>
          <w:p>
            <w:pPr>
              <w:pStyle w:val="Normal"/>
              <w:jc w:val="center"/>
              <w:rPr/>
            </w:pPr>
            <w:r>
              <w:rPr/>
            </w:r>
          </w:p>
        </w:tc>
      </w:tr>
      <w:tr>
        <w:trPr/>
        <w:tc>
          <w:tcPr>
            <w:tcW w:w="2126" w:type="dxa"/>
            <w:tcBorders/>
          </w:tcPr>
          <w:p>
            <w:pPr>
              <w:pStyle w:val="Normal"/>
              <w:rPr/>
            </w:pPr>
            <w:r>
              <w:rPr/>
              <w:t>Danish Kroner</w:t>
            </w:r>
          </w:p>
        </w:tc>
        <w:tc>
          <w:tcPr>
            <w:tcW w:w="2268" w:type="dxa"/>
            <w:tcBorders/>
          </w:tcPr>
          <w:p>
            <w:pPr>
              <w:pStyle w:val="Normal"/>
              <w:jc w:val="start"/>
              <w:rPr/>
            </w:pPr>
            <w:r>
              <w:rPr/>
              <w:t>DKK-CIBOR-DKNH</w:t>
            </w:r>
          </w:p>
        </w:tc>
        <w:tc>
          <w:tcPr>
            <w:tcW w:w="2551" w:type="dxa"/>
            <w:tcBorders/>
          </w:tcPr>
          <w:p>
            <w:pPr>
              <w:pStyle w:val="Normal"/>
              <w:jc w:val="end"/>
              <w:rPr/>
            </w:pPr>
            <w:r>
              <w:rPr/>
              <w:t>The Cash Settlement Payment Date or Mandatory Early Termination Date, as appropriate</w:t>
            </w:r>
          </w:p>
          <w:p>
            <w:pPr>
              <w:pStyle w:val="Normal"/>
              <w:jc w:val="center"/>
              <w:rPr/>
            </w:pPr>
            <w:r>
              <w:rPr/>
            </w:r>
          </w:p>
        </w:tc>
      </w:tr>
    </w:tbl>
    <w:p>
      <w:pPr>
        <w:pStyle w:val="Normal"/>
        <w:rPr/>
      </w:pPr>
      <w:r>
        <w:rPr/>
      </w:r>
      <w:r>
        <w:br w:type="page"/>
      </w:r>
    </w:p>
    <w:p>
      <w:pPr>
        <w:pStyle w:val="Normal"/>
        <w:jc w:val="end"/>
        <w:rPr>
          <w:b/>
        </w:rPr>
      </w:pPr>
      <w:bookmarkStart w:id="26" w:name="EXHIBITI"/>
      <w:r>
        <w:rPr>
          <w:b/>
        </w:rPr>
        <w:t>EXHIBIT I</w:t>
      </w:r>
    </w:p>
    <w:p>
      <w:pPr>
        <w:pStyle w:val="Normal"/>
        <w:jc w:val="end"/>
        <w:rPr/>
      </w:pPr>
      <w:r>
        <w:fldChar w:fldCharType="begin"/>
      </w:r>
      <w:r>
        <w:rPr/>
        <w:instrText xml:space="preserve"> TC "EXHIBIT 1</w:instrText>
        <w:tab/>
        <w:instrText xml:space="preserve">Definitions of Specific Terms for Certain Euro Floating Rate Options" \l 1 </w:instrText>
      </w:r>
      <w:r>
        <w:rPr/>
        <w:fldChar w:fldCharType="separate"/>
      </w:r>
      <w:bookmarkStart w:id="27" w:name="EXHIBITI"/>
      <w:r>
        <w:rPr/>
      </w:r>
      <w:r>
        <w:rPr/>
        <w:fldChar w:fldCharType="end"/>
      </w:r>
      <w:bookmarkStart w:id="28" w:name="__RefHeading___Toc474574976"/>
      <w:bookmarkEnd w:id="27"/>
      <w:bookmarkEnd w:id="28"/>
    </w:p>
    <w:p>
      <w:pPr>
        <w:pStyle w:val="Normal"/>
        <w:jc w:val="center"/>
        <w:rPr>
          <w:b/>
        </w:rPr>
      </w:pPr>
      <w:r>
        <w:rPr>
          <w:b/>
        </w:rPr>
        <w:t>Definitions of Specific Terms for Certain</w:t>
      </w:r>
    </w:p>
    <w:p>
      <w:pPr>
        <w:pStyle w:val="Normal"/>
        <w:jc w:val="center"/>
        <w:rPr>
          <w:b/>
        </w:rPr>
      </w:pPr>
      <w:r>
        <w:rPr>
          <w:b/>
        </w:rPr>
        <w:t>Euro Floating Rate Options</w:t>
      </w:r>
    </w:p>
    <w:p>
      <w:pPr>
        <w:pStyle w:val="Normal"/>
        <w:jc w:val="center"/>
        <w:rPr/>
      </w:pPr>
      <w:r>
        <w:rPr/>
      </w:r>
    </w:p>
    <w:p>
      <w:pPr>
        <w:pStyle w:val="Normal"/>
        <w:rPr/>
      </w:pPr>
      <w:r>
        <w:rPr>
          <w:b/>
        </w:rPr>
        <w:tab/>
      </w:r>
      <w:r>
        <w:rPr/>
        <w:t>When one of the following Floating Rate Options is specified in a Confirmation in respect of any Swap Transaction, the terms specified shall have the meanings indicated for that Swap Transaction:</w:t>
      </w:r>
    </w:p>
    <w:p>
      <w:pPr>
        <w:pStyle w:val="Normal"/>
        <w:rPr/>
      </w:pPr>
      <w:r>
        <w:rPr/>
      </w:r>
    </w:p>
    <w:p>
      <w:pPr>
        <w:pStyle w:val="Normal"/>
        <w:rPr>
          <w:b/>
        </w:rPr>
      </w:pPr>
      <w:r>
        <w:rPr>
          <w:b/>
        </w:rPr>
        <w:t>A. EUR-TAM-CDC and EUR-TMM-CDC-COMPOUND.</w:t>
      </w:r>
    </w:p>
    <w:p>
      <w:pPr>
        <w:pStyle w:val="Normal"/>
        <w:rPr>
          <w:b/>
        </w:rPr>
      </w:pPr>
      <w:r>
        <w:rPr>
          <w:b/>
        </w:rPr>
      </w:r>
    </w:p>
    <w:p>
      <w:pPr>
        <w:pStyle w:val="Normal"/>
        <w:rPr/>
      </w:pPr>
      <w:r>
        <w:rPr/>
        <w:tab/>
        <w:t>"Effective Date" means (i) if the Trade Date occurs during the first fourteen days (inclusive) of a calendar month, the first day of such calendar month, or (ii) in any other case, the first day of the calendar month immediately following the Trade Date.</w:t>
      </w:r>
    </w:p>
    <w:p>
      <w:pPr>
        <w:pStyle w:val="Normal"/>
        <w:rPr/>
      </w:pPr>
      <w:r>
        <w:rPr/>
      </w:r>
    </w:p>
    <w:p>
      <w:pPr>
        <w:pStyle w:val="Normal"/>
        <w:ind w:firstLine="720" w:end="0"/>
        <w:rPr/>
      </w:pPr>
      <w:r>
        <w:rPr/>
        <w:t xml:space="preserve">"Reset Date" means (i) in respect of the initial Calculation Period, the first </w:t>
      </w:r>
      <w:r>
        <w:rPr>
          <w:b/>
        </w:rPr>
        <w:t>[</w:t>
      </w:r>
      <w:r>
        <w:rPr/>
        <w:t>Paris Banking</w:t>
      </w:r>
      <w:r>
        <w:rPr>
          <w:b/>
        </w:rPr>
        <w:t>]</w:t>
      </w:r>
      <w:r>
        <w:rPr/>
        <w:t xml:space="preserve"> Day of the month that is twelve calendar months after the month of the Effective Date and (ii) in respect of each subsequent Calculation Period, the first </w:t>
      </w:r>
      <w:r>
        <w:rPr>
          <w:b/>
        </w:rPr>
        <w:t>[</w:t>
      </w:r>
      <w:r>
        <w:rPr/>
        <w:t>Paris Banking</w:t>
      </w:r>
      <w:r>
        <w:rPr>
          <w:b/>
        </w:rPr>
        <w:t xml:space="preserve">] </w:t>
      </w:r>
      <w:r>
        <w:rPr/>
        <w:t>Day of the month that is twelve calendar months after the month of the preceding Reset Date.</w:t>
      </w:r>
    </w:p>
    <w:p>
      <w:pPr>
        <w:pStyle w:val="Normal"/>
        <w:ind w:firstLine="720" w:end="0"/>
        <w:rPr/>
      </w:pPr>
      <w:r>
        <w:rPr/>
      </w:r>
    </w:p>
    <w:p>
      <w:pPr>
        <w:pStyle w:val="Normal"/>
        <w:ind w:firstLine="720" w:end="0"/>
        <w:rPr/>
      </w:pPr>
      <w:r>
        <w:rPr/>
        <w:t>"Calculation Period" means (i) in respect of the initial Calculation Period, the period from and including the Effective Date to but excluding the first day of the month that is twelve calendar months after the month of the Effective Date and (ii) for each subsequent Calculation Period, the period from and including the first day of the last month of the preceding Calculation Period to but excluding the first day of the month that is twelve calendar months after the first month of such Calculation Period.</w:t>
      </w:r>
    </w:p>
    <w:p>
      <w:pPr>
        <w:pStyle w:val="Normal"/>
        <w:ind w:firstLine="720" w:end="0"/>
        <w:rPr/>
      </w:pPr>
      <w:r>
        <w:rPr/>
      </w:r>
    </w:p>
    <w:p>
      <w:pPr>
        <w:pStyle w:val="Normal"/>
        <w:ind w:firstLine="720" w:end="0"/>
        <w:rPr/>
      </w:pPr>
      <w:r>
        <w:rPr/>
        <w:t xml:space="preserve">"Payment Date" means the first </w:t>
      </w:r>
      <w:r>
        <w:rPr>
          <w:b/>
        </w:rPr>
        <w:t>[</w:t>
      </w:r>
      <w:r>
        <w:rPr/>
        <w:t>Paris Banking</w:t>
      </w:r>
      <w:r>
        <w:rPr>
          <w:b/>
        </w:rPr>
        <w:t xml:space="preserve">] </w:t>
      </w:r>
      <w:r>
        <w:rPr/>
        <w:t>Day following a Reset Date.</w:t>
      </w:r>
    </w:p>
    <w:p>
      <w:pPr>
        <w:pStyle w:val="Normal"/>
        <w:ind w:firstLine="720" w:end="0"/>
        <w:rPr/>
      </w:pPr>
      <w:r>
        <w:rPr/>
      </w:r>
    </w:p>
    <w:p>
      <w:pPr>
        <w:pStyle w:val="Normal"/>
        <w:ind w:firstLine="720" w:end="0"/>
        <w:rPr/>
      </w:pPr>
      <w:r>
        <w:rPr/>
        <w:t>"Termination Date" means the final Payment Date.</w:t>
      </w:r>
    </w:p>
    <w:p>
      <w:pPr>
        <w:pStyle w:val="Normal"/>
        <w:ind w:firstLine="720" w:end="0"/>
        <w:rPr/>
      </w:pPr>
      <w:r>
        <w:rPr/>
      </w:r>
    </w:p>
    <w:p>
      <w:pPr>
        <w:pStyle w:val="Normal"/>
        <w:rPr>
          <w:b/>
        </w:rPr>
      </w:pPr>
      <w:r>
        <w:rPr>
          <w:b/>
        </w:rPr>
        <w:t>B. EUR-TMP-CDC-AVERAGE.</w:t>
      </w:r>
    </w:p>
    <w:p>
      <w:pPr>
        <w:pStyle w:val="Normal"/>
        <w:rPr>
          <w:b/>
        </w:rPr>
      </w:pPr>
      <w:r>
        <w:rPr>
          <w:b/>
        </w:rPr>
      </w:r>
    </w:p>
    <w:p>
      <w:pPr>
        <w:pStyle w:val="Normal"/>
        <w:ind w:firstLine="720" w:end="0"/>
        <w:rPr/>
      </w:pPr>
      <w:r>
        <w:rPr/>
        <w:t>"Effective Date" means (i) if the Trade Date occurs during the first fourteen days (inclusive) of a calendar month, the first day of such calendar month, or (ii) in any other case, the first day of the calendar month immediately following the Trade Date.</w:t>
      </w:r>
    </w:p>
    <w:p>
      <w:pPr>
        <w:pStyle w:val="Normal"/>
        <w:rPr/>
      </w:pPr>
      <w:r>
        <w:rPr/>
      </w:r>
    </w:p>
    <w:p>
      <w:pPr>
        <w:pStyle w:val="Normal"/>
        <w:ind w:firstLine="720" w:end="0"/>
        <w:rPr/>
      </w:pPr>
      <w:r>
        <w:rPr/>
        <w:t xml:space="preserve">"Reset Date" means (i) in respect of the initial Calculation Period, the first </w:t>
      </w:r>
      <w:r>
        <w:rPr>
          <w:b/>
        </w:rPr>
        <w:t>[</w:t>
      </w:r>
      <w:r>
        <w:rPr/>
        <w:t>Paris Banking</w:t>
      </w:r>
      <w:r>
        <w:rPr>
          <w:b/>
        </w:rPr>
        <w:t>]</w:t>
      </w:r>
      <w:r>
        <w:rPr/>
        <w:t xml:space="preserve"> Day of the month that is one calendar month after the month of the Effective Date and (ii) in respect of each subsequent Calculation Period, the first </w:t>
      </w:r>
      <w:r>
        <w:rPr>
          <w:b/>
        </w:rPr>
        <w:t>[</w:t>
      </w:r>
      <w:r>
        <w:rPr/>
        <w:t>Paris Banking</w:t>
      </w:r>
      <w:r>
        <w:rPr>
          <w:b/>
        </w:rPr>
        <w:t xml:space="preserve">] </w:t>
      </w:r>
      <w:r>
        <w:rPr/>
        <w:t>Day of each month during the Term of the Swap Transaction.</w:t>
      </w:r>
    </w:p>
    <w:p>
      <w:pPr>
        <w:pStyle w:val="Normal"/>
        <w:ind w:firstLine="720" w:end="0"/>
        <w:rPr/>
      </w:pPr>
      <w:r>
        <w:rPr/>
      </w:r>
    </w:p>
    <w:p>
      <w:pPr>
        <w:pStyle w:val="Normal"/>
        <w:ind w:firstLine="720" w:end="0"/>
        <w:rPr/>
      </w:pPr>
      <w:r>
        <w:rPr/>
        <w:t>"Calculation Period" means (i) in respect of the initial Calculation Period, the period from and including the Effective Date to but excluding the first day of the calendar month immediately following the Effective Date and (ii) for each subsequent Calculation Period, the period from and including the last day of the preceding Calculation Period to but excluding the first day of the calendar month immediately following such last day.</w:t>
      </w:r>
    </w:p>
    <w:p>
      <w:pPr>
        <w:pStyle w:val="Normal"/>
        <w:ind w:firstLine="720" w:end="0"/>
        <w:rPr/>
      </w:pPr>
      <w:r>
        <w:rPr/>
      </w:r>
    </w:p>
    <w:p>
      <w:pPr>
        <w:pStyle w:val="Normal"/>
        <w:ind w:firstLine="720" w:end="0"/>
        <w:rPr/>
      </w:pPr>
      <w:r>
        <w:rPr/>
        <w:t xml:space="preserve">"Payment Date" means the first </w:t>
      </w:r>
      <w:r>
        <w:rPr>
          <w:b/>
        </w:rPr>
        <w:t>[</w:t>
      </w:r>
      <w:r>
        <w:rPr/>
        <w:t>Paris Banking</w:t>
      </w:r>
      <w:r>
        <w:rPr>
          <w:b/>
        </w:rPr>
        <w:t xml:space="preserve">] </w:t>
      </w:r>
      <w:r>
        <w:rPr/>
        <w:t>Day following a Reset Date.</w:t>
      </w:r>
    </w:p>
    <w:p>
      <w:pPr>
        <w:pStyle w:val="Normal"/>
        <w:ind w:firstLine="720" w:end="0"/>
        <w:rPr/>
      </w:pPr>
      <w:r>
        <w:rPr/>
      </w:r>
    </w:p>
    <w:p>
      <w:pPr>
        <w:pStyle w:val="Normal"/>
        <w:ind w:firstLine="720" w:end="0"/>
        <w:rPr/>
      </w:pPr>
      <w:r>
        <w:rPr/>
        <w:t>"Termination Date" means the final Payment Date.</w:t>
      </w:r>
      <w:r>
        <w:br w:type="page"/>
      </w:r>
    </w:p>
    <w:p>
      <w:pPr>
        <w:sectPr>
          <w:headerReference w:type="even" r:id="rId2"/>
          <w:headerReference w:type="default" r:id="rId3"/>
          <w:footerReference w:type="even" r:id="rId4"/>
          <w:footerReference w:type="default" r:id="rId5"/>
          <w:type w:val="nextPage"/>
          <w:pgSz w:w="12240" w:h="15840"/>
          <w:pgMar w:left="1440" w:right="1440" w:gutter="0" w:header="720" w:top="1797" w:footer="1077" w:bottom="1440"/>
          <w:pgNumType w:start="1" w:fmt="decimal"/>
          <w:formProt w:val="false"/>
          <w:textDirection w:val="lrTb"/>
          <w:docGrid w:type="default" w:linePitch="360" w:charSpace="0"/>
        </w:sectPr>
        <w:pStyle w:val="Normal"/>
        <w:jc w:val="center"/>
        <w:rPr>
          <w:sz w:val="48"/>
        </w:rPr>
      </w:pPr>
      <w:bookmarkStart w:id="29" w:name="INDEX"/>
      <w:r>
        <w:rPr>
          <w:b/>
        </w:rPr>
        <w:t>INDEX OF TERMS</w:t>
      </w:r>
      <w:r>
        <w:fldChar w:fldCharType="begin"/>
      </w:r>
      <w:r>
        <w:rPr/>
        <w:instrText xml:space="preserve"> TC "INDEX OF TERMS" \l 1 </w:instrText>
      </w:r>
      <w:r>
        <w:rPr/>
        <w:fldChar w:fldCharType="separate"/>
      </w:r>
      <w:r>
        <w:rPr/>
      </w:r>
      <w:r>
        <w:rPr/>
        <w:fldChar w:fldCharType="end"/>
      </w:r>
      <w:bookmarkStart w:id="30" w:name="__RefHeading___Toc474574928"/>
      <w:bookmarkEnd w:id="29"/>
      <w:bookmarkEnd w:id="30"/>
    </w:p>
    <w:p>
      <w:pPr>
        <w:pStyle w:val="Normal"/>
        <w:rPr>
          <w:b/>
          <w:sz w:val="48"/>
        </w:rPr>
      </w:pPr>
      <w:r>
        <w:rPr>
          <w:b/>
          <w:sz w:val="48"/>
        </w:rPr>
        <w:t>DRAFT(4):  10.02.00</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ind w:start="720" w:end="0"/>
        <w:rPr>
          <w:b/>
          <w:sz w:val="28"/>
        </w:rPr>
      </w:pPr>
      <w:r>
        <w:rPr>
          <w:b/>
          <w:sz w:val="28"/>
        </w:rPr>
      </w:r>
    </w:p>
    <w:p>
      <w:pPr>
        <w:pStyle w:val="Normal"/>
        <w:ind w:start="720" w:end="0"/>
        <w:rPr/>
      </w:pPr>
      <w:r>
        <w:rPr/>
        <w:t>__________________________________________________________________________</w:t>
      </w:r>
    </w:p>
    <w:p>
      <w:pPr>
        <w:pStyle w:val="Normal"/>
        <w:ind w:start="720" w:end="0"/>
        <w:rPr/>
      </w:pPr>
      <w:r>
        <w:rPr/>
      </w:r>
    </w:p>
    <w:p>
      <w:pPr>
        <w:pStyle w:val="Normal"/>
        <w:ind w:start="720" w:end="0"/>
        <w:rPr>
          <w:b/>
          <w:sz w:val="80"/>
        </w:rPr>
      </w:pPr>
      <w:r>
        <w:rPr>
          <w:b/>
          <w:sz w:val="80"/>
        </w:rPr>
        <w:t>ANNEX</w:t>
      </w:r>
    </w:p>
    <w:p>
      <w:pPr>
        <w:pStyle w:val="Normal"/>
        <w:ind w:start="720" w:end="0"/>
        <w:rPr>
          <w:b/>
          <w:sz w:val="40"/>
        </w:rPr>
      </w:pPr>
      <w:r>
        <w:rPr>
          <w:b/>
          <w:sz w:val="40"/>
        </w:rPr>
      </w:r>
    </w:p>
    <w:p>
      <w:pPr>
        <w:pStyle w:val="Normal"/>
        <w:ind w:start="720" w:end="0"/>
        <w:rPr>
          <w:b/>
          <w:sz w:val="80"/>
        </w:rPr>
      </w:pPr>
      <w:r>
        <w:rPr>
          <w:b/>
          <w:sz w:val="80"/>
        </w:rPr>
        <w:t>to the</w:t>
      </w:r>
    </w:p>
    <w:p>
      <w:pPr>
        <w:pStyle w:val="Normal"/>
        <w:ind w:start="720" w:end="0"/>
        <w:rPr>
          <w:b/>
          <w:sz w:val="40"/>
        </w:rPr>
      </w:pPr>
      <w:r>
        <w:rPr>
          <w:b/>
          <w:sz w:val="40"/>
        </w:rPr>
      </w:r>
    </w:p>
    <w:p>
      <w:pPr>
        <w:pStyle w:val="Normal"/>
        <w:ind w:start="720" w:end="0"/>
        <w:rPr>
          <w:sz w:val="80"/>
        </w:rPr>
      </w:pPr>
      <w:r>
        <w:rPr>
          <w:b/>
          <w:sz w:val="80"/>
        </w:rPr>
        <w:t>2000 ISDA Definitions</w:t>
      </w:r>
    </w:p>
    <w:p>
      <w:pPr>
        <w:pStyle w:val="Normal"/>
        <w:ind w:start="720" w:end="0"/>
        <w:rPr/>
      </w:pPr>
      <w:r>
        <w:rPr/>
        <w:t>__________________________________________________________________________</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sz w:val="96"/>
        </w:rPr>
      </w:pPr>
      <w:r>
        <w:rPr>
          <w:b/>
          <w:sz w:val="96"/>
        </w:rPr>
        <w:t>ISDA</w:t>
      </w:r>
      <w:r>
        <w:rPr>
          <w:b/>
          <w:sz w:val="24"/>
        </w:rPr>
        <w:t xml:space="preserve"> </w:t>
      </w:r>
      <w:r>
        <w:rPr>
          <w:rFonts w:eastAsia="Symbol" w:cs="Symbol" w:ascii="Symbol" w:hAnsi="Symbol"/>
          <w:sz w:val="40"/>
          <w:vertAlign w:val="subscript"/>
        </w:rPr>
        <w:sym w:font="Symbol" w:char="f0d2"/>
      </w:r>
    </w:p>
    <w:p>
      <w:pPr>
        <w:pStyle w:val="Normal"/>
        <w:ind w:start="720" w:end="0"/>
        <w:rPr>
          <w:sz w:val="96"/>
        </w:rPr>
      </w:pPr>
      <w:r>
        <w:rPr>
          <w:sz w:val="96"/>
        </w:rPr>
      </w:r>
    </w:p>
    <w:p>
      <w:pPr>
        <w:pStyle w:val="Normal"/>
        <w:ind w:start="720" w:end="0"/>
        <w:rPr/>
      </w:pPr>
      <w:r>
        <w:rPr/>
      </w:r>
    </w:p>
    <w:p>
      <w:pPr>
        <w:pStyle w:val="Normal"/>
        <w:ind w:start="720" w:end="0"/>
        <w:rPr>
          <w:b/>
        </w:rPr>
      </w:pPr>
      <w:r>
        <w:rPr>
          <w:b/>
        </w:rPr>
        <w:t>INTERNATIONAL SWAPS AND DERIVATIVES ASSOCIATION, INC.</w:t>
      </w:r>
    </w:p>
    <w:p>
      <w:pPr>
        <w:pStyle w:val="Normal"/>
        <w:rPr>
          <w:b/>
        </w:rPr>
      </w:pPr>
      <w:r>
        <w:rPr>
          <w:b/>
        </w:rPr>
      </w:r>
    </w:p>
    <w:p>
      <w:pPr>
        <w:pStyle w:val="Normal"/>
        <w:rPr>
          <w:b/>
          <w:sz w:val="16"/>
        </w:rPr>
      </w:pPr>
      <w:r>
        <w:rPr>
          <w:b/>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r>
        <w:br w:type="page"/>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Copyright </w:t>
      </w:r>
      <w:r>
        <w:rPr>
          <w:rFonts w:eastAsia="Symbol" w:cs="Symbol" w:ascii="Symbol" w:hAnsi="Symbol"/>
        </w:rPr>
        <w:sym w:font="Symbol" w:char="f0e3"/>
      </w:r>
      <w:r>
        <w:rPr/>
        <w:t xml:space="preserve"> 2000 by</w:t>
      </w:r>
    </w:p>
    <w:p>
      <w:pPr>
        <w:pStyle w:val="Normal"/>
        <w:rPr/>
      </w:pPr>
      <w:r>
        <w:rPr/>
        <w:t>INTERNATIONAL SWAPS AND DERIVATIVES ASSOCIATION, INC.</w:t>
      </w:r>
    </w:p>
    <w:p>
      <w:pPr>
        <w:pStyle w:val="Normal"/>
        <w:rPr/>
      </w:pPr>
      <w:r>
        <w:rPr/>
        <w:t>600 Fifth Avenue, 27th Floor</w:t>
      </w:r>
    </w:p>
    <w:p>
      <w:pPr>
        <w:pStyle w:val="Normal"/>
        <w:rPr/>
      </w:pPr>
      <w:r>
        <w:rPr/>
        <w:t>Rockefeller Center</w:t>
      </w:r>
    </w:p>
    <w:p>
      <w:pPr>
        <w:pStyle w:val="Normal"/>
        <w:rPr/>
      </w:pPr>
      <w:r>
        <w:rPr/>
        <w:t>New York, N.Y. 10020-2302</w:t>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440" w:right="1440" w:gutter="0" w:header="720" w:top="1800" w:footer="1080" w:bottom="1440"/>
          <w:pgNumType w:start="1" w:fmt="decimal"/>
          <w:formProt w:val="false"/>
          <w:titlePg/>
          <w:textDirection w:val="lrTb"/>
          <w:docGrid w:type="default" w:linePitch="360" w:charSpace="0"/>
        </w:sectPr>
        <w:pStyle w:val="Normal"/>
        <w:jc w:val="center"/>
        <w:rPr>
          <w:b/>
        </w:rPr>
      </w:pPr>
      <w:r>
        <w:rPr>
          <w:b/>
        </w:rPr>
      </w:r>
    </w:p>
    <w:p>
      <w:pPr>
        <w:pStyle w:val="Normal"/>
        <w:jc w:val="center"/>
        <w:rPr>
          <w:b/>
        </w:rPr>
      </w:pPr>
      <w:r>
        <w:rPr>
          <w:b/>
        </w:rPr>
        <w:t>TABLE OF CONTENTS</w:t>
      </w:r>
    </w:p>
    <w:p>
      <w:pPr>
        <w:pStyle w:val="Normal"/>
        <w:jc w:val="end"/>
        <w:rPr>
          <w:b/>
          <w:u w:val="single"/>
        </w:rPr>
      </w:pPr>
      <w:r>
        <w:rPr>
          <w:b/>
          <w:u w:val="single"/>
        </w:rPr>
        <w:t>Page</w:t>
      </w:r>
    </w:p>
    <w:p>
      <w:pPr>
        <w:pStyle w:val="Normal"/>
        <w:jc w:val="end"/>
        <w:rPr>
          <w:b/>
          <w:u w:val="single"/>
        </w:rPr>
      </w:pPr>
      <w:r>
        <w:rPr>
          <w:b/>
          <w:u w:val="single"/>
        </w:rPr>
      </w:r>
    </w:p>
    <w:p>
      <w:pPr>
        <w:pStyle w:val="Normal"/>
        <w:tabs>
          <w:tab w:val="clear" w:pos="720"/>
          <w:tab w:val="right" w:pos="7938" w:leader="dot"/>
        </w:tabs>
        <w:jc w:val="start"/>
        <w:rPr/>
      </w:pPr>
      <w:r>
        <w:rPr/>
        <w:t>INTRODUCTION TO THE ANNEX</w:t>
      </w:r>
    </w:p>
    <w:p>
      <w:pPr>
        <w:pStyle w:val="Normal"/>
        <w:tabs>
          <w:tab w:val="clear" w:pos="720"/>
          <w:tab w:val="right" w:pos="9000" w:leader="dot"/>
        </w:tabs>
        <w:jc w:val="start"/>
        <w:rPr/>
      </w:pPr>
      <w:r>
        <w:rPr/>
        <w:t xml:space="preserve">TO THE 2000 ISDA DEFINITIONS </w:t>
        <w:tab/>
        <w:t>ii</w:t>
      </w:r>
    </w:p>
    <w:p>
      <w:pPr>
        <w:pStyle w:val="Normal"/>
        <w:tabs>
          <w:tab w:val="clear" w:pos="720"/>
          <w:tab w:val="right" w:pos="7938" w:leader="dot"/>
        </w:tabs>
        <w:jc w:val="start"/>
        <w:rPr/>
      </w:pPr>
      <w:r>
        <w:rPr/>
      </w:r>
    </w:p>
    <w:p>
      <w:pPr>
        <w:pStyle w:val="Normal"/>
        <w:tabs>
          <w:tab w:val="clear" w:pos="720"/>
          <w:tab w:val="right" w:pos="7938" w:leader="dot"/>
        </w:tabs>
        <w:jc w:val="center"/>
        <w:rPr>
          <w:b/>
        </w:rPr>
      </w:pPr>
      <w:r>
        <w:rPr>
          <w:b/>
        </w:rPr>
      </w:r>
    </w:p>
    <w:p>
      <w:pPr>
        <w:pStyle w:val="Normal"/>
        <w:tabs>
          <w:tab w:val="clear" w:pos="720"/>
          <w:tab w:val="right" w:pos="7938" w:leader="dot"/>
        </w:tabs>
        <w:jc w:val="center"/>
        <w:rPr>
          <w:b/>
          <w:sz w:val="26"/>
        </w:rPr>
      </w:pPr>
      <w:r>
        <w:rPr>
          <w:b/>
          <w:sz w:val="26"/>
        </w:rPr>
        <w:t>ANNEX</w:t>
      </w:r>
    </w:p>
    <w:p>
      <w:pPr>
        <w:pStyle w:val="Normal"/>
        <w:tabs>
          <w:tab w:val="clear" w:pos="720"/>
          <w:tab w:val="right" w:pos="7938" w:leader="dot"/>
        </w:tabs>
        <w:jc w:val="center"/>
        <w:rPr>
          <w:b/>
          <w:sz w:val="26"/>
        </w:rPr>
      </w:pPr>
      <w:r>
        <w:rPr>
          <w:b/>
          <w:sz w:val="26"/>
        </w:rPr>
      </w:r>
    </w:p>
    <w:p>
      <w:pPr>
        <w:pStyle w:val="Normal"/>
        <w:tabs>
          <w:tab w:val="clear" w:pos="720"/>
          <w:tab w:val="right" w:pos="7938" w:leader="dot"/>
        </w:tabs>
        <w:jc w:val="center"/>
        <w:rPr>
          <w:b/>
        </w:rPr>
      </w:pPr>
      <w:r>
        <w:rPr>
          <w:b/>
        </w:rPr>
      </w:r>
    </w:p>
    <w:p>
      <w:pPr>
        <w:pStyle w:val="Normal"/>
        <w:tabs>
          <w:tab w:val="clear" w:pos="720"/>
          <w:tab w:val="right" w:pos="7938" w:leader="dot"/>
        </w:tabs>
        <w:jc w:val="center"/>
        <w:rPr>
          <w:b/>
        </w:rPr>
      </w:pPr>
      <w:r>
        <w:rPr>
          <w:b/>
        </w:rPr>
        <w:t>ARTICLE 1</w:t>
      </w:r>
    </w:p>
    <w:p>
      <w:pPr>
        <w:pStyle w:val="Normal"/>
        <w:tabs>
          <w:tab w:val="clear" w:pos="720"/>
          <w:tab w:val="right" w:pos="7938" w:leader="dot"/>
        </w:tabs>
        <w:jc w:val="center"/>
        <w:rPr>
          <w:b/>
        </w:rPr>
      </w:pPr>
      <w:r>
        <w:rPr>
          <w:b/>
        </w:rPr>
      </w:r>
    </w:p>
    <w:p>
      <w:pPr>
        <w:pStyle w:val="Normal"/>
        <w:tabs>
          <w:tab w:val="clear" w:pos="720"/>
          <w:tab w:val="right" w:pos="7938" w:leader="dot"/>
        </w:tabs>
        <w:jc w:val="center"/>
        <w:rPr>
          <w:b/>
        </w:rPr>
      </w:pPr>
      <w:r>
        <w:rPr>
          <w:b/>
        </w:rPr>
        <w:t>CERTAIN GENERAL DEFINITIONS</w:t>
      </w:r>
    </w:p>
    <w:p>
      <w:pPr>
        <w:pStyle w:val="Normal"/>
        <w:tabs>
          <w:tab w:val="clear" w:pos="720"/>
          <w:tab w:val="right" w:pos="7938" w:leader="dot"/>
        </w:tabs>
        <w:jc w:val="center"/>
        <w:rPr>
          <w:b/>
        </w:rPr>
      </w:pPr>
      <w:r>
        <w:rPr>
          <w:b/>
        </w:rPr>
      </w:r>
    </w:p>
    <w:sdt>
      <w:sdtPr>
        <w:docPartObj>
          <w:docPartGallery w:val="Table of Contents"/>
          <w:docPartUnique w:val="true"/>
        </w:docPartObj>
      </w:sdtPr>
      <w:sdtContent>
        <w:p>
          <w:pPr>
            <w:pStyle w:val="TOC1"/>
            <w:rPr/>
          </w:pPr>
          <w:r>
            <w:fldChar w:fldCharType="begin"/>
          </w:r>
          <w:r>
            <w:rPr/>
            <w:instrText xml:space="preserve">toc \b article1 \f</w:instrText>
          </w:r>
          <w:r>
            <w:rPr/>
            <w:fldChar w:fldCharType="separate"/>
          </w:r>
          <w:r>
            <w:rPr/>
            <w:t>SECTION 1.5.</w:t>
            <w:tab/>
            <w:t>Financial Centers</w:t>
            <w:tab/>
          </w:r>
          <w:hyperlink w:anchor="__RefHeading___Toc474575104">
            <w:r>
              <w:rPr>
                <w:rStyle w:val="IndexLink"/>
              </w:rPr>
              <w:t>1</w:t>
            </w:r>
          </w:hyperlink>
        </w:p>
        <w:p>
          <w:pPr>
            <w:pStyle w:val="TOC1"/>
            <w:rPr/>
          </w:pPr>
          <w:r>
            <w:rPr/>
            <w:t>SECTION 1.6.</w:t>
            <w:tab/>
            <w:t>Certain Business Days</w:t>
            <w:tab/>
          </w:r>
          <w:hyperlink w:anchor="__RefHeading___Toc474575105">
            <w:r>
              <w:rPr>
                <w:rStyle w:val="IndexLink"/>
              </w:rPr>
              <w:t>2</w:t>
            </w:r>
          </w:hyperlink>
        </w:p>
        <w:p>
          <w:pPr>
            <w:pStyle w:val="TOC1"/>
            <w:rPr/>
          </w:pPr>
          <w:r>
            <w:rPr/>
            <w:t>SECTION 1.7.</w:t>
            <w:tab/>
            <w:t>Currencies</w:t>
            <w:tab/>
          </w:r>
          <w:hyperlink w:anchor="__RefHeading___Toc474575106">
            <w:r>
              <w:rPr>
                <w:rStyle w:val="IndexLink"/>
              </w:rPr>
              <w:t>2</w:t>
            </w:r>
          </w:hyperlink>
          <w:r>
            <w:rPr>
              <w:rStyle w:val="IndexLink"/>
            </w:rPr>
            <w:fldChar w:fldCharType="end"/>
          </w:r>
        </w:p>
      </w:sdtContent>
    </w:sdt>
    <w:p>
      <w:pPr>
        <w:pStyle w:val="Normal"/>
        <w:tabs>
          <w:tab w:val="clear" w:pos="720"/>
          <w:tab w:val="left" w:pos="2160" w:leader="none"/>
          <w:tab w:val="right" w:pos="8640" w:leader="dot"/>
          <w:tab w:val="right" w:pos="9016" w:leader="dot"/>
        </w:tabs>
        <w:rPr/>
      </w:pPr>
      <w:r>
        <w:rPr/>
      </w:r>
    </w:p>
    <w:p>
      <w:pPr>
        <w:pStyle w:val="Normal"/>
        <w:tabs>
          <w:tab w:val="clear" w:pos="720"/>
          <w:tab w:val="left" w:pos="1985" w:leader="none"/>
          <w:tab w:val="right" w:pos="7938" w:leader="dot"/>
        </w:tabs>
        <w:jc w:val="center"/>
        <w:rPr>
          <w:b/>
        </w:rPr>
      </w:pPr>
      <w:r>
        <w:rPr>
          <w:b/>
        </w:rPr>
        <w:t>ARTICLE 6</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jc w:val="center"/>
        <w:rPr>
          <w:b/>
        </w:rPr>
      </w:pPr>
      <w:r>
        <w:rPr>
          <w:b/>
        </w:rPr>
        <w:t>FLOATING AMOUNTS</w:t>
      </w:r>
    </w:p>
    <w:p>
      <w:pPr>
        <w:pStyle w:val="Normal"/>
        <w:tabs>
          <w:tab w:val="clear" w:pos="720"/>
          <w:tab w:val="left" w:pos="1985" w:leader="none"/>
          <w:tab w:val="right" w:pos="7938" w:leader="dot"/>
        </w:tabs>
        <w:jc w:val="center"/>
        <w:rPr>
          <w:b/>
        </w:rPr>
      </w:pPr>
      <w:r>
        <w:rPr>
          <w:b/>
        </w:rPr>
      </w:r>
    </w:p>
    <w:sdt>
      <w:sdtPr>
        <w:docPartObj>
          <w:docPartGallery w:val="Table of Contents"/>
          <w:docPartUnique w:val="true"/>
        </w:docPartObj>
      </w:sdtPr>
      <w:sdtContent>
        <w:p>
          <w:pPr>
            <w:pStyle w:val="TOC1"/>
            <w:rPr/>
          </w:pPr>
          <w:r>
            <w:fldChar w:fldCharType="begin"/>
          </w:r>
          <w:r>
            <w:rPr/>
            <w:instrText xml:space="preserve">toc \b article6 \f</w:instrText>
          </w:r>
          <w:r>
            <w:rPr/>
            <w:fldChar w:fldCharType="separate"/>
          </w:r>
          <w:r>
            <w:rPr/>
            <w:t>SECTION 6.2(g)</w:t>
            <w:tab/>
            <w:tab/>
          </w:r>
          <w:hyperlink w:anchor="__RefHeading___Toc474574415">
            <w:r>
              <w:rPr>
                <w:rStyle w:val="IndexLink"/>
              </w:rPr>
              <w:t>5</w:t>
            </w:r>
          </w:hyperlink>
          <w:r>
            <w:rPr>
              <w:rStyle w:val="IndexLink"/>
            </w:rPr>
            <w:fldChar w:fldCharType="end"/>
          </w:r>
        </w:p>
      </w:sdtContent>
    </w:sdt>
    <w:p>
      <w:pPr>
        <w:pStyle w:val="Normal"/>
        <w:tabs>
          <w:tab w:val="clear" w:pos="720"/>
          <w:tab w:val="right" w:pos="9000" w:leader="dot"/>
        </w:tabs>
        <w:rPr/>
      </w:pPr>
      <w:r>
        <w:rPr/>
      </w:r>
    </w:p>
    <w:p>
      <w:pPr>
        <w:pStyle w:val="Normal"/>
        <w:tabs>
          <w:tab w:val="clear" w:pos="720"/>
          <w:tab w:val="left" w:pos="1985" w:leader="none"/>
          <w:tab w:val="right" w:pos="7938" w:leader="dot"/>
        </w:tabs>
        <w:jc w:val="center"/>
        <w:rPr>
          <w:b/>
        </w:rPr>
      </w:pPr>
      <w:r>
        <w:rPr>
          <w:b/>
        </w:rPr>
        <w:t>ARTICLE 7</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jc w:val="center"/>
        <w:rPr>
          <w:b/>
        </w:rPr>
      </w:pPr>
      <w:r>
        <w:rPr>
          <w:b/>
        </w:rPr>
        <w:t>CALCULATION OF RATES</w:t>
      </w:r>
    </w:p>
    <w:p>
      <w:pPr>
        <w:pStyle w:val="Normal"/>
        <w:tabs>
          <w:tab w:val="clear" w:pos="720"/>
          <w:tab w:val="left" w:pos="1985" w:leader="none"/>
          <w:tab w:val="right" w:pos="7938" w:leader="dot"/>
        </w:tabs>
        <w:jc w:val="center"/>
        <w:rPr>
          <w:b/>
        </w:rPr>
      </w:pPr>
      <w:r>
        <w:rPr>
          <w:b/>
        </w:rPr>
        <w:t>FOR CERTAIN FLOATING RATE OPTIONS</w:t>
      </w:r>
    </w:p>
    <w:p>
      <w:pPr>
        <w:pStyle w:val="Normal"/>
        <w:tabs>
          <w:tab w:val="clear" w:pos="720"/>
          <w:tab w:val="left" w:pos="1985" w:leader="none"/>
          <w:tab w:val="right" w:pos="7938" w:leader="dot"/>
        </w:tabs>
        <w:jc w:val="center"/>
        <w:rPr/>
      </w:pPr>
      <w:r>
        <w:rPr/>
      </w:r>
    </w:p>
    <w:sdt>
      <w:sdtPr>
        <w:docPartObj>
          <w:docPartGallery w:val="Table of Contents"/>
          <w:docPartUnique w:val="true"/>
        </w:docPartObj>
      </w:sdtPr>
      <w:sdtContent>
        <w:p>
          <w:pPr>
            <w:pStyle w:val="TOC1"/>
            <w:rPr/>
          </w:pPr>
          <w:r>
            <w:fldChar w:fldCharType="begin"/>
          </w:r>
          <w:r>
            <w:rPr/>
            <w:instrText xml:space="preserve">toc \b article7 \f</w:instrText>
          </w:r>
          <w:r>
            <w:rPr/>
            <w:fldChar w:fldCharType="separate"/>
          </w:r>
          <w:r>
            <w:rPr/>
            <w:t>SECTION 7.1</w:t>
            <w:tab/>
            <w:t>Rate Options</w:t>
            <w:tab/>
          </w:r>
          <w:hyperlink w:anchor="__RefHeading___Toc474574654">
            <w:r>
              <w:rPr>
                <w:rStyle w:val="IndexLink"/>
              </w:rPr>
              <w:t>6</w:t>
            </w:r>
          </w:hyperlink>
        </w:p>
        <w:p>
          <w:pPr>
            <w:pStyle w:val="TOC1"/>
            <w:rPr/>
          </w:pPr>
          <w:r>
            <w:rPr/>
            <w:t>SECTION 7.2.</w:t>
            <w:tab/>
            <w:t>Certain Published and Displayed Sources.</w:t>
            <w:tab/>
          </w:r>
          <w:hyperlink w:anchor="__RefHeading___Toc474574655">
            <w:r>
              <w:rPr>
                <w:rStyle w:val="IndexLink"/>
              </w:rPr>
              <w:t>40</w:t>
            </w:r>
          </w:hyperlink>
        </w:p>
        <w:p>
          <w:pPr>
            <w:pStyle w:val="TOC1"/>
            <w:rPr/>
          </w:pPr>
          <w:r>
            <w:rPr/>
            <w:t>SECTION 7.3.</w:t>
            <w:tab/>
            <w:t>Price Source Conversion.</w:t>
            <w:tab/>
          </w:r>
          <w:hyperlink w:anchor="__RefHeading___Toc474574656">
            <w:r>
              <w:rPr>
                <w:rStyle w:val="IndexLink"/>
              </w:rPr>
              <w:t>40</w:t>
            </w:r>
          </w:hyperlink>
        </w:p>
        <w:p>
          <w:pPr>
            <w:pStyle w:val="TOC1"/>
            <w:rPr/>
          </w:pPr>
          <w:r>
            <w:rPr/>
            <w:t>SECTION 7.4.</w:t>
            <w:tab/>
            <w:t>Certain Definitions Relating to Price Source Conversion.</w:t>
            <w:tab/>
          </w:r>
          <w:hyperlink w:anchor="__RefHeading___Toc474574657">
            <w:r>
              <w:rPr>
                <w:rStyle w:val="IndexLink"/>
              </w:rPr>
              <w:t>41</w:t>
            </w:r>
          </w:hyperlink>
        </w:p>
        <w:p>
          <w:pPr>
            <w:pStyle w:val="TOC1"/>
            <w:rPr/>
          </w:pPr>
          <w:r>
            <w:rPr/>
            <w:t>SECTION 7.5.</w:t>
            <w:tab/>
            <w:t>Certain General Definitions Relating to Floating Rate Options.</w:t>
            <w:tab/>
          </w:r>
          <w:hyperlink w:anchor="__RefHeading___Toc474574658">
            <w:r>
              <w:rPr>
                <w:rStyle w:val="IndexLink"/>
              </w:rPr>
              <w:t>41</w:t>
            </w:r>
          </w:hyperlink>
        </w:p>
        <w:p>
          <w:pPr>
            <w:pStyle w:val="TOC1"/>
            <w:rPr/>
          </w:pPr>
          <w:r>
            <w:rPr/>
            <w:t>SECTION 7.6.</w:t>
            <w:tab/>
            <w:t>Corrections to Published and Displayed Rates.</w:t>
            <w:tab/>
          </w:r>
          <w:hyperlink w:anchor="__RefHeading___Toc474574659">
            <w:r>
              <w:rPr>
                <w:rStyle w:val="IndexLink"/>
              </w:rPr>
              <w:t>44</w:t>
            </w:r>
          </w:hyperlink>
          <w:r>
            <w:rPr>
              <w:rStyle w:val="IndexLink"/>
            </w:rPr>
            <w:fldChar w:fldCharType="end"/>
          </w:r>
        </w:p>
      </w:sdtContent>
    </w:sdt>
    <w:p>
      <w:pPr>
        <w:pStyle w:val="Normal"/>
        <w:tabs>
          <w:tab w:val="clear" w:pos="720"/>
          <w:tab w:val="left" w:pos="2160" w:leader="none"/>
          <w:tab w:val="right" w:pos="9000" w:leader="dot"/>
        </w:tabs>
        <w:jc w:val="start"/>
        <w:rPr>
          <w:b/>
        </w:rPr>
      </w:pPr>
      <w:r>
        <w:rPr>
          <w:b/>
        </w:rPr>
      </w:r>
    </w:p>
    <w:p>
      <w:pPr>
        <w:pStyle w:val="Normal"/>
        <w:tabs>
          <w:tab w:val="clear" w:pos="720"/>
          <w:tab w:val="left" w:pos="1985" w:leader="none"/>
          <w:tab w:val="right" w:pos="7938" w:leader="dot"/>
        </w:tabs>
        <w:jc w:val="center"/>
        <w:rPr>
          <w:b/>
        </w:rPr>
      </w:pPr>
      <w:r>
        <w:rPr>
          <w:b/>
        </w:rPr>
        <w:t>ARTICLE 8</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jc w:val="center"/>
        <w:rPr>
          <w:b/>
        </w:rPr>
      </w:pPr>
      <w:r>
        <w:rPr>
          <w:b/>
        </w:rPr>
        <w:t>ROUNDING; INTERPOLATION; DISCOUNTING</w:t>
      </w:r>
    </w:p>
    <w:p>
      <w:pPr>
        <w:pStyle w:val="Normal"/>
        <w:tabs>
          <w:tab w:val="clear" w:pos="720"/>
          <w:tab w:val="left" w:pos="1985" w:leader="none"/>
          <w:tab w:val="right" w:pos="7938" w:leader="dot"/>
        </w:tabs>
        <w:jc w:val="center"/>
        <w:rPr>
          <w:b/>
        </w:rPr>
      </w:pPr>
      <w:r>
        <w:rPr>
          <w:b/>
        </w:rPr>
      </w:r>
    </w:p>
    <w:sdt>
      <w:sdtPr>
        <w:docPartObj>
          <w:docPartGallery w:val="Table of Contents"/>
          <w:docPartUnique w:val="true"/>
        </w:docPartObj>
      </w:sdtPr>
      <w:sdtContent>
        <w:p>
          <w:pPr>
            <w:pStyle w:val="TOC1"/>
            <w:rPr/>
          </w:pPr>
          <w:r>
            <w:fldChar w:fldCharType="begin"/>
          </w:r>
          <w:r>
            <w:rPr/>
            <w:instrText xml:space="preserve">toc \b article8 \f</w:instrText>
          </w:r>
          <w:r>
            <w:rPr/>
            <w:fldChar w:fldCharType="separate"/>
          </w:r>
          <w:r>
            <w:rPr/>
            <w:t>SECTION 8.2.</w:t>
            <w:tab/>
            <w:t>Rounding of Currency Amounts</w:t>
            <w:tab/>
          </w:r>
          <w:hyperlink w:anchor="__RefHeading___Toc474574722">
            <w:r>
              <w:rPr>
                <w:rStyle w:val="IndexLink"/>
              </w:rPr>
              <w:t>46</w:t>
            </w:r>
          </w:hyperlink>
          <w:r>
            <w:rPr>
              <w:rStyle w:val="IndexLink"/>
            </w:rPr>
            <w:fldChar w:fldCharType="end"/>
          </w:r>
        </w:p>
      </w:sdtContent>
    </w:sdt>
    <w:p>
      <w:pPr>
        <w:pStyle w:val="Normal"/>
        <w:tabs>
          <w:tab w:val="clear" w:pos="720"/>
          <w:tab w:val="left" w:pos="2160" w:leader="none"/>
          <w:tab w:val="right" w:pos="9000" w:leader="dot"/>
        </w:tabs>
        <w:rPr/>
      </w:pPr>
      <w:r>
        <w:rPr/>
      </w:r>
    </w:p>
    <w:p>
      <w:pPr>
        <w:pStyle w:val="Normal"/>
        <w:tabs>
          <w:tab w:val="clear" w:pos="720"/>
          <w:tab w:val="left" w:pos="1985" w:leader="none"/>
          <w:tab w:val="right" w:pos="7938" w:leader="dot"/>
        </w:tabs>
        <w:jc w:val="center"/>
        <w:rPr>
          <w:b/>
        </w:rPr>
      </w:pPr>
      <w:r>
        <w:rPr>
          <w:b/>
        </w:rPr>
        <w:t>ARTICLE 17</w:t>
      </w:r>
    </w:p>
    <w:p>
      <w:pPr>
        <w:pStyle w:val="Normal"/>
        <w:tabs>
          <w:tab w:val="clear" w:pos="720"/>
          <w:tab w:val="left" w:pos="1985" w:leader="none"/>
          <w:tab w:val="right" w:pos="7938" w:leader="dot"/>
        </w:tabs>
        <w:jc w:val="center"/>
        <w:rPr>
          <w:b/>
        </w:rPr>
      </w:pPr>
      <w:r>
        <w:rPr>
          <w:b/>
        </w:rPr>
      </w:r>
    </w:p>
    <w:p>
      <w:pPr>
        <w:pStyle w:val="Normal"/>
        <w:tabs>
          <w:tab w:val="clear" w:pos="720"/>
          <w:tab w:val="left" w:pos="1985" w:leader="none"/>
          <w:tab w:val="right" w:pos="7938" w:leader="dot"/>
        </w:tabs>
        <w:jc w:val="center"/>
        <w:rPr>
          <w:b/>
        </w:rPr>
      </w:pPr>
      <w:r>
        <w:rPr>
          <w:b/>
        </w:rPr>
        <w:t>CASH SETTLEMENT</w:t>
      </w:r>
    </w:p>
    <w:p>
      <w:pPr>
        <w:pStyle w:val="Normal"/>
        <w:tabs>
          <w:tab w:val="clear" w:pos="720"/>
          <w:tab w:val="left" w:pos="1985" w:leader="none"/>
          <w:tab w:val="right" w:pos="7938" w:leader="dot"/>
        </w:tabs>
        <w:jc w:val="center"/>
        <w:rPr>
          <w:b/>
        </w:rPr>
      </w:pPr>
      <w:r>
        <w:rPr>
          <w:b/>
        </w:rPr>
      </w:r>
    </w:p>
    <w:sdt>
      <w:sdtPr>
        <w:docPartObj>
          <w:docPartGallery w:val="Table of Contents"/>
          <w:docPartUnique w:val="true"/>
        </w:docPartObj>
      </w:sdtPr>
      <w:sdtContent>
        <w:p>
          <w:pPr>
            <w:pStyle w:val="TOC1"/>
            <w:rPr/>
          </w:pPr>
          <w:r>
            <w:fldChar w:fldCharType="begin"/>
          </w:r>
          <w:r>
            <w:rPr/>
            <w:instrText xml:space="preserve">toc \b article17 \f</w:instrText>
          </w:r>
          <w:r>
            <w:rPr/>
            <w:fldChar w:fldCharType="separate"/>
          </w:r>
          <w:r>
            <w:rPr/>
            <w:t>SECTION 17.2(d)</w:t>
            <w:tab/>
            <w:t>Cash Settlement Valuation Dates</w:t>
            <w:tab/>
          </w:r>
          <w:hyperlink w:anchor="__RefHeading___Toc474574844">
            <w:r>
              <w:rPr>
                <w:rStyle w:val="IndexLink"/>
              </w:rPr>
              <w:t>47</w:t>
            </w:r>
          </w:hyperlink>
          <w:r>
            <w:rPr>
              <w:rStyle w:val="IndexLink"/>
            </w:rPr>
            <w:fldChar w:fldCharType="end"/>
          </w:r>
        </w:p>
      </w:sdtContent>
    </w:sdt>
    <w:p>
      <w:pPr>
        <w:pStyle w:val="Normal"/>
        <w:tabs>
          <w:tab w:val="clear" w:pos="720"/>
          <w:tab w:val="left" w:pos="2160" w:leader="none"/>
          <w:tab w:val="right" w:pos="9000" w:leader="dot"/>
        </w:tabs>
        <w:rPr/>
      </w:pPr>
      <w:r>
        <w:rPr/>
      </w:r>
    </w:p>
    <w:sdt>
      <w:sdtPr>
        <w:docPartObj>
          <w:docPartGallery w:val="Table of Contents"/>
          <w:docPartUnique w:val="true"/>
        </w:docPartObj>
      </w:sdtPr>
      <w:sdtContent>
        <w:p>
          <w:pPr>
            <w:pStyle w:val="TOC1"/>
            <w:rPr/>
          </w:pPr>
          <w:r>
            <w:fldChar w:fldCharType="begin"/>
          </w:r>
          <w:r>
            <w:rPr/>
            <w:instrText xml:space="preserve">toc \b EXHIBITI \f</w:instrText>
          </w:r>
          <w:r>
            <w:rPr/>
            <w:fldChar w:fldCharType="separate"/>
          </w:r>
          <w:r>
            <w:rPr/>
            <w:t>EXHIBIT I</w:t>
            <w:tab/>
            <w:t>Definitions of Specific Terms for Certain</w:t>
          </w:r>
        </w:p>
        <w:p>
          <w:pPr>
            <w:pStyle w:val="TOC1"/>
            <w:rPr/>
          </w:pPr>
          <w:r>
            <w:rPr/>
            <w:tab/>
            <w:t>Euro Floating Rate Options</w:t>
            <w:tab/>
          </w:r>
          <w:hyperlink w:anchor="__RefHeading___Toc474574976">
            <w:r>
              <w:rPr>
                <w:rStyle w:val="IndexLink"/>
              </w:rPr>
              <w:t>48</w:t>
            </w:r>
          </w:hyperlink>
          <w:r>
            <w:rPr>
              <w:rStyle w:val="IndexLink"/>
            </w:rPr>
            <w:fldChar w:fldCharType="end"/>
          </w:r>
        </w:p>
      </w:sdtContent>
    </w:sdt>
    <w:p>
      <w:pPr>
        <w:pStyle w:val="Normal"/>
        <w:tabs>
          <w:tab w:val="clear" w:pos="720"/>
          <w:tab w:val="left" w:pos="2160" w:leader="none"/>
          <w:tab w:val="right" w:pos="9000" w:leader="dot"/>
        </w:tabs>
        <w:rPr/>
      </w:pPr>
      <w:r>
        <w:rPr/>
      </w:r>
    </w:p>
    <w:sdt>
      <w:sdtPr>
        <w:docPartObj>
          <w:docPartGallery w:val="Table of Contents"/>
          <w:docPartUnique w:val="true"/>
        </w:docPartObj>
      </w:sdtPr>
      <w:sdtContent>
        <w:p>
          <w:pPr>
            <w:pStyle w:val="TOC1"/>
            <w:rPr/>
          </w:pPr>
          <w:r>
            <w:fldChar w:fldCharType="begin"/>
          </w:r>
          <w:r>
            <w:rPr/>
            <w:instrText xml:space="preserve">toc \b INDEX \f</w:instrText>
          </w:r>
          <w:r>
            <w:rPr/>
            <w:fldChar w:fldCharType="separate"/>
          </w:r>
          <w:r>
            <w:rPr/>
            <w:t>INDEX OF TERMS</w:t>
            <w:tab/>
            <w:tab/>
          </w:r>
          <w:hyperlink w:anchor="__RefHeading___Toc474574928">
            <w:r>
              <w:rPr>
                <w:rStyle w:val="IndexLink"/>
              </w:rPr>
              <w:t>49</w:t>
            </w:r>
          </w:hyperlink>
          <w:r>
            <w:rPr>
              <w:rStyle w:val="IndexLink"/>
            </w:rPr>
            <w:fldChar w:fldCharType="end"/>
          </w:r>
        </w:p>
      </w:sdtContent>
    </w:sdt>
    <w:p>
      <w:pPr>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1440" w:right="1440" w:gutter="0" w:header="720" w:top="1800" w:footer="1080" w:bottom="1440"/>
          <w:pgNumType w:fmt="decimal"/>
          <w:formProt w:val="false"/>
          <w:titlePg/>
          <w:textDirection w:val="lrTb"/>
          <w:docGrid w:type="default" w:linePitch="360" w:charSpace="0"/>
        </w:sectPr>
        <w:pStyle w:val="Normal"/>
        <w:numPr>
          <w:ilvl w:val="0"/>
          <w:numId w:val="0"/>
        </w:numPr>
        <w:rPr/>
      </w:pPr>
      <w:r>
        <w:rPr/>
      </w:r>
    </w:p>
    <w:p>
      <w:pPr>
        <w:pStyle w:val="Normal"/>
        <w:jc w:val="center"/>
        <w:rPr>
          <w:b/>
        </w:rPr>
      </w:pPr>
      <w:r>
        <w:rPr>
          <w:b/>
        </w:rPr>
        <w:t xml:space="preserve">INTRODUCTION TO THE ANNEX TO THE </w:t>
      </w:r>
    </w:p>
    <w:p>
      <w:pPr>
        <w:pStyle w:val="Normal"/>
        <w:tabs>
          <w:tab w:val="clear" w:pos="720"/>
          <w:tab w:val="left" w:pos="2250" w:leader="none"/>
          <w:tab w:val="right" w:pos="7920" w:leader="dot"/>
          <w:tab w:val="center" w:pos="9000" w:leader="none"/>
        </w:tabs>
        <w:jc w:val="center"/>
        <w:rPr>
          <w:b/>
        </w:rPr>
      </w:pPr>
      <w:r>
        <w:rPr>
          <w:b/>
        </w:rPr>
        <w:t>2000 ISDA DEFINITIONS</w:t>
      </w:r>
    </w:p>
    <w:p>
      <w:pPr>
        <w:pStyle w:val="Normal"/>
        <w:tabs>
          <w:tab w:val="clear" w:pos="720"/>
          <w:tab w:val="left" w:pos="2250" w:leader="none"/>
          <w:tab w:val="right" w:pos="7920" w:leader="dot"/>
          <w:tab w:val="center" w:pos="9000" w:leader="none"/>
        </w:tabs>
        <w:jc w:val="start"/>
        <w:rPr>
          <w:b/>
        </w:rPr>
      </w:pPr>
      <w:r>
        <w:rPr>
          <w:b/>
        </w:rPr>
      </w:r>
    </w:p>
    <w:p>
      <w:pPr>
        <w:pStyle w:val="Normal"/>
        <w:tabs>
          <w:tab w:val="left" w:pos="720" w:leader="none"/>
          <w:tab w:val="left" w:pos="2250" w:leader="none"/>
          <w:tab w:val="right" w:pos="7920" w:leader="dot"/>
          <w:tab w:val="center" w:pos="9000" w:leader="none"/>
        </w:tabs>
        <w:ind w:firstLine="720" w:end="0"/>
        <w:rPr/>
      </w:pPr>
      <w:r>
        <w:rPr/>
        <w:t>The Annex to the 2000 ISDA Definitions (the "Annex") is intended for use in conjunction with the 2000 ISDA Definitions (the "Definitions") in confirmations of individual transactions governed by agreements such as the 1992 ISDA Master Agreements (the "ISDA Master Agreements") published by the International Swaps and Derivatives Association, Inc. ("ISDA").  Copies of the ISDA Master Agreements are available from the executive offices of ISDA.</w:t>
      </w:r>
    </w:p>
    <w:p>
      <w:pPr>
        <w:pStyle w:val="Normal"/>
        <w:tabs>
          <w:tab w:val="clear" w:pos="720"/>
          <w:tab w:val="left" w:pos="2250" w:leader="none"/>
          <w:tab w:val="right" w:pos="7920" w:leader="dot"/>
          <w:tab w:val="center" w:pos="9000" w:leader="none"/>
        </w:tabs>
        <w:rPr/>
      </w:pPr>
      <w:r>
        <w:rPr/>
      </w:r>
    </w:p>
    <w:p>
      <w:pPr>
        <w:pStyle w:val="Normal"/>
        <w:tabs>
          <w:tab w:val="left" w:pos="720" w:leader="none"/>
          <w:tab w:val="left" w:pos="2250" w:leader="none"/>
          <w:tab w:val="right" w:pos="7920" w:leader="dot"/>
          <w:tab w:val="center" w:pos="9000" w:leader="none"/>
        </w:tabs>
        <w:ind w:firstLine="720" w:end="0"/>
        <w:rPr/>
      </w:pPr>
      <w:r>
        <w:rPr/>
        <w:t xml:space="preserve">The Annex, which supplements and forms a part of the Definitions, contains currency and floating rate option definitions and certain other related definitions and provisions.The Definitions may be updated or replaced in the future to include additional definitions and provisions, although it is not anticipated that they will be changed substantively unless then prevailing market practice supports such a change.  However, it is anticipated that currency and floating rate option definitions (and certain other provisions which refer to such currencies and floating rate options) will be added or changed from time to time as transactions involving rates and currencies not included in the Definitions become more prevalent and to reflect market practice.  Accordingly, set forth below are the relevant sections of the Definitions </w:t>
      </w:r>
      <w:r>
        <w:rPr>
          <w:b/>
        </w:rPr>
        <w:t>[</w:t>
      </w:r>
      <w:r>
        <w:rPr/>
        <w:t>in a loose-leaf format</w:t>
      </w:r>
      <w:r>
        <w:rPr>
          <w:b/>
        </w:rPr>
        <w:t>]</w:t>
      </w:r>
      <w:r>
        <w:rPr/>
        <w:t xml:space="preserve"> to accommodate such additions and changes.  At any time a copy of the then current version of the Annex may be obtained by contacting ISDA.  </w:t>
      </w:r>
      <w:r>
        <w:rPr>
          <w:b/>
        </w:rPr>
        <w:t>[</w:t>
      </w:r>
      <w:r>
        <w:rPr/>
        <w:t>ISDA also intends to make the latest version of the Annex available on its website: www.isda.org.</w:t>
      </w:r>
      <w:r>
        <w:rPr>
          <w:b/>
        </w:rPr>
        <w:t>]</w:t>
      </w:r>
      <w:r>
        <w:rPr/>
        <w:t xml:space="preserve">  To avoid potential confusion, parties to a transaction may want to specify the version of the Annex that is being incorporated by reference to a date (</w:t>
      </w:r>
      <w:r>
        <w:rPr>
          <w:i/>
        </w:rPr>
        <w:t>e.g.</w:t>
      </w:r>
      <w:r>
        <w:rPr/>
        <w:t>, March 2000 version") or an "as amended through" date (</w:t>
      </w:r>
      <w:r>
        <w:rPr>
          <w:i/>
        </w:rPr>
        <w:t>e.g.</w:t>
      </w:r>
      <w:r>
        <w:rPr/>
        <w:t xml:space="preserve">, "March 2000 version as amended through 1 January, 2001").  </w:t>
      </w:r>
      <w:r>
        <w:rPr>
          <w:b/>
          <w:i/>
        </w:rPr>
        <w:t>Unless otherwise agreed, parties will be deemed to have incorporated the Annex as amended through the date on which the parties enter into a transaction that incorporates the Definitions</w:t>
      </w:r>
      <w:r>
        <w:rPr>
          <w:b/>
        </w:rPr>
        <w:t>.</w:t>
      </w:r>
    </w:p>
    <w:p>
      <w:pPr>
        <w:pStyle w:val="Normal"/>
        <w:tabs>
          <w:tab w:val="left" w:pos="720" w:leader="none"/>
          <w:tab w:val="left" w:pos="2250" w:leader="none"/>
          <w:tab w:val="right" w:pos="7920" w:leader="dot"/>
          <w:tab w:val="center" w:pos="9000" w:leader="none"/>
        </w:tabs>
        <w:rPr/>
      </w:pPr>
      <w:r>
        <w:rPr/>
      </w:r>
    </w:p>
    <w:p>
      <w:pPr>
        <w:pStyle w:val="Normal"/>
        <w:tabs>
          <w:tab w:val="left" w:pos="720" w:leader="none"/>
          <w:tab w:val="left" w:pos="2250" w:leader="none"/>
          <w:tab w:val="right" w:pos="7920" w:leader="dot"/>
          <w:tab w:val="center" w:pos="9000" w:leader="none"/>
        </w:tabs>
        <w:ind w:firstLine="720" w:end="0"/>
        <w:rPr/>
      </w:pPr>
      <w:r>
        <w:rPr>
          <w:i/>
        </w:rPr>
        <w:t>ISDA has no relationship with the organizations that have created or publish or provide the information that serves as a basis for the floating rate option definitions referred to in the Annex.</w:t>
      </w:r>
      <w:r>
        <w:rPr/>
        <w:t xml:space="preserve">  </w:t>
      </w:r>
      <w:r>
        <w:rPr>
          <w:i/>
        </w:rPr>
        <w:t>ISDA does not assume any responsibility for the non-availability or miscalculation of, or any error or omission in, any of the floating rate options referred to in the Annex.  ISDA assumes no responsibility for any use to which the Annex may be put or for the use of any floating rate option definition in connection with a transaction evidenced by a document that incorporates the Annex.</w:t>
      </w:r>
    </w:p>
    <w:p>
      <w:pPr>
        <w:pStyle w:val="Normal"/>
        <w:tabs>
          <w:tab w:val="left" w:pos="720" w:leader="none"/>
          <w:tab w:val="left" w:pos="2250" w:leader="none"/>
          <w:tab w:val="right" w:pos="7920" w:leader="dot"/>
          <w:tab w:val="center" w:pos="9000" w:leader="none"/>
        </w:tabs>
        <w:rPr/>
      </w:pPr>
      <w:r>
        <w:rPr/>
      </w:r>
    </w:p>
    <w:p>
      <w:pPr>
        <w:pStyle w:val="Normal"/>
        <w:jc w:val="center"/>
        <w:rPr/>
      </w:pPr>
      <w:r>
        <w:rPr/>
      </w:r>
    </w:p>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uro Sign">
    <w:charset w:val="0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rPr>
    </w:pPr>
    <w:r>
      <w:rPr>
        <w:sz w:val="22"/>
      </w:rPr>
      <w:t xml:space="preserve">ii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ICM:385619.7</w:t>
      <w:tab/>
    </w:r>
    <w:r>
      <w:rPr/>
      <w:t>ii</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ICM:385619.7</w:t>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4605" cy="16065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ICM:385619.7</w:t>
    </w:r>
    <w:r>
      <mc:AlternateContent>
        <mc:Choice Requires="wps">
          <w:drawing>
            <wp:anchor behindDoc="0" distT="0" distB="0" distL="0" distR="0" simplePos="0" locked="0" layoutInCell="0" allowOverlap="1" relativeHeight="19">
              <wp:simplePos x="0" y="0"/>
              <wp:positionH relativeFrom="page">
                <wp:posOffset>3932555</wp:posOffset>
              </wp:positionH>
              <wp:positionV relativeFrom="paragraph">
                <wp:posOffset>24130</wp:posOffset>
              </wp:positionV>
              <wp:extent cx="14605" cy="16065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1.9pt;mso-position-vertical-relative:text;margin-left:309.65pt;mso-position-horizontal-relative:page">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rPr>
    </w:pPr>
    <w:r>
      <w:rPr>
        <w:sz w:val="22"/>
      </w:rPr>
      <w:t xml:space="preserve">ii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start"/>
      <w:rPr/>
    </w:pPr>
    <w:r>
      <w:rPr/>
      <w:t>ICM:385619.7</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t>ANNEX</w:t>
    </w:r>
  </w:p>
  <w:p>
    <w:pPr>
      <w:pStyle w:val="Header"/>
      <w:jc w:val="start"/>
      <w:rPr/>
    </w:pPr>
    <w:r>
      <w:rPr>
        <w:rFonts w:eastAsia="Wingdings" w:cs="Wingdings" w:ascii="Wingdings" w:hAnsi="Wingdings"/>
      </w:rPr>
      <w:sym w:font="Wingdings" w:char="f06c"/>
    </w:r>
    <w:r>
      <w:rPr/>
      <w:t xml:space="preserve"> </w:t>
    </w:r>
    <w:r>
      <w:rPr/>
      <w:t>2000</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ANNEX</w:t>
    </w:r>
  </w:p>
  <w:p>
    <w:pPr>
      <w:pStyle w:val="Header"/>
      <w:jc w:val="end"/>
      <w:rPr/>
    </w:pPr>
    <w:r>
      <w:rPr>
        <w:rFonts w:eastAsia="Wingdings" w:cs="Wingdings" w:ascii="Wingdings" w:hAnsi="Wingdings"/>
      </w:rPr>
      <w:sym w:font="Wingdings" w:char="f06c"/>
    </w:r>
    <w:r>
      <w:rPr/>
      <w:t xml:space="preserve"> </w:t>
    </w:r>
    <w:r>
      <w:rPr/>
      <w:t>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ANNEX</w:t>
    </w:r>
  </w:p>
  <w:p>
    <w:pPr>
      <w:pStyle w:val="Header"/>
      <w:jc w:val="end"/>
      <w:rPr/>
    </w:pPr>
    <w:r>
      <w:rPr>
        <w:rFonts w:eastAsia="Wingdings" w:cs="Wingdings" w:ascii="Wingdings" w:hAnsi="Wingdings"/>
      </w:rPr>
      <w:sym w:font="Wingdings" w:char="f06c"/>
    </w:r>
    <w:r>
      <w:rPr/>
      <w:t xml:space="preserve"> </w:t>
    </w:r>
    <w:r>
      <w:rPr/>
      <w:t>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ANNEX</w:t>
    </w:r>
  </w:p>
  <w:p>
    <w:pPr>
      <w:pStyle w:val="Header"/>
      <w:jc w:val="end"/>
      <w:rPr/>
    </w:pPr>
    <w:r>
      <w:rPr>
        <w:rFonts w:eastAsia="Wingdings" w:cs="Wingdings" w:ascii="Wingdings" w:hAnsi="Wingdings"/>
      </w:rPr>
      <w:sym w:font="Wingdings" w:char="f06c"/>
    </w:r>
    <w:r>
      <w:rPr/>
      <w:t xml:space="preserve"> </w:t>
    </w:r>
    <w:r>
      <w:rPr/>
      <w:t>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compatSetting w:name="compatibilityMode" w:uri="http://schemas.microsoft.com/office/word" w:val="11"/>
  </w:compat>
  <w:docVars>
    <w:docVar w:name="DocRef" w:val="ICM:385619.5"/>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1z0">
    <w:name w:val="WW8Num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BodyTextIndent2">
    <w:name w:val="Body Text Indent 2"/>
    <w:basedOn w:val="Normal"/>
    <w:qFormat/>
    <w:pPr>
      <w:ind w:hanging="1843" w:start="2835" w:end="0"/>
      <w:jc w:val="start"/>
    </w:pPr>
    <w:rPr>
      <w:rFonts w:ascii="Arial" w:hAnsi="Arial" w:cs="Arial"/>
      <w:lang w:val="en-US"/>
    </w:rPr>
  </w:style>
  <w:style w:type="paragraph" w:styleId="BodyTextIndent3">
    <w:name w:val="Body Text Indent 3"/>
    <w:basedOn w:val="Normal"/>
    <w:qFormat/>
    <w:pPr>
      <w:ind w:hanging="1842" w:start="2835" w:end="0"/>
      <w:jc w:val="start"/>
    </w:pPr>
    <w:rPr>
      <w:rFonts w:ascii="Arial" w:hAnsi="Arial" w:cs="Arial"/>
      <w:sz w:val="24"/>
      <w:lang w:val="en-US"/>
    </w:rPr>
  </w:style>
  <w:style w:type="paragraph" w:styleId="TOC1">
    <w:name w:val="toc 1"/>
    <w:basedOn w:val="Normal"/>
    <w:next w:val="Normal"/>
    <w:pPr>
      <w:tabs>
        <w:tab w:val="clear" w:pos="720"/>
        <w:tab w:val="left" w:pos="2127" w:leader="none"/>
        <w:tab w:val="right" w:pos="9016" w:leader="dot"/>
      </w:tabs>
    </w:pPr>
    <w:rPr>
      <w:lang w:val="en-CA"/>
    </w:rPr>
  </w:style>
  <w:style w:type="paragraph" w:styleId="Index1">
    <w:name w:val="index 1"/>
    <w:basedOn w:val="Normal"/>
    <w:next w:val="Normal"/>
    <w:pPr>
      <w:ind w:hanging="220" w:start="2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153"/>
        <w:tab w:val="clear" w:pos="8306"/>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header" Target="header11.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2000-02-10T17:39:00Z</dcterms:created>
  <dc:creator>Allen &amp; Overy</dc:creator>
  <dc:description/>
  <dc:language>en-CA</dc:language>
  <cp:lastModifiedBy>Corrinne Greasley</cp:lastModifiedBy>
  <cp:lastPrinted>2000-02-10T18:01:00Z</cp:lastPrinted>
  <dcterms:modified xsi:type="dcterms:W3CDTF">2000-02-10T17:39:00Z</dcterms:modified>
  <cp:revision>2</cp:revision>
  <dc:subject/>
  <dc:title>ANNEX TO THE</dc:title>
</cp:coreProperties>
</file>