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_rels/header2.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media/image1.wmf" ContentType="image/x-wmf"/>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
        <w:rPr>
          <w:sz w:val="28"/>
        </w:rPr>
      </w:pPr>
      <w:r>
        <w:rPr>
          <w:sz w:val="28"/>
        </w:rPr>
      </w:r>
    </w:p>
    <w:p>
      <w:pPr>
        <w:pStyle w:val="BodyText2"/>
        <w:rPr>
          <w:sz w:val="28"/>
        </w:rPr>
      </w:pPr>
      <w:r>
        <w:rPr>
          <w:sz w:val="28"/>
        </w:rPr>
      </w:r>
    </w:p>
    <w:p>
      <w:pPr>
        <w:pStyle w:val="BodyText2"/>
        <w:rPr>
          <w:sz w:val="28"/>
        </w:rPr>
      </w:pPr>
      <w:r>
        <w:rPr>
          <w:sz w:val="28"/>
        </w:rPr>
        <w:t>A GUIDE TO THE STRUCTURE AND MARKET TERMINOLOGY OF THE LONDON METAL EXCHANGE</w:t>
      </w:r>
    </w:p>
    <w:p>
      <w:pPr>
        <w:pStyle w:val="Heading1"/>
        <w:ind w:hanging="0" w:start="0"/>
        <w:jc w:val="both"/>
        <w:rPr>
          <w:sz w:val="26"/>
        </w:rPr>
      </w:pPr>
      <w:r>
        <w:rPr>
          <w:sz w:val="26"/>
        </w:rPr>
      </w:r>
    </w:p>
    <w:p>
      <w:pPr>
        <w:pStyle w:val="Normal"/>
        <w:jc w:val="both"/>
        <w:rPr>
          <w:sz w:val="26"/>
        </w:rPr>
      </w:pPr>
      <w:r>
        <w:rPr>
          <w:sz w:val="26"/>
        </w:rPr>
      </w:r>
    </w:p>
    <w:p>
      <w:pPr>
        <w:pStyle w:val="Heading1"/>
        <w:ind w:hanging="0" w:start="0"/>
        <w:jc w:val="both"/>
        <w:rPr>
          <w:sz w:val="26"/>
        </w:rPr>
      </w:pPr>
      <w:r>
        <w:rPr>
          <w:sz w:val="26"/>
        </w:rPr>
        <w:t>INTRODUCTION AND PURPOSE</w:t>
      </w:r>
    </w:p>
    <w:p>
      <w:pPr>
        <w:pStyle w:val="Normal"/>
        <w:jc w:val="both"/>
        <w:rPr>
          <w:b/>
          <w:sz w:val="26"/>
        </w:rPr>
      </w:pPr>
      <w:r>
        <w:rPr>
          <w:b/>
          <w:sz w:val="26"/>
        </w:rPr>
      </w:r>
    </w:p>
    <w:p>
      <w:pPr>
        <w:pStyle w:val="Normal"/>
        <w:jc w:val="both"/>
        <w:rPr>
          <w:sz w:val="26"/>
        </w:rPr>
      </w:pPr>
      <w:r>
        <w:rPr>
          <w:sz w:val="26"/>
        </w:rPr>
        <w:t xml:space="preserve">This document is designed to provide customers of the London Metal Exchange (LME) with an overview of the structure of its members and how certain order styles may be executed.  It is not designed as a comprehensive trading guide, nor should it be relied upon as standard, market terminology.  Customers should always ensure that their requirements are explained in detail to the member responsible for order execution. </w:t>
      </w:r>
    </w:p>
    <w:p>
      <w:pPr>
        <w:pStyle w:val="Normal"/>
        <w:jc w:val="both"/>
        <w:rPr>
          <w:b/>
          <w:sz w:val="26"/>
        </w:rPr>
      </w:pPr>
      <w:r>
        <w:rPr>
          <w:b/>
          <w:sz w:val="26"/>
        </w:rPr>
      </w:r>
    </w:p>
    <w:p>
      <w:pPr>
        <w:pStyle w:val="Normal"/>
        <w:jc w:val="both"/>
        <w:rPr>
          <w:b/>
          <w:sz w:val="26"/>
        </w:rPr>
      </w:pPr>
      <w:r>
        <w:rPr>
          <w:b/>
          <w:sz w:val="26"/>
        </w:rPr>
        <w:t>THE LME</w:t>
      </w:r>
    </w:p>
    <w:p>
      <w:pPr>
        <w:pStyle w:val="Normal"/>
        <w:jc w:val="both"/>
        <w:rPr>
          <w:b/>
          <w:sz w:val="26"/>
        </w:rPr>
      </w:pPr>
      <w:r>
        <w:rPr>
          <w:b/>
          <w:sz w:val="26"/>
        </w:rPr>
      </w:r>
    </w:p>
    <w:p>
      <w:pPr>
        <w:pStyle w:val="Heading4"/>
        <w:ind w:hanging="0" w:start="0"/>
        <w:rPr/>
      </w:pPr>
      <w:r>
        <w:rPr/>
        <w:t>Principal Nature</w:t>
      </w:r>
    </w:p>
    <w:p>
      <w:pPr>
        <w:pStyle w:val="Normal"/>
        <w:jc w:val="both"/>
        <w:rPr>
          <w:b/>
          <w:sz w:val="26"/>
        </w:rPr>
      </w:pPr>
      <w:r>
        <w:rPr>
          <w:b/>
          <w:sz w:val="26"/>
        </w:rPr>
      </w:r>
    </w:p>
    <w:p>
      <w:pPr>
        <w:pStyle w:val="Normal"/>
        <w:jc w:val="both"/>
        <w:rPr/>
      </w:pPr>
      <w:r>
        <w:rPr>
          <w:sz w:val="26"/>
        </w:rPr>
        <w:t>There are two types of contracts traded on the LME - Exchange Contracts and Client Contracts.  Exchange Contracts are contracts between clearing members of the LME.  Client Contracts are contracts between customers and ring dealing members (RDM), associate broker clearing members (ABCM), or associate broker members (ABM)</w:t>
      </w:r>
      <w:r>
        <w:rPr>
          <w:rStyle w:val="FootnoteCharacters"/>
          <w:rStyle w:val="FootnoteReference"/>
          <w:sz w:val="26"/>
        </w:rPr>
        <w:footnoteReference w:id="2"/>
      </w:r>
      <w:r>
        <w:rPr>
          <w:sz w:val="26"/>
        </w:rPr>
        <w:t>.  Only RDMs, ABCMs and ABMs may issue Client Contracts.  Statements issued subsequently to clients must state clearly ‘</w:t>
      </w:r>
      <w:r>
        <w:rPr>
          <w:b/>
          <w:sz w:val="26"/>
        </w:rPr>
        <w:t>THIS IS AN LME REGISTERED CLIENT CONTRACT’</w:t>
      </w:r>
      <w:r>
        <w:rPr>
          <w:sz w:val="26"/>
        </w:rPr>
        <w:t>.  Contract criteria pertaining to LME contracts, including metal specification, acceptable currencies, prompt dates, option strike prices etc are detailed in the LME rulebook and appropriate notices.</w:t>
      </w:r>
    </w:p>
    <w:p>
      <w:pPr>
        <w:pStyle w:val="Normal"/>
        <w:jc w:val="both"/>
        <w:rPr>
          <w:sz w:val="26"/>
        </w:rPr>
      </w:pPr>
      <w:r>
        <w:rPr>
          <w:sz w:val="26"/>
        </w:rPr>
      </w:r>
    </w:p>
    <w:p>
      <w:pPr>
        <w:pStyle w:val="Normal"/>
        <w:jc w:val="both"/>
        <w:rPr/>
      </w:pPr>
      <w:r>
        <w:rPr>
          <w:sz w:val="26"/>
        </w:rPr>
        <w:t xml:space="preserve">Exchange Contracts are traded between members, </w:t>
      </w:r>
      <w:r>
        <w:rPr>
          <w:b/>
          <w:sz w:val="26"/>
        </w:rPr>
        <w:t>matched</w:t>
      </w:r>
      <w:r>
        <w:rPr>
          <w:sz w:val="26"/>
        </w:rPr>
        <w:t xml:space="preserve"> in the LME matching and clearing system (LMEMS) and margined by the London Clearing House (LCH).  Client Contracts are </w:t>
      </w:r>
      <w:r>
        <w:rPr>
          <w:b/>
          <w:sz w:val="26"/>
        </w:rPr>
        <w:t>registered</w:t>
      </w:r>
      <w:r>
        <w:rPr>
          <w:sz w:val="26"/>
        </w:rPr>
        <w:t xml:space="preserve"> at the LCH but margining arrangements are between members and their customers (subject to LME rules).  </w:t>
      </w:r>
      <w:r>
        <w:br w:type="page"/>
      </w:r>
    </w:p>
    <w:p>
      <w:pPr>
        <w:pStyle w:val="Normal"/>
        <w:jc w:val="both"/>
        <w:rPr>
          <w:sz w:val="26"/>
        </w:rPr>
      </w:pPr>
      <w:r>
        <w:rPr>
          <w:sz w:val="26"/>
        </w:rPr>
        <w:t>All LME contracts are between the parties acting as principals.  This prevents any party entering into an LME Contract as agent for someone else but does not prevent an agent effecting a contract between two parties if the resulting LME contract is between disclosed parties each acting as a principal.  It is an essential requirement of an LME Client Contract that one party must be an RDM, ABCM or ABM.  A list of members is available from the LME.</w:t>
      </w:r>
    </w:p>
    <w:p>
      <w:pPr>
        <w:pStyle w:val="BodyText"/>
        <w:rPr>
          <w:sz w:val="26"/>
        </w:rPr>
      </w:pPr>
      <w:r>
        <w:rPr>
          <w:sz w:val="26"/>
        </w:rPr>
      </w:r>
    </w:p>
    <w:p>
      <w:pPr>
        <w:pStyle w:val="BodyText"/>
        <w:rPr>
          <w:sz w:val="26"/>
        </w:rPr>
      </w:pPr>
      <w:r>
        <w:rPr>
          <w:sz w:val="26"/>
        </w:rPr>
        <w:t>In respect of Exchange Contracts, this means that an LME broker buying metal under an Exchange Contract from another LME broker cannot do so as agent for his customer.  Where an LME broker buys metal under an Exchange Contract with a view to selling that metal to his customer, this is achieved by entering into a back-to-back Client Contract with the customer.  Brokers and customers can agree the conditions that will apply to their Client Contracts.  For example, a customer may make it a condition of his Client Contract that the broker must enter into a back-to-back Exchange Contract for the metal being bought or sold.  This does not make the customer a party to the Exchange Contract but does create additional duties and obligations owed by his broker under the Client Contract.</w:t>
      </w:r>
    </w:p>
    <w:p>
      <w:pPr>
        <w:pStyle w:val="BodyText"/>
        <w:rPr>
          <w:sz w:val="26"/>
        </w:rPr>
      </w:pPr>
      <w:r>
        <w:rPr>
          <w:sz w:val="26"/>
        </w:rPr>
      </w:r>
    </w:p>
    <w:p>
      <w:pPr>
        <w:pStyle w:val="BodyText"/>
        <w:rPr>
          <w:sz w:val="26"/>
        </w:rPr>
      </w:pPr>
      <w:r>
        <w:rPr>
          <w:sz w:val="26"/>
        </w:rPr>
        <w:t xml:space="preserve">Customers should be clear about the conditions they wish to apply to their Client Contracts and about the obligations and duties that the broker will owe them as a result of those conditions.  </w:t>
      </w:r>
    </w:p>
    <w:p>
      <w:pPr>
        <w:pStyle w:val="BodyText"/>
        <w:rPr>
          <w:sz w:val="26"/>
        </w:rPr>
      </w:pPr>
      <w:r>
        <w:rPr>
          <w:sz w:val="26"/>
        </w:rPr>
      </w:r>
    </w:p>
    <w:p>
      <w:pPr>
        <w:pStyle w:val="BodyText"/>
        <w:rPr>
          <w:sz w:val="26"/>
        </w:rPr>
      </w:pPr>
      <w:r>
        <w:rPr>
          <w:sz w:val="26"/>
        </w:rPr>
        <w:t xml:space="preserve">Brokers should be clear about the duties and obligations they owe as a result of conditions attaching to their Client Contracts.  They should also be clear about the duties they owe to their customers under the SFA’s conduct of business rules.  </w:t>
      </w:r>
    </w:p>
    <w:p>
      <w:pPr>
        <w:pStyle w:val="Normal"/>
        <w:jc w:val="both"/>
        <w:rPr>
          <w:b/>
          <w:sz w:val="26"/>
          <w:u w:val="single"/>
        </w:rPr>
      </w:pPr>
      <w:r>
        <w:rPr>
          <w:b/>
          <w:sz w:val="26"/>
          <w:u w:val="single"/>
        </w:rPr>
      </w:r>
    </w:p>
    <w:p>
      <w:pPr>
        <w:pStyle w:val="Normal"/>
        <w:jc w:val="both"/>
        <w:rPr>
          <w:b/>
          <w:sz w:val="26"/>
          <w:u w:val="single"/>
        </w:rPr>
      </w:pPr>
      <w:r>
        <w:rPr>
          <w:b/>
          <w:sz w:val="26"/>
          <w:u w:val="single"/>
        </w:rPr>
        <w:t>Dual Capacity</w:t>
      </w:r>
    </w:p>
    <w:p>
      <w:pPr>
        <w:pStyle w:val="Normal"/>
        <w:jc w:val="both"/>
        <w:rPr>
          <w:b/>
          <w:sz w:val="26"/>
          <w:u w:val="single"/>
        </w:rPr>
      </w:pPr>
      <w:r>
        <w:rPr>
          <w:b/>
          <w:sz w:val="26"/>
          <w:u w:val="single"/>
        </w:rPr>
      </w:r>
    </w:p>
    <w:p>
      <w:pPr>
        <w:pStyle w:val="BodyText3"/>
        <w:rPr/>
      </w:pPr>
      <w:r>
        <w:rPr/>
        <w:t xml:space="preserve">LME members may act both in the capacity of market maker and broker. They may act in a particular manner depending on a number of circumstances, including the size of the order, the liquidity of the market at the time the order was placed and not least the customer’s instructions.  Customer orders may be filled directly from a member’s ‘book’ or filled by the member after it has bought/sold metal in the LME market.  Further, customer orders may be offset, amalgamated, broken-up or netted for execution.  These methodologies apply equally to the ring and the inter-office market.  </w:t>
      </w:r>
    </w:p>
    <w:p>
      <w:pPr>
        <w:pStyle w:val="Normal"/>
        <w:jc w:val="both"/>
        <w:rPr>
          <w:sz w:val="26"/>
        </w:rPr>
      </w:pPr>
      <w:r>
        <w:rPr>
          <w:sz w:val="26"/>
        </w:rPr>
      </w:r>
    </w:p>
    <w:p>
      <w:pPr>
        <w:pStyle w:val="Normal"/>
        <w:jc w:val="both"/>
        <w:rPr>
          <w:sz w:val="26"/>
        </w:rPr>
      </w:pPr>
      <w:r>
        <w:rPr>
          <w:sz w:val="26"/>
        </w:rPr>
        <w:t>Customers with specific order requirements should make these known to the member at the time the order is placed.  Those wishing to know how their order has been executed should request such information from the member.</w:t>
      </w:r>
    </w:p>
    <w:p>
      <w:pPr>
        <w:pStyle w:val="Normal"/>
        <w:jc w:val="both"/>
        <w:rPr>
          <w:sz w:val="26"/>
        </w:rPr>
      </w:pPr>
      <w:r>
        <w:rPr>
          <w:sz w:val="26"/>
        </w:rPr>
      </w:r>
    </w:p>
    <w:p>
      <w:pPr>
        <w:pStyle w:val="Heading1"/>
        <w:ind w:hanging="0" w:start="0"/>
        <w:jc w:val="both"/>
        <w:rPr>
          <w:sz w:val="26"/>
          <w:u w:val="single"/>
        </w:rPr>
      </w:pPr>
      <w:r>
        <w:rPr>
          <w:sz w:val="26"/>
          <w:u w:val="single"/>
        </w:rPr>
        <w:t>Trading Methods</w:t>
      </w:r>
    </w:p>
    <w:p>
      <w:pPr>
        <w:pStyle w:val="Normal"/>
        <w:jc w:val="both"/>
        <w:rPr>
          <w:sz w:val="26"/>
          <w:u w:val="single"/>
        </w:rPr>
      </w:pPr>
      <w:r>
        <w:rPr>
          <w:sz w:val="26"/>
          <w:u w:val="single"/>
        </w:rPr>
      </w:r>
    </w:p>
    <w:p>
      <w:pPr>
        <w:pStyle w:val="BodyText"/>
        <w:rPr>
          <w:sz w:val="26"/>
        </w:rPr>
      </w:pPr>
      <w:r>
        <w:rPr>
          <w:sz w:val="26"/>
        </w:rPr>
        <w:t>The LME operates via two distinct trading mechanisms, open outcry and inter-office.</w:t>
      </w:r>
    </w:p>
    <w:p>
      <w:pPr>
        <w:pStyle w:val="BodyText"/>
        <w:rPr>
          <w:sz w:val="26"/>
        </w:rPr>
      </w:pPr>
      <w:r>
        <w:rPr>
          <w:sz w:val="26"/>
        </w:rPr>
      </w:r>
    </w:p>
    <w:p>
      <w:pPr>
        <w:pStyle w:val="BodyText"/>
        <w:rPr>
          <w:b/>
          <w:sz w:val="26"/>
          <w:u w:val="single"/>
        </w:rPr>
      </w:pPr>
      <w:r>
        <w:rPr>
          <w:b/>
          <w:sz w:val="26"/>
          <w:u w:val="single"/>
        </w:rPr>
        <w:t>Open Outcry</w:t>
      </w:r>
    </w:p>
    <w:p>
      <w:pPr>
        <w:pStyle w:val="BodyText"/>
        <w:rPr>
          <w:b/>
          <w:sz w:val="26"/>
          <w:u w:val="single"/>
        </w:rPr>
      </w:pPr>
      <w:r>
        <w:rPr>
          <w:b/>
          <w:sz w:val="26"/>
          <w:u w:val="single"/>
        </w:rPr>
      </w:r>
    </w:p>
    <w:p>
      <w:pPr>
        <w:pStyle w:val="Normal"/>
        <w:jc w:val="both"/>
        <w:rPr>
          <w:sz w:val="26"/>
        </w:rPr>
      </w:pPr>
      <w:r>
        <w:rPr>
          <w:sz w:val="26"/>
        </w:rPr>
        <w:t>During open outcry ring and kerb sessions, the majority of customer business will be transacted based upon the prices achieved in those ring and kerb sessions.  Customers can follow market activity by listening to the simultaneous floor commentary provided by member(s) and/or by monitoring quoted and traded prices disseminated via the LME vendor feed system (VFS).  The VFS publishes prices traded during ring and kerb times on price vendor information services such as Reuters</w:t>
      </w:r>
      <w:r>
        <w:rPr>
          <w:sz w:val="34"/>
        </w:rPr>
        <w:t xml:space="preserve">.  </w:t>
      </w:r>
    </w:p>
    <w:p>
      <w:pPr>
        <w:pStyle w:val="Normal"/>
        <w:jc w:val="both"/>
        <w:rPr>
          <w:sz w:val="26"/>
        </w:rPr>
      </w:pPr>
      <w:r>
        <w:rPr>
          <w:sz w:val="26"/>
        </w:rPr>
      </w:r>
    </w:p>
    <w:p>
      <w:pPr>
        <w:pStyle w:val="Normal"/>
        <w:jc w:val="both"/>
        <w:rPr>
          <w:sz w:val="26"/>
        </w:rPr>
      </w:pPr>
      <w:r>
        <w:rPr>
          <w:sz w:val="26"/>
        </w:rPr>
        <w:t xml:space="preserve">It is also permissible for a member to ‘make a market’ on request to a customer whilst the floor session is in operation, though this is entirely at the member’s discretion.  Alternatively, the customer can decide whether to place an order with a specific price level or by using one of the order types mentioned below.  </w:t>
      </w:r>
    </w:p>
    <w:p>
      <w:pPr>
        <w:pStyle w:val="Normal"/>
        <w:jc w:val="both"/>
        <w:rPr>
          <w:b/>
          <w:sz w:val="26"/>
        </w:rPr>
      </w:pPr>
      <w:r>
        <w:rPr>
          <w:b/>
          <w:sz w:val="26"/>
        </w:rPr>
      </w:r>
    </w:p>
    <w:p>
      <w:pPr>
        <w:pStyle w:val="Heading4"/>
        <w:ind w:hanging="0" w:start="0"/>
        <w:rPr/>
      </w:pPr>
      <w:r>
        <w:rPr/>
        <w:t>Inter-office</w:t>
      </w:r>
    </w:p>
    <w:p>
      <w:pPr>
        <w:pStyle w:val="Normal"/>
        <w:jc w:val="both"/>
        <w:rPr>
          <w:sz w:val="26"/>
        </w:rPr>
      </w:pPr>
      <w:r>
        <w:rPr>
          <w:sz w:val="26"/>
        </w:rPr>
      </w:r>
    </w:p>
    <w:p>
      <w:pPr>
        <w:pStyle w:val="BodyText"/>
        <w:rPr>
          <w:sz w:val="26"/>
        </w:rPr>
      </w:pPr>
      <w:r>
        <w:rPr>
          <w:sz w:val="26"/>
        </w:rPr>
        <w:t>Inter-office trading is conducted by telephone or other electronic means.  On contacting an LME member, customers will usually be provided, on request, with the member’s current bid-ask quote.  The customer may choose to trade on this quote or, choose to call another member in an attempt to improve the previous quote, or wait and watch for price movements on the LME vendor feed system, or leave an order with a member using one of the following terms or a combination thereof (eg ‘at best ring 1’).</w:t>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b/>
          <w:sz w:val="26"/>
        </w:rPr>
      </w:pPr>
      <w:r>
        <w:rPr>
          <w:b/>
          <w:sz w:val="26"/>
        </w:rPr>
        <w:t>ORDER STYLES</w:t>
      </w:r>
    </w:p>
    <w:p>
      <w:pPr>
        <w:pStyle w:val="Normal"/>
        <w:jc w:val="both"/>
        <w:rPr>
          <w:b/>
          <w:sz w:val="26"/>
        </w:rPr>
      </w:pPr>
      <w:r>
        <w:rPr>
          <w:b/>
          <w:sz w:val="26"/>
        </w:rPr>
      </w:r>
    </w:p>
    <w:p>
      <w:pPr>
        <w:pStyle w:val="Heading1"/>
        <w:ind w:hanging="0" w:start="0"/>
        <w:jc w:val="both"/>
        <w:rPr>
          <w:sz w:val="26"/>
          <w:u w:val="single"/>
        </w:rPr>
      </w:pPr>
      <w:r>
        <w:rPr>
          <w:sz w:val="26"/>
          <w:u w:val="single"/>
        </w:rPr>
        <w:t>Ring</w:t>
      </w:r>
    </w:p>
    <w:p>
      <w:pPr>
        <w:pStyle w:val="Normal"/>
        <w:jc w:val="both"/>
        <w:rPr>
          <w:b/>
          <w:sz w:val="26"/>
          <w:u w:val="single"/>
        </w:rPr>
      </w:pPr>
      <w:r>
        <w:rPr>
          <w:b/>
          <w:sz w:val="26"/>
          <w:u w:val="single"/>
        </w:rPr>
      </w:r>
    </w:p>
    <w:p>
      <w:pPr>
        <w:pStyle w:val="Normal"/>
        <w:jc w:val="both"/>
        <w:rPr/>
      </w:pPr>
      <w:r>
        <w:rPr>
          <w:b/>
          <w:sz w:val="26"/>
        </w:rPr>
        <w:t>Customer orders are not traded in the rings or kerbs</w:t>
      </w:r>
      <w:r>
        <w:rPr>
          <w:sz w:val="26"/>
        </w:rPr>
        <w:t xml:space="preserve">, so an order using the term ‘in/on/during the ring/kerb’ will be executed on the basis of the prices traded/quoted during the particular session.  If a customer requires their order to be ‘shown’ or traded across the ring/kerb then they should make this requirement known to their executor, who may or may not accept this as a term of the order.  The equivalent Exchange Contract for a customer order may not replicate its terms.  As the customer is </w:t>
      </w:r>
      <w:r>
        <w:rPr>
          <w:b/>
          <w:sz w:val="26"/>
        </w:rPr>
        <w:t xml:space="preserve">not </w:t>
      </w:r>
      <w:r>
        <w:rPr>
          <w:sz w:val="26"/>
        </w:rPr>
        <w:t>a party to any Exchange contracts ie those traded in open outcry between members in the ring/kerb sessions, in specifying ring/kerb, the customer is merely identifying a pricing mechanism.  A member which undertakes to match a price traded in the ring/kerb is not necessarily undertaking that it will trade during that ring/kerb, only that it may do so.</w:t>
      </w:r>
    </w:p>
    <w:p>
      <w:pPr>
        <w:pStyle w:val="Normal"/>
        <w:jc w:val="both"/>
        <w:rPr>
          <w:sz w:val="26"/>
        </w:rPr>
      </w:pPr>
      <w:r>
        <w:rPr>
          <w:sz w:val="26"/>
        </w:rPr>
      </w:r>
    </w:p>
    <w:p>
      <w:pPr>
        <w:pStyle w:val="Normal"/>
        <w:jc w:val="both"/>
        <w:rPr>
          <w:sz w:val="26"/>
        </w:rPr>
      </w:pPr>
      <w:r>
        <w:rPr>
          <w:sz w:val="26"/>
        </w:rPr>
        <w:t xml:space="preserve">If a customer trades on the prevailing market quote proffered in the ring/kerb, their executor is not necessarily obliged to effect an Exchange contract at the same price.  This can lead to situations where the customer has traded at the prevailing market quote, without that same price trading in open outcry across the floor of the Exchange.  </w:t>
      </w:r>
    </w:p>
    <w:p>
      <w:pPr>
        <w:pStyle w:val="Normal"/>
        <w:jc w:val="both"/>
        <w:rPr>
          <w:b/>
          <w:sz w:val="26"/>
        </w:rPr>
      </w:pPr>
      <w:r>
        <w:rPr>
          <w:b/>
          <w:sz w:val="26"/>
        </w:rPr>
      </w:r>
    </w:p>
    <w:p>
      <w:pPr>
        <w:pStyle w:val="Heading4"/>
        <w:ind w:hanging="0" w:start="0"/>
        <w:rPr/>
      </w:pPr>
      <w:r>
        <w:rPr/>
        <w:t>Market</w:t>
      </w:r>
    </w:p>
    <w:p>
      <w:pPr>
        <w:pStyle w:val="Normal"/>
        <w:jc w:val="both"/>
        <w:rPr>
          <w:b/>
          <w:sz w:val="26"/>
        </w:rPr>
      </w:pPr>
      <w:r>
        <w:rPr>
          <w:b/>
          <w:sz w:val="26"/>
        </w:rPr>
      </w:r>
    </w:p>
    <w:p>
      <w:pPr>
        <w:pStyle w:val="Normal"/>
        <w:jc w:val="both"/>
        <w:rPr>
          <w:sz w:val="26"/>
        </w:rPr>
      </w:pPr>
      <w:r>
        <w:rPr>
          <w:sz w:val="26"/>
        </w:rPr>
        <w:t xml:space="preserve">In normal circumstances a market order is one executed on a timely basis at the prevailing market price.  The market during ring/kerb times is defined by activity within the ring/kerb.  During inter-office trading the market is harder to determine.  The main indication of the market price during inter-office sessions can be seen on the LME’s vendor feed system.  However, these quotes represent indicative prices and may not be available to all parties.  </w:t>
      </w:r>
    </w:p>
    <w:p>
      <w:pPr>
        <w:pStyle w:val="Normal"/>
        <w:jc w:val="both"/>
        <w:rPr>
          <w:sz w:val="26"/>
        </w:rPr>
      </w:pPr>
      <w:r>
        <w:rPr>
          <w:sz w:val="26"/>
        </w:rPr>
      </w:r>
    </w:p>
    <w:p>
      <w:pPr>
        <w:pStyle w:val="Heading4"/>
        <w:ind w:hanging="0" w:start="0"/>
        <w:rPr/>
      </w:pPr>
      <w:r>
        <w:rPr/>
        <w:t>Best</w:t>
      </w:r>
    </w:p>
    <w:p>
      <w:pPr>
        <w:pStyle w:val="Normal"/>
        <w:jc w:val="both"/>
        <w:rPr>
          <w:b/>
          <w:sz w:val="26"/>
        </w:rPr>
      </w:pPr>
      <w:r>
        <w:rPr>
          <w:b/>
          <w:sz w:val="26"/>
        </w:rPr>
      </w:r>
    </w:p>
    <w:p>
      <w:pPr>
        <w:pStyle w:val="Normal"/>
        <w:jc w:val="both"/>
        <w:rPr>
          <w:sz w:val="26"/>
        </w:rPr>
      </w:pPr>
      <w:r>
        <w:rPr>
          <w:sz w:val="26"/>
        </w:rPr>
        <w:t>Order styles on the LME using the word ‘best’ confer some discretion upon the members when executing the order, requiring them to use their ‘best endeavours’ on the customers’ behalf.  The extent of the discretion is fixed by the terms of the order.  This type of order is distinct from ‘best execution’ as defined by the FSA which most non-private LME customers waive as part of their overall agreement with their executor.</w:t>
      </w:r>
    </w:p>
    <w:p>
      <w:pPr>
        <w:pStyle w:val="Normal"/>
        <w:jc w:val="both"/>
        <w:rPr>
          <w:sz w:val="26"/>
        </w:rPr>
      </w:pPr>
      <w:r>
        <w:rPr>
          <w:sz w:val="26"/>
        </w:rPr>
      </w:r>
    </w:p>
    <w:p>
      <w:pPr>
        <w:pStyle w:val="Normal"/>
        <w:jc w:val="both"/>
        <w:rPr>
          <w:sz w:val="26"/>
        </w:rPr>
      </w:pPr>
      <w:r>
        <w:rPr>
          <w:sz w:val="26"/>
        </w:rPr>
        <w:t>Best orders may be executed both in rings/kerbs and inter-office.  Inter-office trades rely upon the members’ skill in determining the level of the market at any particular time.  Best orders received during ring/kerb times may not result in the customer receiving the ‘best’ price achieved during the session if the price improves after the member has booked the metal intended to fill the order.</w:t>
      </w:r>
    </w:p>
    <w:p>
      <w:pPr>
        <w:pStyle w:val="Normal"/>
        <w:jc w:val="both"/>
        <w:rPr>
          <w:b/>
          <w:sz w:val="26"/>
        </w:rPr>
      </w:pPr>
      <w:r>
        <w:rPr>
          <w:b/>
          <w:sz w:val="26"/>
        </w:rPr>
      </w:r>
    </w:p>
    <w:p>
      <w:pPr>
        <w:pStyle w:val="Heading4"/>
        <w:ind w:hanging="0" w:start="0"/>
        <w:rPr/>
      </w:pPr>
      <w:r>
        <w:rPr/>
        <w:t>Close</w:t>
      </w:r>
    </w:p>
    <w:p>
      <w:pPr>
        <w:pStyle w:val="Normal"/>
        <w:jc w:val="both"/>
        <w:rPr>
          <w:b/>
          <w:sz w:val="26"/>
        </w:rPr>
      </w:pPr>
      <w:r>
        <w:rPr>
          <w:b/>
          <w:sz w:val="26"/>
        </w:rPr>
      </w:r>
    </w:p>
    <w:p>
      <w:pPr>
        <w:pStyle w:val="Normal"/>
        <w:jc w:val="both"/>
        <w:rPr>
          <w:sz w:val="26"/>
        </w:rPr>
      </w:pPr>
      <w:r>
        <w:rPr>
          <w:sz w:val="26"/>
        </w:rPr>
        <w:t>Most orders placed ‘on the close’ are for either the close of the second ring (official LME prices) or the second kerb (closing prices).  Both these prices are demonstrable because of the publication of official and closing prices.  Closing prices of other sessions are harder to determine, although the LME does also publish unofficial prices which are established at the close of the fourth ring.  In all circumstances, customers and members need to agree the style of execution ie bid/ask, mean or traded price.  Members may not always be able to guarantee execution (price or volume) due to prevailing market conditions.</w:t>
      </w:r>
    </w:p>
    <w:p>
      <w:pPr>
        <w:pStyle w:val="Heading2"/>
        <w:ind w:hanging="0" w:start="0"/>
        <w:rPr>
          <w:sz w:val="26"/>
        </w:rPr>
      </w:pPr>
      <w:r>
        <w:rPr>
          <w:sz w:val="26"/>
        </w:rPr>
      </w:r>
    </w:p>
    <w:p>
      <w:pPr>
        <w:pStyle w:val="Heading2"/>
        <w:ind w:hanging="0" w:start="0"/>
        <w:rPr>
          <w:sz w:val="26"/>
          <w:u w:val="single"/>
        </w:rPr>
      </w:pPr>
      <w:r>
        <w:rPr>
          <w:sz w:val="26"/>
          <w:u w:val="single"/>
        </w:rPr>
        <w:t>Open</w:t>
      </w:r>
    </w:p>
    <w:p>
      <w:pPr>
        <w:pStyle w:val="Normal"/>
        <w:jc w:val="both"/>
        <w:rPr>
          <w:b/>
          <w:sz w:val="26"/>
          <w:u w:val="single"/>
        </w:rPr>
      </w:pPr>
      <w:r>
        <w:rPr>
          <w:b/>
          <w:sz w:val="26"/>
          <w:u w:val="single"/>
        </w:rPr>
      </w:r>
    </w:p>
    <w:p>
      <w:pPr>
        <w:pStyle w:val="Normal"/>
        <w:jc w:val="both"/>
        <w:rPr>
          <w:b/>
          <w:sz w:val="26"/>
        </w:rPr>
      </w:pPr>
      <w:r>
        <w:rPr>
          <w:sz w:val="26"/>
        </w:rPr>
        <w:t>Customers placing orders to trade on the opening of a market session must provide clear instructions to the LME member which indicate how this order should be activated ie basis the opening bid/ask or basis the first trade in the session.  Customers will also need to inform their executor of their requirements if the executor is unable to fill the order basis the ‘opening’ price in its entirety due to market constraints such as insufficient supply/demand.</w:t>
      </w:r>
    </w:p>
    <w:p>
      <w:pPr>
        <w:pStyle w:val="Normal"/>
        <w:jc w:val="both"/>
        <w:rPr>
          <w:b/>
          <w:sz w:val="26"/>
        </w:rPr>
      </w:pPr>
      <w:r>
        <w:rPr>
          <w:b/>
          <w:sz w:val="26"/>
        </w:rPr>
      </w:r>
    </w:p>
    <w:p>
      <w:pPr>
        <w:pStyle w:val="Heading4"/>
        <w:ind w:hanging="0" w:start="0"/>
        <w:rPr/>
      </w:pPr>
      <w:r>
        <w:rPr/>
        <w:t>Resting Orders</w:t>
      </w:r>
    </w:p>
    <w:p>
      <w:pPr>
        <w:pStyle w:val="Normal"/>
        <w:jc w:val="both"/>
        <w:rPr>
          <w:b/>
          <w:sz w:val="26"/>
        </w:rPr>
      </w:pPr>
      <w:r>
        <w:rPr>
          <w:b/>
          <w:sz w:val="26"/>
        </w:rPr>
      </w:r>
    </w:p>
    <w:p>
      <w:pPr>
        <w:pStyle w:val="BodyText"/>
        <w:rPr>
          <w:sz w:val="26"/>
        </w:rPr>
      </w:pPr>
      <w:r>
        <w:rPr>
          <w:sz w:val="26"/>
        </w:rPr>
        <w:t xml:space="preserve">When placing resting orders such as ‘good ‘til cancelled’ (‘GTC’, or any derivations thereof) or stop loss orders, customers should ensure that they are in agreement with their executor’s definition of the ‘trigger’ point of the order.  Usually, this is interpreted as being the point when the order price is seen to be trading in the market, but it is possible to request the order be activated when the order level is either bid or asked as appropriate, via the prevailing market quote.  </w:t>
      </w:r>
    </w:p>
    <w:p>
      <w:pPr>
        <w:pStyle w:val="Normal"/>
        <w:jc w:val="both"/>
        <w:rPr>
          <w:sz w:val="26"/>
        </w:rPr>
      </w:pPr>
      <w:r>
        <w:rPr>
          <w:sz w:val="26"/>
        </w:rPr>
      </w:r>
    </w:p>
    <w:p>
      <w:pPr>
        <w:pStyle w:val="Normal"/>
        <w:jc w:val="both"/>
        <w:rPr>
          <w:sz w:val="26"/>
        </w:rPr>
      </w:pPr>
      <w:r>
        <w:rPr>
          <w:sz w:val="26"/>
        </w:rPr>
        <w:t>It is possible for a customer not to receive a ‘fill’ on a resting order despite the ‘trigger’ point being ‘touched’.  This could be due to a number of circumstances such as order priority, illiquidity, prevailing market conditions etc.  Whatever the reason, the executor should be able to provide the customer with a full explanation of why it was unable to fill the order.</w:t>
      </w:r>
    </w:p>
    <w:p>
      <w:pPr>
        <w:pStyle w:val="Normal"/>
        <w:jc w:val="both"/>
        <w:rPr>
          <w:sz w:val="26"/>
        </w:rPr>
      </w:pPr>
      <w:r>
        <w:rPr>
          <w:sz w:val="26"/>
        </w:rPr>
      </w:r>
    </w:p>
    <w:p>
      <w:pPr>
        <w:pStyle w:val="Normal"/>
        <w:jc w:val="both"/>
        <w:rPr>
          <w:sz w:val="26"/>
        </w:rPr>
      </w:pPr>
      <w:r>
        <w:rPr>
          <w:sz w:val="26"/>
        </w:rPr>
        <w:t>Customers should be aware that resting orders might be activated during periods of illiquidity in the market.  As previously mentioned this could result in the trade not being filled.  For ‘stop’ orders this could result in a worse fill than anticipated (‘slippage’).  Customers should ensure the executor is fully aware of their requirements regarding the execution and adheres to any limitations, especially if the customer is not in contact with the market/member when the trigger point is reached.</w:t>
      </w:r>
    </w:p>
    <w:p>
      <w:pPr>
        <w:pStyle w:val="Normal"/>
        <w:jc w:val="both"/>
        <w:rPr>
          <w:b/>
          <w:sz w:val="26"/>
        </w:rPr>
      </w:pPr>
      <w:r>
        <w:rPr>
          <w:b/>
          <w:sz w:val="26"/>
        </w:rPr>
      </w:r>
    </w:p>
    <w:p>
      <w:pPr>
        <w:pStyle w:val="Heading4"/>
        <w:ind w:hanging="0" w:start="0"/>
        <w:rPr/>
      </w:pPr>
      <w:r>
        <w:rPr/>
        <w:t>Conclusion</w:t>
      </w:r>
    </w:p>
    <w:p>
      <w:pPr>
        <w:pStyle w:val="Normal"/>
        <w:jc w:val="both"/>
        <w:rPr>
          <w:b/>
          <w:sz w:val="26"/>
        </w:rPr>
      </w:pPr>
      <w:r>
        <w:rPr>
          <w:b/>
          <w:sz w:val="26"/>
        </w:rPr>
      </w:r>
    </w:p>
    <w:p>
      <w:pPr>
        <w:pStyle w:val="BodyText"/>
        <w:rPr>
          <w:sz w:val="26"/>
        </w:rPr>
      </w:pPr>
      <w:r>
        <w:rPr>
          <w:sz w:val="26"/>
        </w:rPr>
        <w:t>The above order styles do not represent all possible methods of order execution on the LME.  Members and customers should ensure that orders are communicated in meaningful terms that deliver the required execution in accordance with LME rules.</w:t>
      </w:r>
    </w:p>
    <w:sectPr>
      <w:headerReference w:type="default" r:id="rId2"/>
      <w:headerReference w:type="first" r:id="rId3"/>
      <w:footerReference w:type="default" r:id="rId4"/>
      <w:footerReference w:type="first" r:id="rId5"/>
      <w:footnotePr>
        <w:numFmt w:val="decimal"/>
      </w:footnotePr>
      <w:type w:val="nextPage"/>
      <w:pgSz w:w="11906" w:h="16838"/>
      <w:pgMar w:left="1800" w:right="1800" w:gutter="0" w:header="706" w:top="1440" w:footer="706" w:bottom="99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7">
              <wp:simplePos x="0" y="0"/>
              <wp:positionH relativeFrom="margin">
                <wp:align>right</wp:align>
              </wp:positionH>
              <wp:positionV relativeFrom="paragraph">
                <wp:posOffset>635</wp:posOffset>
              </wp:positionV>
              <wp:extent cx="85090" cy="175260"/>
              <wp:effectExtent l="0" t="0" r="0" b="0"/>
              <wp:wrapSquare wrapText="bothSides"/>
              <wp:docPr id="3" name="Frame1"/>
              <a:graphic xmlns:a="http://schemas.openxmlformats.org/drawingml/2006/main">
                <a:graphicData uri="http://schemas.microsoft.com/office/word/2010/wordprocessingShape">
                  <wps:wsp>
                    <wps:cNvSpPr txBox="1"/>
                    <wps:spPr>
                      <a:xfrm>
                        <a:off x="0" y="0"/>
                        <a:ext cx="85090"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8pt;mso-wrap-distance-left:0pt;mso-wrap-distance-right:0pt;mso-wrap-distance-top:0pt;mso-wrap-distance-bottom:0pt;margin-top:0.05pt;mso-position-vertical-relative:text;margin-left:408.6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For the purposes of this document these categories of members will be referred to as LME members, members or by the appropriate abbreviation.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sz w:val="16"/>
        <w:lang w:val="en-US" w:eastAsia="en-US"/>
      </w:rPr>
    </w:pPr>
    <w:r>
      <w:rPr>
        <w:rFonts w:cs="Arial" w:ascii="Arial" w:hAnsi="Arial"/>
        <w:lang w:val="en-US" w:eastAsia="en-US"/>
      </w:rPr>
      <w:drawing>
        <wp:inline distT="0" distB="0" distL="0" distR="0">
          <wp:extent cx="661035" cy="661670"/>
          <wp:effectExtent l="0" t="0" r="0" b="0"/>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1"/>
                  <a:srcRect l="-20" t="-20" r="-20" b="-20"/>
                  <a:stretch>
                    <a:fillRect/>
                  </a:stretch>
                </pic:blipFill>
                <pic:spPr bwMode="auto">
                  <a:xfrm>
                    <a:off x="0" y="0"/>
                    <a:ext cx="661035" cy="661670"/>
                  </a:xfrm>
                  <a:prstGeom prst="rect">
                    <a:avLst/>
                  </a:prstGeom>
                  <a:noFill/>
                </pic:spPr>
              </pic:pic>
            </a:graphicData>
          </a:graphic>
        </wp:inline>
      </w:drawing>
    </w:r>
  </w:p>
  <w:p>
    <w:pPr>
      <w:pStyle w:val="Header"/>
      <w:rPr>
        <w:rFonts w:ascii="Arial" w:hAnsi="Arial" w:cs="Arial"/>
        <w:sz w:val="32"/>
        <w:lang w:val="en-US" w:eastAsia="en-US"/>
      </w:rPr>
    </w:pPr>
    <w:r>
      <w:rPr>
        <w:rFonts w:cs="Arial" w:ascii="Arial" w:hAnsi="Arial"/>
        <w:sz w:val="32"/>
        <w:lang w:val="en-US" w:eastAsia="en-US"/>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sz w:val="16"/>
        <w:lang w:val="en-US" w:eastAsia="en-US"/>
      </w:rPr>
    </w:pPr>
    <w:r>
      <w:rPr>
        <w:rFonts w:cs="Arial" w:ascii="Arial" w:hAnsi="Arial"/>
        <w:lang w:val="en-US" w:eastAsia="en-US"/>
      </w:rPr>
      <w:drawing>
        <wp:inline distT="0" distB="0" distL="0" distR="0">
          <wp:extent cx="661035" cy="66167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rcRect l="-20" t="-20" r="-20" b="-20"/>
                  <a:stretch>
                    <a:fillRect/>
                  </a:stretch>
                </pic:blipFill>
                <pic:spPr bwMode="auto">
                  <a:xfrm>
                    <a:off x="0" y="0"/>
                    <a:ext cx="661035" cy="661670"/>
                  </a:xfrm>
                  <a:prstGeom prst="rect">
                    <a:avLst/>
                  </a:prstGeom>
                  <a:noFill/>
                </pic:spPr>
              </pic:pic>
            </a:graphicData>
          </a:graphic>
        </wp:inline>
      </w:drawing>
    </w:r>
  </w:p>
  <w:p>
    <w:pPr>
      <w:pStyle w:val="Header"/>
      <w:jc w:val="end"/>
      <w:rPr>
        <w:rFonts w:ascii="Arial" w:hAnsi="Arial" w:cs="Arial"/>
        <w:sz w:val="16"/>
        <w:lang w:val="en-US" w:eastAsia="en-US"/>
      </w:rPr>
    </w:pPr>
    <w:r>
      <w:rPr>
        <w:rFonts w:cs="Arial" w:ascii="Arial" w:hAnsi="Arial"/>
        <w:sz w:val="16"/>
        <w:lang w:val="en-US"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Univers" w:hAnsi="Univers" w:eastAsia="Times New Roman" w:cs="Univers"/>
      <w:color w:val="auto"/>
      <w:sz w:val="24"/>
      <w:szCs w:val="20"/>
      <w:lang w:val="en-GB"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jc w:val="both"/>
      <w:outlineLvl w:val="1"/>
    </w:pPr>
    <w:rPr>
      <w:b/>
    </w:rPr>
  </w:style>
  <w:style w:type="paragraph" w:styleId="Heading3">
    <w:name w:val="heading 3"/>
    <w:basedOn w:val="Normal"/>
    <w:next w:val="Normal"/>
    <w:qFormat/>
    <w:pPr>
      <w:keepNext w:val="true"/>
      <w:numPr>
        <w:ilvl w:val="2"/>
        <w:numId w:val="1"/>
      </w:numPr>
      <w:jc w:val="both"/>
      <w:outlineLvl w:val="2"/>
    </w:pPr>
    <w:rPr>
      <w:b/>
    </w:rPr>
  </w:style>
  <w:style w:type="paragraph" w:styleId="Heading4">
    <w:name w:val="heading 4"/>
    <w:basedOn w:val="Normal"/>
    <w:next w:val="Normal"/>
    <w:qFormat/>
    <w:pPr>
      <w:keepNext w:val="true"/>
      <w:numPr>
        <w:ilvl w:val="3"/>
        <w:numId w:val="1"/>
      </w:numPr>
      <w:jc w:val="both"/>
      <w:outlineLvl w:val="3"/>
    </w:pPr>
    <w:rPr>
      <w:b/>
      <w:sz w:val="26"/>
      <w:u w:val="single"/>
    </w:rPr>
  </w:style>
  <w:style w:type="paragraph" w:styleId="Heading6">
    <w:name w:val="heading 6"/>
    <w:basedOn w:val="Normal"/>
    <w:next w:val="Normal"/>
    <w:qFormat/>
    <w:pPr>
      <w:keepNext w:val="true"/>
      <w:numPr>
        <w:ilvl w:val="5"/>
        <w:numId w:val="1"/>
      </w:numPr>
      <w:outlineLvl w:val="5"/>
    </w:pPr>
    <w:rPr>
      <w:b/>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EndnoteCharacters">
    <w:name w:val="End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FootnoteText">
    <w:name w:val="footnote text"/>
    <w:basedOn w:val="Normal"/>
    <w:pPr/>
    <w:rPr>
      <w:sz w:val="20"/>
    </w:rPr>
  </w:style>
  <w:style w:type="paragraph" w:styleId="BodyText2">
    <w:name w:val="Body Text 2"/>
    <w:basedOn w:val="Normal"/>
    <w:qFormat/>
    <w:pPr>
      <w:jc w:val="both"/>
    </w:pPr>
    <w:rPr>
      <w:b/>
    </w:rPr>
  </w:style>
  <w:style w:type="paragraph" w:styleId="BodyText3">
    <w:name w:val="Body Text 3"/>
    <w:basedOn w:val="Normal"/>
    <w:qFormat/>
    <w:pPr>
      <w:jc w:val="both"/>
    </w:pPr>
    <w:rPr>
      <w:sz w:val="26"/>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_rels/header2.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2000-04-04T09:02:00Z</dcterms:created>
  <dc:creator>LiamM</dc:creator>
  <dc:description/>
  <dc:language>en-CA</dc:language>
  <cp:lastModifiedBy>SOGEMIN UK</cp:lastModifiedBy>
  <cp:lastPrinted>2000-03-01T11:13:00Z</cp:lastPrinted>
  <dcterms:modified xsi:type="dcterms:W3CDTF">2000-04-04T09:02:00Z</dcterms:modified>
  <cp:revision>2</cp:revision>
  <dc:subject/>
  <dc:title>LME GUIDANCE</dc:title>
</cp:coreProperties>
</file>