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2"/>
        </w:rPr>
      </w:pPr>
      <w:r>
        <w:rPr>
          <w:sz w:val="22"/>
        </w:rPr>
        <w:t>Enron Corp. Headquarters and Enron Field to be Powered by 100% Wind Energy</w:t>
      </w:r>
    </w:p>
    <w:p>
      <w:pPr>
        <w:pStyle w:val="Normal"/>
        <w:rPr>
          <w:sz w:val="22"/>
        </w:rPr>
      </w:pPr>
      <w:r>
        <w:rPr>
          <w:sz w:val="22"/>
        </w:rPr>
      </w:r>
    </w:p>
    <w:p>
      <w:pPr>
        <w:pStyle w:val="Heading1"/>
        <w:ind w:hanging="0" w:start="0"/>
        <w:rPr>
          <w:sz w:val="22"/>
        </w:rPr>
      </w:pPr>
      <w:r>
        <w:rPr>
          <w:sz w:val="22"/>
        </w:rPr>
        <w:t>Why?</w:t>
      </w:r>
    </w:p>
    <w:p>
      <w:pPr>
        <w:pStyle w:val="Normal"/>
        <w:rPr>
          <w:sz w:val="22"/>
        </w:rPr>
      </w:pPr>
      <w:r>
        <w:rPr>
          <w:sz w:val="22"/>
        </w:rPr>
        <w:t>1. The proposal represents Enron’s values and its employees’ commitment to our environment.</w:t>
      </w:r>
    </w:p>
    <w:p>
      <w:pPr>
        <w:pStyle w:val="Normal"/>
        <w:rPr>
          <w:sz w:val="22"/>
        </w:rPr>
      </w:pPr>
      <w:r>
        <w:rPr>
          <w:sz w:val="22"/>
        </w:rPr>
      </w:r>
    </w:p>
    <w:p>
      <w:pPr>
        <w:pStyle w:val="Normal"/>
        <w:rPr>
          <w:sz w:val="22"/>
        </w:rPr>
      </w:pPr>
      <w:r>
        <w:rPr>
          <w:sz w:val="22"/>
        </w:rPr>
        <w:t xml:space="preserve">2. The proposal complies with Enron’s opening sentence of our Statement on Climate Change </w:t>
      </w:r>
    </w:p>
    <w:p>
      <w:pPr>
        <w:pStyle w:val="Normal"/>
        <w:rPr/>
      </w:pPr>
      <w:r>
        <w:rPr>
          <w:sz w:val="22"/>
        </w:rPr>
        <w:t>(</w:t>
      </w:r>
      <w:hyperlink r:id="rId2">
        <w:r>
          <w:rPr>
            <w:rStyle w:val="Hyperlink"/>
            <w:sz w:val="22"/>
          </w:rPr>
          <w:t>http://nahou-lndev02d.corp.enron.com/PublicAffairs/GovtAffair.nsf</w:t>
        </w:r>
      </w:hyperlink>
      <w:r>
        <w:rPr>
          <w:sz w:val="22"/>
        </w:rPr>
        <w:t>)</w:t>
      </w:r>
    </w:p>
    <w:p>
      <w:pPr>
        <w:pStyle w:val="Normal"/>
        <w:rPr>
          <w:sz w:val="22"/>
        </w:rPr>
      </w:pPr>
      <w:r>
        <w:rPr>
          <w:sz w:val="22"/>
        </w:rPr>
        <w:t>“</w:t>
      </w:r>
      <w:r>
        <w:rPr>
          <w:sz w:val="22"/>
        </w:rPr>
        <w:t>Enron believes that companies and institutions worldwide must find efficient ways to reduce greenhouse gas emissions that result from normal economic activities.”</w:t>
      </w:r>
    </w:p>
    <w:p>
      <w:pPr>
        <w:pStyle w:val="Normal"/>
        <w:rPr>
          <w:sz w:val="22"/>
        </w:rPr>
      </w:pPr>
      <w:r>
        <w:rPr>
          <w:sz w:val="22"/>
        </w:rPr>
      </w:r>
    </w:p>
    <w:p>
      <w:pPr>
        <w:pStyle w:val="Normal"/>
        <w:rPr>
          <w:sz w:val="22"/>
        </w:rPr>
      </w:pPr>
      <w:r>
        <w:rPr>
          <w:sz w:val="22"/>
        </w:rPr>
        <w:t>3. The proposal meets Enron’s Vision Statement for Corporate Responsibility</w:t>
      </w:r>
    </w:p>
    <w:p>
      <w:pPr>
        <w:pStyle w:val="Normal"/>
        <w:rPr/>
      </w:pPr>
      <w:r>
        <w:rPr>
          <w:sz w:val="22"/>
        </w:rPr>
        <w:t>(</w:t>
      </w:r>
      <w:hyperlink r:id="rId3">
        <w:r>
          <w:rPr>
            <w:rStyle w:val="Hyperlink"/>
            <w:sz w:val="22"/>
          </w:rPr>
          <w:t>http://nahou-lndev02d.corp.enron.com/PublicAffairs/GovtAffair.nsf</w:t>
        </w:r>
      </w:hyperlink>
      <w:r>
        <w:rPr>
          <w:sz w:val="22"/>
        </w:rPr>
        <w:t>)</w:t>
      </w:r>
    </w:p>
    <w:p>
      <w:pPr>
        <w:pStyle w:val="Normal"/>
        <w:rPr>
          <w:sz w:val="22"/>
        </w:rPr>
      </w:pPr>
      <w:r>
        <w:rPr>
          <w:sz w:val="22"/>
        </w:rPr>
        <w:t>“</w:t>
      </w:r>
      <w:r>
        <w:rPr>
          <w:sz w:val="22"/>
        </w:rPr>
        <w:t>We believe that incorporating social and environmental considerations into the way we manage risks, govern our projects and companies, and develop products and services will help ensure our competitive advantage…we will strive to ensure that our activities, products and services yield a positive impact on the environment, communities and stakeholders where we operate.”</w:t>
      </w:r>
    </w:p>
    <w:p>
      <w:pPr>
        <w:pStyle w:val="Normal"/>
        <w:rPr>
          <w:sz w:val="22"/>
        </w:rPr>
      </w:pPr>
      <w:r>
        <w:rPr>
          <w:sz w:val="22"/>
        </w:rPr>
      </w:r>
    </w:p>
    <w:p>
      <w:pPr>
        <w:pStyle w:val="Normal"/>
        <w:rPr>
          <w:sz w:val="22"/>
        </w:rPr>
      </w:pPr>
      <w:r>
        <w:rPr>
          <w:sz w:val="22"/>
        </w:rPr>
        <w:t>4. The proposal results in a reduction of approximately 18,484 metric tons of CO2/yr, in addition to a significant reduction in SO2 and NOx for the Houston area.  This represents a meaningful contribution which can be listed in next year’s Environmental report in the Section What Enron is doing about Climate Change, rather than simply saying that we deliver renewable energy to some of our customers.</w:t>
      </w:r>
    </w:p>
    <w:p>
      <w:pPr>
        <w:pStyle w:val="Normal"/>
        <w:rPr>
          <w:sz w:val="22"/>
        </w:rPr>
      </w:pPr>
      <w:r>
        <w:rPr>
          <w:sz w:val="22"/>
        </w:rPr>
      </w:r>
    </w:p>
    <w:p>
      <w:pPr>
        <w:pStyle w:val="Normal"/>
        <w:rPr>
          <w:sz w:val="22"/>
        </w:rPr>
      </w:pPr>
      <w:r>
        <w:rPr>
          <w:sz w:val="22"/>
        </w:rPr>
        <w:t>5. The proposal supports our business strategy to promote new markets.  The REC market is just beginning.</w:t>
      </w:r>
    </w:p>
    <w:p>
      <w:pPr>
        <w:pStyle w:val="Normal"/>
        <w:rPr>
          <w:sz w:val="22"/>
        </w:rPr>
      </w:pPr>
      <w:r>
        <w:rPr>
          <w:sz w:val="22"/>
        </w:rPr>
      </w:r>
    </w:p>
    <w:p>
      <w:pPr>
        <w:pStyle w:val="Heading1"/>
        <w:ind w:hanging="0" w:start="0"/>
        <w:rPr>
          <w:sz w:val="22"/>
        </w:rPr>
      </w:pPr>
      <w:r>
        <w:rPr>
          <w:sz w:val="22"/>
        </w:rPr>
        <w:t>How</w:t>
      </w:r>
    </w:p>
    <w:p>
      <w:pPr>
        <w:pStyle w:val="Normal"/>
        <w:rPr>
          <w:sz w:val="22"/>
        </w:rPr>
      </w:pPr>
      <w:r>
        <w:rPr>
          <w:sz w:val="22"/>
        </w:rPr>
        <w:t>Enron Corp. to purchase and subsequently retire Renewable Energy Credits (RECs) At the end of each year, Enron Corp. retires a number of RECs equal to the number of MWhs consumed during the year.  We can either buy these in open market, or use a portion of the RECs purchased by EPMI from Indian Mesa II project developed by Enron Wind.</w:t>
      </w:r>
    </w:p>
    <w:p>
      <w:pPr>
        <w:pStyle w:val="Normal"/>
        <w:rPr>
          <w:sz w:val="22"/>
        </w:rPr>
      </w:pPr>
      <w:r>
        <w:rPr>
          <w:sz w:val="22"/>
        </w:rPr>
      </w:r>
    </w:p>
    <w:p>
      <w:pPr>
        <w:pStyle w:val="Normal"/>
        <w:spacing w:lineRule="atLeast" w:line="240"/>
        <w:rPr>
          <w:sz w:val="22"/>
        </w:rPr>
      </w:pPr>
      <w:r>
        <w:rPr>
          <w:sz w:val="22"/>
        </w:rPr>
        <w:t>The 1400 Smith Street location consumed approximately 26,248MWh in 1999 and 31,436MWh in 2000. This load could be met with the annual production of 6 of our 1.5MW wind turbines based on the Indian Mesa II project production.  At $8/REC that would the green premium at $250,000 per year of internal transfers from Enron Corp. to Enron Power Marketing based on our 2000 consumption profile.</w:t>
      </w:r>
    </w:p>
    <w:p>
      <w:pPr>
        <w:pStyle w:val="Normal"/>
        <w:rPr>
          <w:sz w:val="22"/>
        </w:rPr>
      </w:pPr>
      <w:r>
        <w:rPr>
          <w:sz w:val="22"/>
        </w:rPr>
      </w:r>
    </w:p>
    <w:p>
      <w:pPr>
        <w:pStyle w:val="Normal"/>
        <w:rPr>
          <w:b/>
          <w:sz w:val="22"/>
        </w:rPr>
      </w:pPr>
      <w:r>
        <w:rPr>
          <w:b/>
          <w:sz w:val="22"/>
        </w:rPr>
        <w:t>Additional Potential Benefits:</w:t>
      </w:r>
    </w:p>
    <w:p>
      <w:pPr>
        <w:pStyle w:val="Normal"/>
        <w:numPr>
          <w:ilvl w:val="0"/>
          <w:numId w:val="2"/>
        </w:numPr>
        <w:rPr>
          <w:sz w:val="22"/>
        </w:rPr>
      </w:pPr>
      <w:r>
        <w:rPr>
          <w:sz w:val="22"/>
        </w:rPr>
        <w:t>Positive Press for Enron has real value.</w:t>
      </w:r>
    </w:p>
    <w:p>
      <w:pPr>
        <w:pStyle w:val="Normal"/>
        <w:numPr>
          <w:ilvl w:val="0"/>
          <w:numId w:val="2"/>
        </w:numPr>
        <w:rPr>
          <w:sz w:val="22"/>
        </w:rPr>
      </w:pPr>
      <w:r>
        <w:rPr>
          <w:sz w:val="22"/>
        </w:rPr>
        <w:t xml:space="preserve">The Wind (or renewable) Powered Headquarters could become a model for EES to offer to customers.  </w:t>
      </w:r>
    </w:p>
    <w:p>
      <w:pPr>
        <w:pStyle w:val="Normal"/>
        <w:numPr>
          <w:ilvl w:val="0"/>
          <w:numId w:val="2"/>
        </w:numPr>
        <w:rPr>
          <w:sz w:val="22"/>
        </w:rPr>
      </w:pPr>
      <w:r>
        <w:rPr>
          <w:sz w:val="22"/>
        </w:rPr>
        <w:t>It will benefit Houston and our recruiting effort to be associated with such a positive contribution in a year when Houston is struggling with negative recognition.</w:t>
      </w:r>
    </w:p>
    <w:p>
      <w:pPr>
        <w:pStyle w:val="Normal"/>
        <w:numPr>
          <w:ilvl w:val="0"/>
          <w:numId w:val="2"/>
        </w:numPr>
        <w:rPr>
          <w:sz w:val="22"/>
        </w:rPr>
      </w:pPr>
      <w:r>
        <w:rPr>
          <w:sz w:val="22"/>
        </w:rPr>
        <w:t>First Fortune 500 Corporation to put its entire Headquarters on renewable energy.</w:t>
      </w:r>
    </w:p>
    <w:p>
      <w:pPr>
        <w:pStyle w:val="Normal"/>
        <w:numPr>
          <w:ilvl w:val="0"/>
          <w:numId w:val="2"/>
        </w:numPr>
        <w:rPr>
          <w:sz w:val="22"/>
        </w:rPr>
      </w:pPr>
      <w:r>
        <w:rPr>
          <w:sz w:val="22"/>
        </w:rPr>
        <w:t>Could pursue 3</w:t>
      </w:r>
      <w:r>
        <w:rPr>
          <w:sz w:val="22"/>
          <w:vertAlign w:val="superscript"/>
        </w:rPr>
        <w:t>rd</w:t>
      </w:r>
      <w:r>
        <w:rPr>
          <w:sz w:val="22"/>
        </w:rPr>
        <w:t xml:space="preserve"> party certification through Green-e, and tout our EPA Energy Star and Green-e label.  Follow up the theme of first headquarters for an energy company to receive the EPA Energy Star award and first Fortune 500 company with 100% renewable power building w/ independent certification.</w:t>
      </w:r>
    </w:p>
    <w:p>
      <w:pPr>
        <w:pStyle w:val="Normal"/>
        <w:numPr>
          <w:ilvl w:val="0"/>
          <w:numId w:val="2"/>
        </w:numPr>
        <w:rPr>
          <w:sz w:val="22"/>
        </w:rPr>
      </w:pPr>
      <w:r>
        <w:rPr>
          <w:sz w:val="22"/>
        </w:rPr>
        <w:t>Could have a political spin as this is a result of Texas legislation.  President Bush and the legislature can take credit, including potential for a press conference with the Governor and Sen. Sibley and Rep. Wolens.</w:t>
      </w:r>
    </w:p>
    <w:p>
      <w:pPr>
        <w:pStyle w:val="Normal"/>
        <w:rPr>
          <w:sz w:val="22"/>
        </w:rPr>
      </w:pPr>
      <w:r>
        <w:rPr>
          <w:sz w:val="22"/>
        </w:rPr>
      </w:r>
    </w:p>
    <w:p>
      <w:pPr>
        <w:pStyle w:val="Normal"/>
        <w:rPr>
          <w:b/>
          <w:sz w:val="22"/>
        </w:rPr>
      </w:pPr>
      <w:r>
        <w:rPr>
          <w:b/>
          <w:sz w:val="22"/>
        </w:rPr>
        <w:t>Risks/Questions:</w:t>
      </w:r>
    </w:p>
    <w:p>
      <w:pPr>
        <w:pStyle w:val="Normal"/>
        <w:rPr>
          <w:sz w:val="22"/>
        </w:rPr>
      </w:pPr>
      <w:r>
        <w:rPr>
          <w:sz w:val="22"/>
        </w:rPr>
        <w:t>1. What happens should we sell the Enron Wind?  Nothing, the proposal is not dependent on the wind company.</w:t>
      </w:r>
    </w:p>
    <w:p>
      <w:pPr>
        <w:pStyle w:val="Normal"/>
        <w:rPr>
          <w:sz w:val="22"/>
        </w:rPr>
      </w:pPr>
      <w:r>
        <w:rPr>
          <w:sz w:val="22"/>
        </w:rPr>
        <w:t>2. How long do we have to keep it green?  No term commitment specified.</w:t>
      </w:r>
    </w:p>
    <w:p>
      <w:pPr>
        <w:pStyle w:val="Normal"/>
        <w:rPr>
          <w:sz w:val="22"/>
        </w:rPr>
      </w:pPr>
      <w:r>
        <w:rPr>
          <w:sz w:val="22"/>
        </w:rPr>
        <w:t>3. Will we be challenged by Environmentalists as we may self provide?  Maybe, but we can have Environmental Defense provide verification.</w:t>
      </w:r>
    </w:p>
    <w:p>
      <w:pPr>
        <w:pStyle w:val="Normal"/>
        <w:rPr>
          <w:sz w:val="22"/>
        </w:rPr>
      </w:pPr>
      <w:r>
        <w:rPr>
          <w:sz w:val="22"/>
        </w:rPr>
      </w:r>
    </w:p>
    <w:sectPr>
      <w:headerReference w:type="default" r:id="rId4"/>
      <w:footerReference w:type="default" r:id="rId5"/>
      <w:type w:val="nextPage"/>
      <w:pgSz w:w="12240" w:h="15840"/>
      <w:pgMar w:left="1152" w:right="1152" w:gutter="0" w:header="72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2"/>
      </w:rPr>
    </w:pPr>
    <w:r>
      <w:rPr>
        <w:sz w:val="22"/>
      </w:rPr>
      <w:t>Please send comments or questions to Michael Payne, Enron Wind (6-9690) or Mike Curry, ENA (3-4258).</w:t>
    </w:r>
  </w:p>
  <w:p>
    <w:pPr>
      <w:pStyle w:val="Footer"/>
      <w:rPr>
        <w:sz w:val="22"/>
      </w:rPr>
    </w:pPr>
    <w:r>
      <w:rPr>
        <w:sz w:val="2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rPr>
        <w:sz w:val="22"/>
      </w:rPr>
    </w:pPr>
    <w:r>
      <w:rPr>
        <w:sz w:val="22"/>
      </w:rPr>
      <w:t>DRAFT – March 6,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nahou-lndev02d.corp.enron.com/PublicAffairs/GovtAffair.nsf" TargetMode="External"/><Relationship Id="rId3" Type="http://schemas.openxmlformats.org/officeDocument/2006/relationships/hyperlink" Target="http://nahou-lndev02d.corp.enron.com/PublicAffairs/GovtAffair.nsf"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2001-03-16T15:07:00Z</dcterms:created>
  <dc:creator>Enron Technology</dc:creator>
  <dc:description/>
  <dc:language>en-CA</dc:language>
  <cp:lastModifiedBy>sbolton</cp:lastModifiedBy>
  <cp:lastPrinted>2001-03-09T15:35:00Z</cp:lastPrinted>
  <dcterms:modified xsi:type="dcterms:W3CDTF">2001-03-16T15:07:00Z</dcterms:modified>
  <cp:revision>2</cp:revision>
  <dc:subject/>
  <dc:title>Enron Corp</dc:title>
</cp:coreProperties>
</file>