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8" w:type="dxa"/>
        <w:jc w:val="start"/>
        <w:tblInd w:w="0" w:type="dxa"/>
        <w:tblLayout w:type="fixed"/>
        <w:tblCellMar>
          <w:top w:w="0" w:type="dxa"/>
          <w:start w:w="108" w:type="dxa"/>
          <w:bottom w:w="0" w:type="dxa"/>
          <w:end w:w="108" w:type="dxa"/>
        </w:tblCellMar>
      </w:tblPr>
      <w:tblGrid>
        <w:gridCol w:w="6768"/>
        <w:gridCol w:w="3240"/>
      </w:tblGrid>
      <w:tr>
        <w:trPr/>
        <w:tc>
          <w:tcPr>
            <w:tcW w:w="6768" w:type="dxa"/>
            <w:tcBorders>
              <w:bottom w:val="single" w:sz="6" w:space="0" w:color="000000"/>
            </w:tcBorders>
          </w:tcPr>
          <w:p>
            <w:pPr>
              <w:pStyle w:val="Normal"/>
              <w:jc w:val="both"/>
              <w:rPr>
                <w:rFonts w:ascii="ITCFenice Regular" w:hAnsi="ITCFenice Regular" w:cs="ITCFenice Regular"/>
                <w:sz w:val="36"/>
              </w:rPr>
            </w:pPr>
            <w:r>
              <w:rPr>
                <w:rFonts w:cs="ITCFenice Regular" w:ascii="ITCFenice Regular" w:hAnsi="ITCFenice Regular"/>
                <w:sz w:val="36"/>
              </w:rPr>
              <w:t>Bernstein, Shur, Sawyer &amp; Nelson, P.A.</w:t>
            </w:r>
          </w:p>
        </w:tc>
        <w:tc>
          <w:tcPr>
            <w:tcW w:w="3240" w:type="dxa"/>
            <w:tcBorders>
              <w:bottom w:val="single" w:sz="6" w:space="0" w:color="000000"/>
            </w:tcBorders>
          </w:tcPr>
          <w:p>
            <w:pPr>
              <w:pStyle w:val="Normal"/>
              <w:snapToGrid w:val="false"/>
              <w:jc w:val="end"/>
              <w:rPr>
                <w:rFonts w:ascii="ITCFenice Regular" w:hAnsi="ITCFenice Regular" w:cs="ITCFenice Regular"/>
                <w:sz w:val="20"/>
              </w:rPr>
            </w:pPr>
            <w:r>
              <w:rPr>
                <w:rFonts w:cs="ITCFenice Regular" w:ascii="ITCFenice Regular" w:hAnsi="ITCFenice Regular"/>
                <w:sz w:val="20"/>
              </w:rPr>
            </w:r>
          </w:p>
          <w:p>
            <w:pPr>
              <w:pStyle w:val="Normal"/>
              <w:jc w:val="end"/>
              <w:rPr>
                <w:rFonts w:ascii="ITCFenice Regular" w:hAnsi="ITCFenice Regular" w:cs="ITCFenice Regular"/>
                <w:sz w:val="18"/>
              </w:rPr>
            </w:pPr>
            <w:r>
              <w:rPr>
                <w:rFonts w:cs="ITCFenice Regular" w:ascii="ITCFenice Regular" w:hAnsi="ITCFenice Regular"/>
                <w:sz w:val="18"/>
              </w:rPr>
              <w:t>Counselors at Law</w:t>
            </w:r>
          </w:p>
        </w:tc>
      </w:tr>
      <w:tr>
        <w:trPr/>
        <w:tc>
          <w:tcPr>
            <w:tcW w:w="6768" w:type="dxa"/>
            <w:tcBorders/>
          </w:tcPr>
          <w:p>
            <w:pPr>
              <w:pStyle w:val="Normal"/>
              <w:snapToGrid w:val="false"/>
              <w:jc w:val="both"/>
              <w:rPr>
                <w:rFonts w:ascii="ITCFenice Regular" w:hAnsi="ITCFenice Regular" w:cs="ITCFenice Regular"/>
                <w:sz w:val="18"/>
              </w:rPr>
            </w:pPr>
            <w:r>
              <w:rPr>
                <w:rFonts w:cs="ITCFenice Regular" w:ascii="ITCFenice Regular" w:hAnsi="ITCFenice Regular"/>
                <w:sz w:val="18"/>
              </w:rPr>
            </w:r>
          </w:p>
          <w:p>
            <w:pPr>
              <w:pStyle w:val="Normal"/>
              <w:jc w:val="both"/>
              <w:rPr>
                <w:rFonts w:ascii="ITCFenice Regular" w:hAnsi="ITCFenice Regular" w:cs="ITCFenice Regular"/>
                <w:sz w:val="18"/>
              </w:rPr>
            </w:pPr>
            <w:r>
              <w:rPr>
                <w:rFonts w:cs="ITCFenice Regular" w:ascii="ITCFenice Regular" w:hAnsi="ITCFenice Regular"/>
                <w:sz w:val="18"/>
              </w:rPr>
              <w:t>100 Middle Street, West Tower, P.O. Box 9729, Portland, Maine 04104-5029</w:t>
            </w:r>
          </w:p>
          <w:p>
            <w:pPr>
              <w:pStyle w:val="Normal"/>
              <w:jc w:val="both"/>
              <w:rPr>
                <w:rFonts w:ascii="ITCFenice Regular" w:hAnsi="ITCFenice Regular" w:cs="ITCFenice Regular"/>
                <w:sz w:val="18"/>
              </w:rPr>
            </w:pPr>
            <w:r>
              <w:rPr>
                <w:rFonts w:cs="ITCFenice Regular" w:ascii="ITCFenice Regular" w:hAnsi="ITCFenice Regular"/>
                <w:sz w:val="18"/>
              </w:rPr>
              <w:t>207-774-1200  Fax 207-774-1127</w:t>
            </w:r>
          </w:p>
          <w:p>
            <w:pPr>
              <w:pStyle w:val="Normal"/>
              <w:jc w:val="both"/>
              <w:rPr>
                <w:rFonts w:ascii="ITCFenice Regular" w:hAnsi="ITCFenice Regular" w:cs="ITCFenice Regular"/>
                <w:sz w:val="18"/>
              </w:rPr>
            </w:pPr>
            <w:r>
              <w:rPr>
                <w:rFonts w:cs="ITCFenice Regular" w:ascii="ITCFenice Regular" w:hAnsi="ITCFenice Regular"/>
                <w:sz w:val="18"/>
              </w:rPr>
              <w:t>Internet:  bernsteinshur.com</w:t>
            </w:r>
          </w:p>
        </w:tc>
        <w:tc>
          <w:tcPr>
            <w:tcW w:w="3240" w:type="dxa"/>
            <w:tcBorders/>
          </w:tcPr>
          <w:p>
            <w:pPr>
              <w:pStyle w:val="Normal"/>
              <w:snapToGrid w:val="false"/>
              <w:jc w:val="end"/>
              <w:rPr>
                <w:rFonts w:ascii="ITCFenice Regular" w:hAnsi="ITCFenice Regular" w:cs="ITCFenice Regular"/>
                <w:sz w:val="18"/>
              </w:rPr>
            </w:pPr>
            <w:r>
              <w:rPr>
                <w:rFonts w:cs="ITCFenice Regular" w:ascii="ITCFenice Regular" w:hAnsi="ITCFenice Regular"/>
                <w:sz w:val="18"/>
              </w:rPr>
            </w:r>
          </w:p>
          <w:p>
            <w:pPr>
              <w:pStyle w:val="Normal"/>
              <w:jc w:val="end"/>
              <w:rPr>
                <w:rFonts w:ascii="ITCFenice Regular" w:hAnsi="ITCFenice Regular" w:cs="ITCFenice Regular"/>
                <w:sz w:val="18"/>
              </w:rPr>
            </w:pPr>
            <w:r>
              <w:rPr>
                <w:rFonts w:cs="ITCFenice Regular" w:ascii="ITCFenice Regular" w:hAnsi="ITCFenice Regular"/>
                <w:sz w:val="18"/>
              </w:rPr>
            </w:r>
          </w:p>
          <w:p>
            <w:pPr>
              <w:pStyle w:val="Normal"/>
              <w:jc w:val="end"/>
              <w:rPr>
                <w:rFonts w:ascii="ITCFenice Regular" w:hAnsi="ITCFenice Regular" w:cs="ITCFenice Regular"/>
                <w:sz w:val="18"/>
              </w:rPr>
            </w:pPr>
            <w:r>
              <w:rPr>
                <w:rFonts w:cs="ITCFenice Regular" w:ascii="ITCFenice Regular" w:hAnsi="ITCFenice Regular"/>
                <w:sz w:val="18"/>
              </w:rPr>
              <w:t>Gordon F. Grimes</w:t>
            </w:r>
          </w:p>
          <w:p>
            <w:pPr>
              <w:pStyle w:val="Normal"/>
              <w:jc w:val="end"/>
              <w:rPr>
                <w:rFonts w:ascii="ITCFenice Regular" w:hAnsi="ITCFenice Regular" w:cs="ITCFenice Regular"/>
                <w:sz w:val="18"/>
              </w:rPr>
            </w:pPr>
            <w:r>
              <w:rPr>
                <w:rFonts w:cs="ITCFenice Regular" w:ascii="ITCFenice Regular" w:hAnsi="ITCFenice Regular"/>
                <w:sz w:val="18"/>
              </w:rPr>
              <w:t>Email:  ggrimes@bernsteinshur.com</w:t>
            </w:r>
          </w:p>
          <w:p>
            <w:pPr>
              <w:pStyle w:val="Normal"/>
              <w:jc w:val="end"/>
              <w:rPr>
                <w:rFonts w:ascii="ITCFenice Regular" w:hAnsi="ITCFenice Regular" w:cs="ITCFenice Regular"/>
                <w:sz w:val="18"/>
              </w:rPr>
            </w:pPr>
            <w:r>
              <w:rPr>
                <w:rFonts w:cs="ITCFenice Regular" w:ascii="ITCFenice Regular" w:hAnsi="ITCFenice Regular"/>
                <w:sz w:val="18"/>
              </w:rPr>
            </w:r>
          </w:p>
          <w:p>
            <w:pPr>
              <w:pStyle w:val="Normal"/>
              <w:jc w:val="end"/>
              <w:rPr>
                <w:rFonts w:ascii="ITCFenice Regular" w:hAnsi="ITCFenice Regular" w:cs="ITCFenice Regular"/>
                <w:sz w:val="18"/>
              </w:rPr>
            </w:pPr>
            <w:r>
              <w:rPr>
                <w:rFonts w:cs="ITCFenice Regular" w:ascii="ITCFenice Regular" w:hAnsi="ITCFenice Regular"/>
                <w:sz w:val="18"/>
              </w:rPr>
            </w:r>
          </w:p>
        </w:tc>
      </w:tr>
    </w:tbl>
    <w:p>
      <w:pPr>
        <w:pStyle w:val="Normal"/>
        <w:jc w:val="both"/>
        <w:rPr>
          <w:rFonts w:ascii="ITCFenice Regular" w:hAnsi="ITCFenice Regular" w:cs="ITCFenice Regular"/>
        </w:rPr>
      </w:pPr>
      <w:r>
        <w:rPr>
          <w:rFonts w:cs="ITCFenice Regular" w:ascii="ITCFenice Regular" w:hAnsi="ITCFenice Regular"/>
        </w:rPr>
      </w:r>
    </w:p>
    <w:p>
      <w:pPr>
        <w:pStyle w:val="Normal"/>
        <w:jc w:val="center"/>
        <w:rPr>
          <w:b/>
        </w:rPr>
      </w:pPr>
      <w:r>
        <w:rPr>
          <w:b/>
        </w:rPr>
        <w:t>ATTORNEY CLIENT PRIVILEGED DOCUMENT</w:t>
      </w:r>
    </w:p>
    <w:p>
      <w:pPr>
        <w:pStyle w:val="Normal"/>
        <w:jc w:val="center"/>
        <w:rPr>
          <w:b/>
        </w:rPr>
      </w:pPr>
      <w:r>
        <w:rPr>
          <w:b/>
        </w:rPr>
        <w:t>PREPARED IN ANTICIPATION OF LITIGATION/ARBITRATION</w:t>
      </w:r>
    </w:p>
    <w:p>
      <w:pPr>
        <w:pStyle w:val="Normal"/>
        <w:jc w:val="center"/>
        <w:rPr>
          <w:b/>
        </w:rPr>
      </w:pPr>
      <w:r>
        <w:rPr>
          <w:b/>
        </w:rPr>
        <w:t>CONFIDENTIAL / DO NOT PRODUCE WITHOUT COURT ORDER</w:t>
      </w:r>
    </w:p>
    <w:p>
      <w:pPr>
        <w:pStyle w:val="Normal"/>
        <w:jc w:val="center"/>
        <w:rPr>
          <w:b/>
        </w:rPr>
      </w:pPr>
      <w:r>
        <w:rPr>
          <w:b/>
        </w:rPr>
      </w:r>
    </w:p>
    <w:p>
      <w:pPr>
        <w:pStyle w:val="Normal"/>
        <w:jc w:val="both"/>
        <w:rPr>
          <w:rFonts w:ascii="ITCFenice Regular" w:hAnsi="ITCFenice Regular" w:cs="ITCFenice Regular"/>
          <w:b/>
        </w:rPr>
      </w:pPr>
      <w:r>
        <w:rPr>
          <w:rFonts w:cs="ITCFenice Regular" w:ascii="ITCFenice Regular" w:hAnsi="ITCFenice Regular"/>
          <w:b/>
        </w:rPr>
      </w:r>
    </w:p>
    <w:p>
      <w:pPr>
        <w:pStyle w:val="Normal"/>
        <w:jc w:val="both"/>
        <w:rPr>
          <w:rFonts w:ascii="ITCFenice Regular" w:hAnsi="ITCFenice Regular" w:cs="ITCFenice Regular"/>
        </w:rPr>
      </w:pPr>
      <w:r>
        <w:rPr>
          <w:rFonts w:cs="ITCFenice Regular" w:ascii="ITCFenice Regular" w:hAnsi="ITCFenice Regular"/>
        </w:rPr>
      </w:r>
    </w:p>
    <w:p>
      <w:pPr>
        <w:pStyle w:val="Normal"/>
        <w:jc w:val="both"/>
        <w:rPr>
          <w:rFonts w:ascii="ITCFenice Regular" w:hAnsi="ITCFenice Regular" w:cs="ITCFenice Regular"/>
        </w:rPr>
      </w:pPr>
      <w:r>
        <w:rPr>
          <w:rFonts w:cs="ITCFenice Regular" w:ascii="ITCFenice Regular" w:hAnsi="ITCFenice Regular"/>
        </w:rPr>
      </w:r>
    </w:p>
    <w:p>
      <w:pPr>
        <w:pStyle w:val="Normal"/>
        <w:rPr/>
      </w:pPr>
      <w:r>
        <w:rPr/>
        <w:tab/>
        <w:tab/>
        <w:tab/>
        <w:tab/>
        <w:tab/>
        <w:tab/>
        <w:tab/>
        <w:tab/>
      </w: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MessageHeaderFirst"/>
        <w:ind w:hanging="0" w:start="0" w:end="0"/>
        <w:rPr/>
      </w:pPr>
      <w:r>
        <w:rPr>
          <w:rStyle w:val="MessageHeaderLabel"/>
          <w:spacing w:val="-25"/>
          <w:sz w:val="24"/>
        </w:rPr>
        <w:t>T</w:t>
      </w:r>
      <w:r>
        <w:rPr>
          <w:rStyle w:val="MessageHeaderLabel"/>
          <w:sz w:val="24"/>
        </w:rPr>
        <w:t>o:</w:t>
        <w:tab/>
      </w:r>
      <w:r>
        <w:rPr>
          <w:sz w:val="24"/>
        </w:rPr>
        <w:tab/>
        <w:t xml:space="preserve">Gail Brownfeld </w:t>
      </w:r>
    </w:p>
    <w:p>
      <w:pPr>
        <w:pStyle w:val="MessageHeader"/>
        <w:rPr/>
      </w:pPr>
      <w:r>
        <w:rPr>
          <w:rStyle w:val="MessageHeaderLabel"/>
          <w:sz w:val="24"/>
        </w:rPr>
        <w:t>From:</w:t>
        <w:tab/>
      </w:r>
      <w:r>
        <w:rPr>
          <w:sz w:val="24"/>
        </w:rPr>
        <w:tab/>
        <w:t>Gordon F. Grimes and Jack Montgomery</w:t>
      </w:r>
    </w:p>
    <w:p>
      <w:pPr>
        <w:pStyle w:val="MessageHeader"/>
        <w:rPr>
          <w:sz w:val="24"/>
        </w:rPr>
      </w:pPr>
      <w:r>
        <w:rPr>
          <w:rStyle w:val="MessageHeaderLabel"/>
          <w:sz w:val="24"/>
        </w:rPr>
        <w:t>Date:</w:t>
      </w:r>
      <w:r>
        <w:rPr>
          <w:sz w:val="24"/>
        </w:rPr>
        <w:tab/>
        <w:tab/>
      </w:r>
      <w:r>
        <w:rPr>
          <w:sz w:val="24"/>
        </w:rPr>
        <w:fldChar w:fldCharType="begin"/>
      </w:r>
      <w:r>
        <w:rPr>
          <w:sz w:val="24"/>
        </w:rPr>
        <w:instrText xml:space="preserve"> DATE \@"M/d/yyyy" </w:instrText>
      </w:r>
      <w:r>
        <w:rPr>
          <w:sz w:val="24"/>
        </w:rPr>
        <w:fldChar w:fldCharType="separate"/>
      </w:r>
      <w:r>
        <w:rPr>
          <w:sz w:val="24"/>
        </w:rPr>
        <w:t>9/28/2025</w:t>
      </w:r>
      <w:r>
        <w:rPr>
          <w:sz w:val="24"/>
        </w:rPr>
        <w:fldChar w:fldCharType="end"/>
      </w:r>
    </w:p>
    <w:p>
      <w:pPr>
        <w:pStyle w:val="MessageHeaderLast"/>
        <w:rPr/>
      </w:pPr>
      <w:r>
        <w:rPr>
          <w:rStyle w:val="MessageHeaderLabel"/>
          <w:sz w:val="24"/>
        </w:rPr>
        <w:t>Re:</w:t>
        <w:tab/>
      </w:r>
      <w:r>
        <w:rPr>
          <w:sz w:val="24"/>
        </w:rPr>
        <w:tab/>
        <w:t>Impressions of Brooklyn Navy Yard Litigation</w:t>
      </w:r>
    </w:p>
    <w:p>
      <w:pPr>
        <w:pStyle w:val="BodyText"/>
        <w:rPr>
          <w:rFonts w:ascii="Times New Roman" w:hAnsi="Times New Roman" w:cs="Times New Roman"/>
          <w:sz w:val="24"/>
        </w:rPr>
      </w:pPr>
      <w:r>
        <w:rPr>
          <w:rFonts w:cs="Times New Roman" w:ascii="Times New Roman" w:hAnsi="Times New Roman"/>
          <w:sz w:val="24"/>
        </w:rPr>
        <w:t xml:space="preserve">You have asked us to form some impressions of the risks which an Enron Purchaser (“EP”) might face arising from the pending litigation involving the owners of the Brooklyn Navy Yard Cogeneration Project (“BNY”) and the contractor which constructed the facility (“PMNC”) should EP purchase the partnership interest of Mission Energy in BNY. We have had less than 24 hours to review the available information, which consists of the pleadings filed in an attachment proceeding brought in California by PMNC and in the New York declaratory judgment and monetary claim action brought by BNY.  While these records are extensive, they represent an extremely small fraction of the more than a million documents that we understand have been and will be exchanged by the parties.  Many key documents (such as the power purchase agreement) were not available to us.  We have also spoken briefly with BNY counsel in the New York action (Scott Carr) and with Mark Irwin, a former Mission employee (now a consultant) who has extensive knowledge of the project.  We have also met in Washington with Chris Cobb and Tom Kline of Andrews &amp; Kurth who have been reviewing these same issues for approximately a week.  We have reviewed their memorandum and are in substantial agreement with it.  We refer you to their memorandum for a more detailed description of the status of the litigation and other facts and recommend that it be read first for background.  The purpose of our memorandum is to offer a very rough overview of the case and its risks from the point of view of lawyers who have handled similar cases for Enron entities and other power plant owner clients of our firm.  </w:t>
      </w:r>
    </w:p>
    <w:p>
      <w:pPr>
        <w:pStyle w:val="BodyText"/>
        <w:rPr>
          <w:rFonts w:ascii="Times New Roman" w:hAnsi="Times New Roman" w:cs="Times New Roman"/>
          <w:sz w:val="24"/>
        </w:rPr>
      </w:pPr>
      <w:r>
        <w:rPr>
          <w:rFonts w:cs="Times New Roman" w:ascii="Times New Roman" w:hAnsi="Times New Roman"/>
          <w:sz w:val="24"/>
        </w:rPr>
        <w:t xml:space="preserve">We offer a number of caveats before we present our impressions.  First, as noted our time has been very limited, we have only had an opportunity to scan the documents provided and we did not have access to all of the documentation that might have been helpful.  Secondly, we do not know the players and cannot make an assessment of their strength as witnesses, or their credibility.  This is a very fact intensive case and a recent ruling by the New York Supreme Court, Appellate Division on a appeal of a lower court ruling on summary judgment, has opened up the floodgates for a trial based upon PMNC’s claims of “oral” waivers and “oral” contract modifications. Third, many of the issues are dependant on an understanding of the specifications and technical requirements for the project, and although we have a fair understanding of the issues, we are not able to determine from the vantage point of a conference room in Washington, for example, whether a guard rail was needed in a particular spot, or whether drain races in a concrete floor were adequately marked.  This is the level of detail that makes up a substantial portion of the case, and we are without any ability to make a judgment of which side has the better position on such issues. It should be noted that unlike many cases involving claims for cost to finish a project or correct defective work, there are no huge dollar claims that constitute the bulk of the claim.  For the most part, this aspect of the case is made up of hundreds of thousand dollar or ten thousand dollar issues. Finally, we can not determine the final outcome of litigation at this stage because discovery has not been completed (and due to confidentiality issues we do not have access to the results) we do not know how the evidence will go in at trial, or whether the decision maker will take a favorable or unfavorable view of the BNY witnesses or case.  </w:t>
      </w:r>
    </w:p>
    <w:p>
      <w:pPr>
        <w:pStyle w:val="BodyText"/>
        <w:rPr>
          <w:rFonts w:ascii="Times New Roman" w:hAnsi="Times New Roman" w:cs="Times New Roman"/>
          <w:sz w:val="24"/>
        </w:rPr>
      </w:pPr>
      <w:r>
        <w:rPr>
          <w:rFonts w:cs="Times New Roman" w:ascii="Times New Roman" w:hAnsi="Times New Roman"/>
          <w:sz w:val="24"/>
        </w:rPr>
        <w:t xml:space="preserve">This is a typical contractor/owner dispute on a large construction project.  The arguments being made by both sides are similar to those made in many such cases, including for example the contractor delay claim/owner LD claim that we handled for the Dabhol project. All of the typical allegations are made.  The owner claims the project was late, and the contractor says it is excused due to owner caused delays or Force Majeure.   The level of co-operation between the parties here was not optimal, and Mark Irwin has confirmed that personal animosity may well have led to much of the disagreement.  In other words, in a project without this tension, many of these issues would have been resolved on site during construction.  It also appears from what Irwin has said, that PMNC did a poor job of managing the project construction and that much of their claim is concocted in order to hide their own ineptness. We cannot determine if this is so, but with the multiplicity of disputes that exist, the litigation will be very hard fought and abrasive.   Given the complexity of the issues, we doubt the entire matter will be tried.  The costs of litigation if all issues are tired will be significant, perhaps exceeding $10 million in lawyers and experts fees.  It is more likely to eventually be settled once one side or the other gains some advantage, prehaps in  depositions. Court ordered mediation is also about to commence and hopefully many of the more time consuming factual matters might be disposed of, leaving only a few issues for actual trial.  However, picking a winner at this point is impossible, so we can only offer our impressions. We also note, as does Andrews &amp; Kurth that the contract provides for award of attorneys fees for the “prevailing party”. In a case like this there may not be any one prevailing party, but the court in its discretion could award some amount against BNY. Any risk consideration should thus account for the costs of litigation for the owner, and the potential that it could be ordered to pay some amount to PMNC.  Additionally, under the contract provisions interest on the overdue payments will be due from the date the payments would have been due, at Citibank prime, plus 2%.   </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The case can be broken into segments for easier understanding.  BNY has withheld between $43 and  $47 million dollars (depending on whose contract price is utilized- owner’s or contractor’s) of the contract payments which PMNC claims are due it.  The basis for the withholding is the claims for damages that BNY has asserted in its case.  In other words, to the extent BNY is unsuccessful in its claims, PMNC will be entitled to recover under its counterclaims for the unpaid contract price. Additionally, BNY has some claims for amounts that exceed the amount of the retention.  PMNC also has counterclaims for amounts above and beyond the amount of the retention.</w:t>
      </w:r>
    </w:p>
    <w:p>
      <w:pPr>
        <w:pStyle w:val="BodyText"/>
        <w:rPr>
          <w:rFonts w:ascii="Times New Roman" w:hAnsi="Times New Roman" w:cs="Times New Roman"/>
          <w:sz w:val="24"/>
        </w:rPr>
      </w:pPr>
      <w:r>
        <w:rPr>
          <w:rFonts w:cs="Times New Roman" w:ascii="Times New Roman" w:hAnsi="Times New Roman"/>
          <w:sz w:val="24"/>
        </w:rPr>
        <w:t xml:space="preserve">We will look at these issues in some detail in the matrix set out in the attached sheets.  For each claim we identify what we believe the strength of the claim is and assign it a value that we think, based solely on our brief review, is a possible outcome.  Again, these can only be first impressions. However, it appears to us that there is a possible payment which will be due the contractor of approximately $17.4 million. Add to this interest at prime plus 2 for five years and the owner’s own litigation expenses.   As noted in the Matrix, this may be an overly optimistic prediction for the owner since the Judge in the California attachment case, looking at the same type of documents we saw, concluded that there was a likelihood that PMNC would recover the entire amount withheld.  Certainly the upper range of concern should be between our number and full Contractor recovery of the contract retention (say between $43 and $47 million), with interest at prime plus 2% for five years, $10 million in owner litigation expenses, and say $5 million (half of what contractor may claim) awarded against it to pay PMNC’s costs.  In other words, the downside for the owner is significant if things do not go well at trial. Our impression is based upon owner getting a fair number of issues going its way, but the evidence certainly could come out differently.  There are no “slam dunk” winners for either side, and the contractor claim should not be lightly disregarded. </w:t>
      </w:r>
    </w:p>
    <w:p>
      <w:pPr>
        <w:pStyle w:val="BodyText"/>
        <w:rPr>
          <w:rFonts w:ascii="Times New Roman" w:hAnsi="Times New Roman" w:cs="Times New Roman"/>
          <w:sz w:val="24"/>
        </w:rPr>
      </w:pPr>
      <w:r>
        <w:rPr>
          <w:rFonts w:cs="Times New Roman" w:ascii="Times New Roman" w:hAnsi="Times New Roman"/>
          <w:sz w:val="24"/>
        </w:rPr>
        <w:t>A few additional observations.  There are many contractual arguments that might be made in this case which have not yet surfaced. For example, there is a waiver of consequential and incidental damages for both parties that should be put forward as a defense against contractor claims for additional costs due to delay.  There is an express non-recourse to partners provision that might be used to dismiss Mission from the case (or keep EP out if it should purchase). If EP makes the purchase we suggest that our ideas might be offered to counsel on some of these positions. They may have considered them, but if not, they might prove valuable.  One major concern we have relates to the recent decision of the New York Supreme Court mentioned above. The court rejected BNY arguments that PMNC had failed to comply with contractual conditions for making claims.  We believe that BNY had a very strong case given the contract language, which is expressed as a “condition precedent”.  There is strong New York and national precedent that when parties use “special” words to create such a condition (words like “unless” and  “if”) the requirement must be strictly adhered to, or a forfeiture results.  Here the contract not only used such words but even stated expressly that forfeiture would result if PMNC did not timely make claims for a schedule change or change order. However, the appeals court has apparently ignored this body of law and stated that oral waivers of these requirements are permissible, that that PMNC may try to prove that they were made by BNY.  This will lead to a proverbial “liars contest” at trial where all sorts of allegations can be put forward. It is anyone’s guess at the result.  As noted in the Matrix, it is likely some of contractor’s claimed waivers will stick and some schedule change will be granted.  More troubling, however, is that many of the best arguments BNY might make are also dependant on failures of the contractor to follow the contract.  For example, it was required to provide a “critical path” update every two weeks.  If it failed to do so, or failed to note in an update the delays it now claims it suffered at the hands of Force Majeure or owner’s acts, it should be estopped from putting those forward. Its claims will appear to be trumped up after the fact if they do not appear on the contemporaneous “critical path” report.  In other words, if they were truly delayed by a snowstorm or strike, why would that delay not show up immediately on the required report?  However, these arguments depend on a court holding that PMNC should have noted these delays in the update when they arose, as the contract seems to require.  If such an obligation is, however, not to be strictly required, and contractor can allege that BNY agreed to dispense with that report, it will weaken what appears to be a strong BNY position since Mark Irwin tells us that very little of the PMNC claims for delay were ever raised in critical path update.</w:t>
      </w:r>
    </w:p>
    <w:p>
      <w:pPr>
        <w:pStyle w:val="BodyText"/>
        <w:rPr>
          <w:rFonts w:ascii="Times New Roman" w:hAnsi="Times New Roman" w:cs="Times New Roman"/>
          <w:sz w:val="24"/>
        </w:rPr>
      </w:pPr>
      <w:r>
        <w:rPr>
          <w:rFonts w:cs="Times New Roman" w:ascii="Times New Roman" w:hAnsi="Times New Roman"/>
          <w:sz w:val="24"/>
        </w:rPr>
        <w:t xml:space="preserve">Other observations are that while there is a very extensive claim document prepared by PMNC setting out its story of why it should be paid, there is no comparable document in existence for the owner’s case.  Much of the BNY material is conclusory in nature and many specific allegations made by the contractor are not rebutted with convincing detail.  Whether this represents a tactical choice by counsel, or a sign of weakness, is unknown. PMNC has also produced a “sexy” argument of why BNY did not want to accept the plant in August of 1996 and thus fabricated reasons for rejecting Turnover.  They say that BNY was still finalizing its power contract and steam sales deal with ConEd and thus could not yet go commercial.  This is laid out with an appealing story line and might, unless rebutted strongly, capture a fact finder’s attention.  Mark Irwin says that can be done, but again, we have not seen the BNY case developed. </w:t>
      </w:r>
    </w:p>
    <w:p>
      <w:pPr>
        <w:pStyle w:val="BodyText"/>
        <w:rPr>
          <w:rFonts w:ascii="Times New Roman" w:hAnsi="Times New Roman" w:cs="Times New Roman"/>
          <w:sz w:val="24"/>
        </w:rPr>
      </w:pPr>
      <w:r>
        <w:rPr>
          <w:rFonts w:cs="Times New Roman" w:ascii="Times New Roman" w:hAnsi="Times New Roman"/>
          <w:sz w:val="24"/>
        </w:rPr>
        <w:t xml:space="preserve">One of the claims made by BNY is a “warranty” claim regarding the HRSG.  While this serves as a basis for justifying withholding payment, it also raises other risk issues regarding the actual future cost to repair.  We understand that there may be some question about this claim’s timeliness (the contract provides that defects must be discovered within one year) and therefore recovery from PMNC of the costs to fix may be difficult to secure, whatever the technical merit of the matter.  That being the case, EP should anticipate that as much as $11 million dollars (the apparent current estimate) may be required to install the actual “fix” to the tube leak problem. </w:t>
      </w:r>
    </w:p>
    <w:p>
      <w:pPr>
        <w:pStyle w:val="BodyText"/>
        <w:rPr>
          <w:rFonts w:ascii="Times New Roman" w:hAnsi="Times New Roman" w:cs="Times New Roman"/>
          <w:sz w:val="24"/>
        </w:rPr>
      </w:pPr>
      <w:r>
        <w:rPr>
          <w:rFonts w:cs="Times New Roman" w:ascii="Times New Roman" w:hAnsi="Times New Roman"/>
          <w:sz w:val="24"/>
        </w:rPr>
        <w:t xml:space="preserve">One other matter that we believe has not been explored is the possibility of insurance on the HRSG problem or other issues in the case.  Mark Irwin and Scott Carr both indicated that to their knowledge, no analysis of potential insurance claims has been done.  While there may be one and they are unaware of it, one mitigation strategy EP should consider is a review of any potential claims.  This will depend on policy language, and whether insurers were ever notified of claims. </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We would be pleased to refine our review with the benefit of more time, and documentation, but we appreciate the present time constraints facing Enron.  As always we would be happy to discuss these issues with you at any time.</w:t>
      </w:r>
    </w:p>
    <w:p>
      <w:pPr>
        <w:pStyle w:val="BodyText"/>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sz w:val="24"/>
        </w:rPr>
      </w:r>
    </w:p>
    <w:p>
      <w:pPr>
        <w:pStyle w:val="Normal"/>
        <w:rPr/>
      </w:pPr>
      <w:r>
        <w:rPr/>
      </w:r>
    </w:p>
    <w:p>
      <w:pPr>
        <w:pStyle w:val="Normal"/>
        <w:rPr/>
      </w:pPr>
      <w:r>
        <w:rPr/>
      </w:r>
    </w:p>
    <w:p>
      <w:pPr>
        <w:pStyle w:val="Normal"/>
        <w:rPr/>
      </w:pPr>
      <w:r>
        <w:rPr/>
        <w:tab/>
        <w:tab/>
        <w:tab/>
        <w:tab/>
        <w:tab/>
        <w:tab/>
        <w:tab/>
        <w:tab/>
      </w:r>
    </w:p>
    <w:p>
      <w:pPr>
        <w:pStyle w:val="Normal"/>
        <w:rPr/>
      </w:pPr>
      <w:r>
        <w:rPr/>
      </w:r>
    </w:p>
    <w:p>
      <w:pPr>
        <w:pStyle w:val="Normal"/>
        <w:rPr/>
      </w:pPr>
      <w:r>
        <w:rPr/>
        <w:t>GFG/gfg</w:t>
      </w:r>
    </w:p>
    <w:p>
      <w:pPr>
        <w:pStyle w:val="Normal"/>
        <w:jc w:val="both"/>
        <w:rPr/>
      </w:pPr>
      <w:r>
        <w:rPr/>
      </w:r>
    </w:p>
    <w:p>
      <w:pPr>
        <w:pStyle w:val="Normal"/>
        <w:jc w:val="both"/>
        <w:rPr/>
      </w:pPr>
      <w:r>
        <w:rPr/>
      </w:r>
    </w:p>
    <w:p>
      <w:pPr>
        <w:pStyle w:val="Normal"/>
        <w:jc w:val="both"/>
        <w:rPr/>
      </w:pPr>
      <w:r>
        <w:rPr/>
      </w:r>
    </w:p>
    <w:sectPr>
      <w:footerReference w:type="default" r:id="rId2"/>
      <w:type w:val="nextPage"/>
      <w:pgSz w:w="12240" w:h="15840"/>
      <w:pgMar w:left="1296" w:right="1296" w:gutter="0" w:header="0" w:top="1008" w:footer="576" w:bottom="15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ITCFenice Regular">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ITCFenice Regular" w:hAnsi="ITCFenice Regular" w:cs="ITCFenice Regular"/>
        <w:sz w:val="20"/>
      </w:rPr>
    </w:pPr>
    <w:r>
      <w:rPr>
        <w:rFonts w:cs="ITCFenice Regular" w:ascii="ITCFenice Regular" w:hAnsi="ITCFenice Regular"/>
        <w:sz w:val="20"/>
      </w:rPr>
      <w:t>146 Capitol Street, P.O. Box 5057, Augusta Maine 04332-5057,   207-623-1596    Fax 207-626-0200</w:t>
    </w:r>
  </w:p>
  <w:p>
    <w:pPr>
      <w:pStyle w:val="Footer"/>
      <w:widowControl/>
      <w:jc w:val="center"/>
      <w:rPr>
        <w:rFonts w:ascii="ITCFenice Regular" w:hAnsi="ITCFenice Regular" w:cs="ITCFenice Regular"/>
        <w:sz w:val="20"/>
      </w:rPr>
    </w:pPr>
    <w:r>
      <w:rPr>
        <w:rFonts w:cs="ITCFenice Regular" w:ascii="ITCFenice Regular" w:hAnsi="ITCFenice Regular"/>
        <w:sz w:val="20"/>
      </w:rPr>
      <w:t>Member, Lex Mundi, A Global Association of 131 Independent Law Firms</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MessageHeaderLabel">
    <w:name w:val="Message Header Label"/>
    <w:qFormat/>
    <w:rPr>
      <w:rFonts w:ascii="Arial Black" w:hAnsi="Arial Black" w:cs="Arial Black"/>
      <w:spacing w:val="-10"/>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2001-07-11T11:43:00Z</dcterms:created>
  <dc:creator>bssn</dc:creator>
  <dc:description/>
  <dc:language>en-CA</dc:language>
  <cp:lastModifiedBy>Gail M. Brownfeld</cp:lastModifiedBy>
  <dcterms:modified xsi:type="dcterms:W3CDTF">2001-07-11T11:43:00Z</dcterms:modified>
  <cp:revision>2</cp:revision>
  <dc:subject/>
  <dc:title>Bernstein, Shur, Sawyer &amp; Nelson, P</dc:title>
</cp:coreProperties>
</file>