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rPr>
      </w:pPr>
      <w:r>
        <w:rPr>
          <w:b/>
        </w:rPr>
        <w:t>RESIDUAL KNOWLEDGE PROVISION</w:t>
      </w:r>
    </w:p>
    <w:p>
      <w:pPr>
        <w:pStyle w:val="BodyText"/>
        <w:rPr/>
      </w:pPr>
      <w:r>
        <w:rPr/>
        <w:t xml:space="preserve">Notwithstanding any other provision in this Agreement, Receiving Party shall have the right to retain, use and disclose, without accounting to the Disclosing Party, any Confidential Information that is Residual Knowledge.  “Residual Knowledge” shall mean and include only non-recorded information of the type that applicable law would permit an employee of the Receiving Party to retain and use in subsequent employment with a third party.  This exception to the obligations of confidentiality and non-use shall be narrowly construed, is intended only to alleviate the possibility of inadvertent breach of this Agreement arising from routine, unaided memory retention by employees of the Receiving Party, and is not intended to permit the Receiving Party to intentionally use or disclose information known to the Receiving Party to be Confidential Information subject to this Agreement.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2001-04-05T13:01:00Z</dcterms:created>
  <dc:creator>Sabre Legal</dc:creator>
  <dc:description/>
  <dc:language>en-CA</dc:language>
  <cp:lastModifiedBy>Sabre Legal</cp:lastModifiedBy>
  <dcterms:modified xsi:type="dcterms:W3CDTF">2001-04-05T13:02:00Z</dcterms:modified>
  <cp:revision>1</cp:revision>
  <dc:subject/>
  <dc:title>RESIDUAL KNOWLEDGE PROVISION</dc:title>
</cp:coreProperties>
</file>