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UNITED STATES OF AMERICA</w:t>
      </w:r>
    </w:p>
    <w:p>
      <w:pPr>
        <w:pStyle w:val="Normal"/>
        <w:jc w:val="center"/>
        <w:rPr>
          <w:b/>
        </w:rPr>
      </w:pPr>
      <w:r>
        <w:rPr>
          <w:b/>
        </w:rPr>
        <w:t>BEFORE THE</w:t>
      </w:r>
    </w:p>
    <w:p>
      <w:pPr>
        <w:pStyle w:val="Normal"/>
        <w:jc w:val="center"/>
        <w:rPr>
          <w:b/>
          <w:sz w:val="28"/>
        </w:rPr>
      </w:pPr>
      <w:r>
        <w:rPr>
          <w:b/>
          <w:sz w:val="28"/>
        </w:rPr>
        <w:t>FEDERAL ENERGY REGULATORY COMMISSION</w:t>
      </w:r>
    </w:p>
    <w:p>
      <w:pPr>
        <w:pStyle w:val="Normal"/>
        <w:rPr/>
      </w:pPr>
      <w:r>
        <w:rPr/>
      </w:r>
    </w:p>
    <w:p>
      <w:pPr>
        <w:pStyle w:val="Normal"/>
        <w:rPr/>
      </w:pPr>
      <w:r>
        <w:rPr/>
      </w:r>
    </w:p>
    <w:p>
      <w:pPr>
        <w:pStyle w:val="Normal"/>
        <w:rPr/>
      </w:pPr>
      <w:r>
        <w:rPr/>
      </w:r>
    </w:p>
    <w:p>
      <w:pPr>
        <w:pStyle w:val="Normal"/>
        <w:tabs>
          <w:tab w:val="clear" w:pos="720"/>
          <w:tab w:val="left" w:pos="3960" w:leader="none"/>
          <w:tab w:val="right" w:pos="7920" w:leader="none"/>
        </w:tabs>
        <w:rPr/>
      </w:pPr>
      <w:r>
        <w:rPr/>
        <w:t>In the Matter of</w:t>
        <w:tab/>
        <w:t>)</w:t>
        <w:tab/>
      </w:r>
    </w:p>
    <w:p>
      <w:pPr>
        <w:pStyle w:val="Normal"/>
        <w:tabs>
          <w:tab w:val="clear" w:pos="720"/>
          <w:tab w:val="left" w:pos="3960" w:leader="none"/>
          <w:tab w:val="right" w:pos="7920" w:leader="none"/>
        </w:tabs>
        <w:rPr/>
      </w:pPr>
      <w:r>
        <w:rPr/>
        <w:tab/>
        <w:t>)</w:t>
        <w:tab/>
        <w:t>Docket Nos. RP97-288-009</w:t>
      </w:r>
    </w:p>
    <w:p>
      <w:pPr>
        <w:pStyle w:val="Normal"/>
        <w:tabs>
          <w:tab w:val="clear" w:pos="720"/>
          <w:tab w:val="left" w:pos="3960" w:leader="none"/>
          <w:tab w:val="right" w:pos="7920" w:leader="none"/>
        </w:tabs>
        <w:rPr/>
      </w:pPr>
      <w:r>
        <w:rPr/>
        <w:t>Transwestern Pipeline Company</w:t>
        <w:tab/>
        <w:t>)</w:t>
        <w:tab/>
        <w:t>through 016</w:t>
      </w:r>
    </w:p>
    <w:p>
      <w:pPr>
        <w:pStyle w:val="Normal"/>
        <w:rPr/>
      </w:pPr>
      <w:r>
        <w:rPr/>
      </w:r>
    </w:p>
    <w:p>
      <w:pPr>
        <w:pStyle w:val="Normal"/>
        <w:rPr/>
      </w:pPr>
      <w:r>
        <w:rPr/>
      </w:r>
    </w:p>
    <w:p>
      <w:pPr>
        <w:pStyle w:val="Normal"/>
        <w:rPr/>
      </w:pPr>
      <w:r>
        <w:rPr/>
      </w:r>
    </w:p>
    <w:p>
      <w:pPr>
        <w:pStyle w:val="Normal"/>
        <w:jc w:val="center"/>
        <w:rPr>
          <w:b/>
        </w:rPr>
      </w:pPr>
      <w:r>
        <w:rPr>
          <w:b/>
        </w:rPr>
        <w:t>ANSWER OF</w:t>
      </w:r>
    </w:p>
    <w:p>
      <w:pPr>
        <w:pStyle w:val="Normal"/>
        <w:jc w:val="center"/>
        <w:rPr>
          <w:b/>
        </w:rPr>
      </w:pPr>
      <w:r>
        <w:rPr>
          <w:b/>
        </w:rPr>
        <w:t>TRANSWESTERN PIPELINE COMPANY</w:t>
      </w:r>
    </w:p>
    <w:p>
      <w:pPr>
        <w:pStyle w:val="Normal"/>
        <w:jc w:val="center"/>
        <w:rPr>
          <w:b/>
        </w:rPr>
      </w:pPr>
      <w:r>
        <w:rPr>
          <w:b/>
        </w:rPr>
        <w:t>TO SOUTHERN CALIFORNIA EDISON COMPANY’S</w:t>
      </w:r>
    </w:p>
    <w:p>
      <w:pPr>
        <w:pStyle w:val="Normal"/>
        <w:jc w:val="center"/>
        <w:rPr>
          <w:b/>
        </w:rPr>
      </w:pPr>
      <w:r>
        <w:rPr>
          <w:b/>
        </w:rPr>
        <w:t>STATEMENT IN LIEU OF PREPARED</w:t>
      </w:r>
    </w:p>
    <w:p>
      <w:pPr>
        <w:pStyle w:val="Normal"/>
        <w:jc w:val="center"/>
        <w:rPr>
          <w:b/>
          <w:u w:val="single"/>
        </w:rPr>
      </w:pPr>
      <w:r>
        <w:rPr>
          <w:b/>
          <w:u w:val="single"/>
        </w:rPr>
        <w:t>                     </w:t>
      </w:r>
      <w:r>
        <w:rPr>
          <w:b/>
          <w:u w:val="single"/>
        </w:rPr>
        <w:t>DIRECT TESTIMONY                      </w:t>
      </w:r>
    </w:p>
    <w:p>
      <w:pPr>
        <w:pStyle w:val="Normal"/>
        <w:rPr/>
      </w:pPr>
      <w:r>
        <w:rPr/>
      </w:r>
    </w:p>
    <w:p>
      <w:pPr>
        <w:pStyle w:val="Normal"/>
        <w:rPr/>
      </w:pPr>
      <w:r>
        <w:rPr/>
      </w:r>
    </w:p>
    <w:p>
      <w:pPr>
        <w:pStyle w:val="Normal"/>
        <w:rPr/>
      </w:pPr>
      <w:r>
        <w:rPr/>
        <w:t>TO:</w:t>
        <w:tab/>
        <w:t>The Honorable Jacob Leventhal</w:t>
      </w:r>
    </w:p>
    <w:p>
      <w:pPr>
        <w:pStyle w:val="Normal"/>
        <w:rPr/>
      </w:pPr>
      <w:r>
        <w:rPr/>
        <w:tab/>
        <w:t>Presiding Administrative Law Judge</w:t>
      </w:r>
    </w:p>
    <w:p>
      <w:pPr>
        <w:pStyle w:val="Normal"/>
        <w:rPr/>
      </w:pPr>
      <w:r>
        <w:rPr/>
      </w:r>
    </w:p>
    <w:p>
      <w:pPr>
        <w:pStyle w:val="Normal"/>
        <w:rPr/>
      </w:pPr>
      <w:r>
        <w:rPr/>
      </w:r>
    </w:p>
    <w:p>
      <w:pPr>
        <w:pStyle w:val="Normal"/>
        <w:spacing w:lineRule="auto" w:line="480"/>
        <w:rPr/>
      </w:pPr>
      <w:r>
        <w:rPr/>
        <w:tab/>
        <w:t>Pursuant to Rule 213 of the Commission’s Rules of Practice and Procedure, 18 C.F.R. §385.213, Transwestern Pipeline Company (“Transwestern”) hereby submits its answer to Southern California Edison Company’s (“SCE”) “Statement In Lieu of Prepared Direct Testimony,” filed August 21, 2001 (“Statement”).</w:t>
      </w:r>
    </w:p>
    <w:p>
      <w:pPr>
        <w:pStyle w:val="Normal"/>
        <w:spacing w:lineRule="auto" w:line="480"/>
        <w:rPr/>
      </w:pPr>
      <w:r>
        <w:rPr/>
        <w:tab/>
        <w:t>In its Statement (at 2), SCE claims that it “reserves the right to call a rebuttal witness at hearing, should the need arise.”  Transwestern respectfully notes that the well-established Commission hearing procedures adopted by the Presiding Judge in this proceeding do not provide SCE with any “right to call a rebuttal witness at hearing.”  Under the procedures agreed upon by all parties, including SCE, and adopted by the Presiding Judge at the Prehearing Conference on August 6, 2001, SCE’s “right” to call a witness consisted of the right to file the testimony of such witness on August 21, 2001, and present such witness for cross-examination at the hearing.  However, as stated in SCE’s Statement, “SCE elects not to file prepared direct testimony.”  Thus, with full knowledge of the requirement that it had to submit the testimony of its witness, if any, on or before August 21st, SCE voluntarily waived its right to present a witness.  SCE’s voluntary election to ignore the deadline for presenting the testimony of its witness provides no basis for SCE to invent some right to present a witness at the hearing.</w:t>
      </w:r>
    </w:p>
    <w:p>
      <w:pPr>
        <w:pStyle w:val="Normal"/>
        <w:spacing w:lineRule="auto" w:line="480"/>
        <w:rPr/>
      </w:pPr>
      <w:r>
        <w:rPr/>
        <w:tab/>
        <w:t xml:space="preserve">Staff and Indicated Shippers complied with the requirement to present the testimony of their witnesses by August 21st and, pursuant to the procedures adopted by the Presiding Judge, Transwestern has the opportunity to review such testimony, submit rebuttal testimony and prepare for cross-examination of the Staff and Intervenor witnesses.  SCE cannot be allowed to circumvent the procedures established by the Presiding Judge and submit surprise testimony at the hearing, which would deny Transwestern its due process rights to review intervenor testimony, submit rebuttal testimony and prepare for cross-examination.  Any attempt by SCE to circumvent well-established Commission </w:t>
      </w:r>
      <w:r>
        <w:br w:type="page"/>
      </w:r>
    </w:p>
    <w:p>
      <w:pPr>
        <w:pStyle w:val="Normal"/>
        <w:spacing w:lineRule="auto" w:line="480"/>
        <w:rPr/>
      </w:pPr>
      <w:r>
        <w:rPr/>
        <w:t>procedures for presenting the testimony of its witness, and thereby trample on the right of other parties, should be denied.</w:t>
      </w:r>
    </w:p>
    <w:p>
      <w:pPr>
        <w:pStyle w:val="Normal"/>
        <w:tabs>
          <w:tab w:val="clear" w:pos="720"/>
          <w:tab w:val="left" w:pos="3960" w:leader="none"/>
        </w:tabs>
        <w:rPr/>
      </w:pPr>
      <w:r>
        <w:rPr/>
        <w:tab/>
        <w:t>Respectfully submitted,</w:t>
      </w:r>
    </w:p>
    <w:p>
      <w:pPr>
        <w:pStyle w:val="Normal"/>
        <w:tabs>
          <w:tab w:val="clear" w:pos="720"/>
          <w:tab w:val="left" w:pos="3960" w:leader="none"/>
        </w:tabs>
        <w:rPr/>
      </w:pPr>
      <w:r>
        <w:rPr/>
      </w:r>
    </w:p>
    <w:p>
      <w:pPr>
        <w:pStyle w:val="Normal"/>
        <w:tabs>
          <w:tab w:val="clear" w:pos="720"/>
          <w:tab w:val="left" w:pos="3960" w:leader="none"/>
        </w:tabs>
        <w:ind w:end="-540"/>
        <w:rPr/>
      </w:pPr>
      <w:r>
        <w:rPr/>
        <w:tab/>
        <w:t>TRANSWESTERN PIPELINE COMPANY</w:t>
      </w:r>
    </w:p>
    <w:p>
      <w:pPr>
        <w:pStyle w:val="Normal"/>
        <w:tabs>
          <w:tab w:val="clear" w:pos="720"/>
          <w:tab w:val="left" w:pos="3960" w:leader="none"/>
        </w:tabs>
        <w:ind w:end="-540"/>
        <w:rPr/>
      </w:pPr>
      <w:r>
        <w:rPr/>
      </w:r>
    </w:p>
    <w:p>
      <w:pPr>
        <w:pStyle w:val="Normal"/>
        <w:tabs>
          <w:tab w:val="clear" w:pos="720"/>
          <w:tab w:val="left" w:pos="3960" w:leader="none"/>
        </w:tabs>
        <w:ind w:end="-540"/>
        <w:rPr/>
      </w:pPr>
      <w:r>
        <w:rPr/>
      </w:r>
    </w:p>
    <w:p>
      <w:pPr>
        <w:pStyle w:val="Normal"/>
        <w:tabs>
          <w:tab w:val="clear" w:pos="720"/>
          <w:tab w:val="left" w:pos="3960" w:leader="none"/>
        </w:tabs>
        <w:ind w:end="-540"/>
        <w:rPr/>
      </w:pPr>
      <w:r>
        <w:rPr/>
      </w:r>
    </w:p>
    <w:p>
      <w:pPr>
        <w:pStyle w:val="Normal"/>
        <w:tabs>
          <w:tab w:val="clear" w:pos="720"/>
          <w:tab w:val="left" w:pos="3960" w:leader="none"/>
        </w:tabs>
        <w:rPr/>
      </w:pPr>
      <w:r>
        <w:rPr/>
        <w:tab/>
        <w:t>By:</w:t>
        <w:tab/>
      </w:r>
      <w:r>
        <w:rPr>
          <w:u w:val="single"/>
        </w:rPr>
        <w:tab/>
        <w:tab/>
        <w:tab/>
        <w:tab/>
        <w:tab/>
      </w:r>
    </w:p>
    <w:p>
      <w:pPr>
        <w:pStyle w:val="Normal"/>
        <w:tabs>
          <w:tab w:val="clear" w:pos="720"/>
          <w:tab w:val="left" w:pos="3960" w:leader="none"/>
        </w:tabs>
        <w:rPr/>
      </w:pPr>
      <w:r>
        <w:rPr/>
        <w:tab/>
        <w:tab/>
        <w:t>Frank X. Kelly</w:t>
      </w:r>
    </w:p>
    <w:p>
      <w:pPr>
        <w:pStyle w:val="Normal"/>
        <w:tabs>
          <w:tab w:val="clear" w:pos="720"/>
          <w:tab w:val="left" w:pos="3960" w:leader="none"/>
        </w:tabs>
        <w:rPr/>
      </w:pPr>
      <w:r>
        <w:rPr/>
        <w:tab/>
        <w:tab/>
        <w:t>Steve Stojic</w:t>
      </w:r>
    </w:p>
    <w:p>
      <w:pPr>
        <w:pStyle w:val="Normal"/>
        <w:tabs>
          <w:tab w:val="clear" w:pos="720"/>
          <w:tab w:val="left" w:pos="3960" w:leader="none"/>
        </w:tabs>
        <w:rPr/>
      </w:pPr>
      <w:r>
        <w:rPr/>
        <w:tab/>
        <w:tab/>
        <w:t>Gallagher, Boland and Meiburger</w:t>
      </w:r>
    </w:p>
    <w:p>
      <w:pPr>
        <w:pStyle w:val="Normal"/>
        <w:tabs>
          <w:tab w:val="clear" w:pos="720"/>
          <w:tab w:val="left" w:pos="3960" w:leader="none"/>
        </w:tabs>
        <w:rPr/>
      </w:pPr>
      <w:r>
        <w:rPr/>
        <w:tab/>
        <w:tab/>
        <w:t>1023 15</w:t>
      </w:r>
      <w:r>
        <w:rPr>
          <w:vertAlign w:val="superscript"/>
        </w:rPr>
        <w:t>th</w:t>
      </w:r>
      <w:r>
        <w:rPr/>
        <w:t xml:space="preserve"> Street, N.W.</w:t>
      </w:r>
    </w:p>
    <w:p>
      <w:pPr>
        <w:pStyle w:val="Normal"/>
        <w:tabs>
          <w:tab w:val="clear" w:pos="720"/>
          <w:tab w:val="left" w:pos="3960" w:leader="none"/>
        </w:tabs>
        <w:rPr/>
      </w:pPr>
      <w:r>
        <w:rPr/>
        <w:tab/>
        <w:tab/>
        <w:t>Suite 900</w:t>
      </w:r>
    </w:p>
    <w:p>
      <w:pPr>
        <w:pStyle w:val="Normal"/>
        <w:tabs>
          <w:tab w:val="clear" w:pos="720"/>
          <w:tab w:val="left" w:pos="3960" w:leader="none"/>
        </w:tabs>
        <w:rPr/>
      </w:pPr>
      <w:r>
        <w:rPr/>
        <w:tab/>
        <w:tab/>
        <w:t>Washington, D.C.  20005-2602</w:t>
      </w:r>
    </w:p>
    <w:p>
      <w:pPr>
        <w:pStyle w:val="Normal"/>
        <w:tabs>
          <w:tab w:val="clear" w:pos="720"/>
          <w:tab w:val="left" w:pos="3960" w:leader="none"/>
        </w:tabs>
        <w:rPr/>
      </w:pPr>
      <w:r>
        <w:rPr/>
        <w:tab/>
        <w:tab/>
        <w:t>(202) 289-7200</w:t>
      </w:r>
    </w:p>
    <w:p>
      <w:pPr>
        <w:pStyle w:val="Normal"/>
        <w:tabs>
          <w:tab w:val="clear" w:pos="720"/>
          <w:tab w:val="left" w:pos="3960" w:leader="none"/>
        </w:tabs>
        <w:rPr/>
      </w:pPr>
      <w:r>
        <w:rPr/>
      </w:r>
    </w:p>
    <w:p>
      <w:pPr>
        <w:pStyle w:val="Normal"/>
        <w:tabs>
          <w:tab w:val="clear" w:pos="720"/>
          <w:tab w:val="left" w:pos="3960" w:leader="none"/>
        </w:tabs>
        <w:rPr/>
      </w:pPr>
      <w:r>
        <w:rPr/>
        <w:tab/>
        <w:tab/>
        <w:t>Robin Nuschler</w:t>
      </w:r>
    </w:p>
    <w:p>
      <w:pPr>
        <w:pStyle w:val="Normal"/>
        <w:tabs>
          <w:tab w:val="clear" w:pos="720"/>
          <w:tab w:val="left" w:pos="3960" w:leader="none"/>
        </w:tabs>
        <w:ind w:start="4320" w:end="0"/>
        <w:rPr/>
      </w:pPr>
      <w:r>
        <w:rPr/>
        <w:t xml:space="preserve">Akin, Gump, Strauss, Hauer &amp; </w:t>
      </w:r>
    </w:p>
    <w:p>
      <w:pPr>
        <w:pStyle w:val="Normal"/>
        <w:tabs>
          <w:tab w:val="clear" w:pos="720"/>
          <w:tab w:val="left" w:pos="3960" w:leader="none"/>
        </w:tabs>
        <w:ind w:start="4320" w:end="0"/>
        <w:rPr/>
      </w:pPr>
      <w:r>
        <w:rPr>
          <w:rFonts w:eastAsia="CG Times"/>
        </w:rPr>
        <w:t xml:space="preserve">  </w:t>
      </w:r>
      <w:r>
        <w:rPr/>
        <w:t>Feld, L.L.P.</w:t>
      </w:r>
    </w:p>
    <w:p>
      <w:pPr>
        <w:pStyle w:val="Normal"/>
        <w:tabs>
          <w:tab w:val="clear" w:pos="720"/>
          <w:tab w:val="left" w:pos="3960" w:leader="none"/>
        </w:tabs>
        <w:ind w:start="4320" w:end="0"/>
        <w:rPr/>
      </w:pPr>
      <w:r>
        <w:rPr/>
        <w:t>1333 New Hampshire Ave., N.W.</w:t>
      </w:r>
    </w:p>
    <w:p>
      <w:pPr>
        <w:pStyle w:val="Normal"/>
        <w:tabs>
          <w:tab w:val="clear" w:pos="720"/>
          <w:tab w:val="left" w:pos="3960" w:leader="none"/>
        </w:tabs>
        <w:ind w:start="4320" w:end="0"/>
        <w:rPr/>
      </w:pPr>
      <w:r>
        <w:rPr/>
        <w:t>Suite 400</w:t>
      </w:r>
    </w:p>
    <w:p>
      <w:pPr>
        <w:pStyle w:val="Normal"/>
        <w:tabs>
          <w:tab w:val="clear" w:pos="720"/>
          <w:tab w:val="left" w:pos="3960" w:leader="none"/>
        </w:tabs>
        <w:ind w:start="4320" w:end="0"/>
        <w:rPr/>
      </w:pPr>
      <w:r>
        <w:rPr/>
        <w:t>Washington, D.C.  20036</w:t>
      </w:r>
    </w:p>
    <w:p>
      <w:pPr>
        <w:pStyle w:val="Normal"/>
        <w:tabs>
          <w:tab w:val="clear" w:pos="720"/>
          <w:tab w:val="left" w:pos="3960" w:leader="none"/>
        </w:tabs>
        <w:ind w:start="4320" w:end="0"/>
        <w:rPr/>
      </w:pPr>
      <w:r>
        <w:rPr/>
        <w:t>(202) 887-4412</w:t>
      </w:r>
    </w:p>
    <w:p>
      <w:pPr>
        <w:pStyle w:val="Normal"/>
        <w:tabs>
          <w:tab w:val="clear" w:pos="720"/>
          <w:tab w:val="left" w:pos="3960" w:leader="none"/>
        </w:tabs>
        <w:rPr/>
      </w:pPr>
      <w:r>
        <w:rPr/>
      </w:r>
    </w:p>
    <w:p>
      <w:pPr>
        <w:sectPr>
          <w:headerReference w:type="default" r:id="rId2"/>
          <w:headerReference w:type="first" r:id="rId3"/>
          <w:type w:val="nextPage"/>
          <w:pgSz w:w="12240" w:h="15840"/>
          <w:pgMar w:left="2160" w:right="2160" w:gutter="0" w:header="720" w:top="1440" w:footer="0" w:bottom="1440"/>
          <w:pgNumType w:fmt="decimal"/>
          <w:formProt w:val="false"/>
          <w:titlePg/>
          <w:textDirection w:val="lrTb"/>
          <w:docGrid w:type="default" w:linePitch="360" w:charSpace="0"/>
        </w:sectPr>
        <w:pStyle w:val="Normal"/>
        <w:tabs>
          <w:tab w:val="clear" w:pos="720"/>
          <w:tab w:val="left" w:pos="3960" w:leader="none"/>
        </w:tabs>
        <w:rPr/>
      </w:pPr>
      <w:r>
        <w:rPr/>
        <w:t>August 27, 2001</w:t>
      </w:r>
    </w:p>
    <w:p>
      <w:pPr>
        <w:pStyle w:val="Normal"/>
        <w:tabs>
          <w:tab w:val="clear" w:pos="720"/>
          <w:tab w:val="left" w:pos="3960" w:leader="none"/>
        </w:tabs>
        <w:rPr/>
      </w:pPr>
      <w:r>
        <w:rPr/>
      </w:r>
    </w:p>
    <w:p>
      <w:pPr>
        <w:pStyle w:val="Heading1"/>
        <w:ind w:hanging="0" w:start="0"/>
        <w:rPr/>
      </w:pPr>
      <w:r>
        <w:rPr/>
        <w:t>CERTIFICATE OF SERVICE</w:t>
      </w:r>
    </w:p>
    <w:p>
      <w:pPr>
        <w:pStyle w:val="Normal"/>
        <w:tabs>
          <w:tab w:val="clear" w:pos="720"/>
          <w:tab w:val="left" w:pos="3960" w:leader="none"/>
        </w:tabs>
        <w:rPr/>
      </w:pPr>
      <w:r>
        <w:rPr/>
      </w:r>
    </w:p>
    <w:p>
      <w:pPr>
        <w:pStyle w:val="Normal"/>
        <w:tabs>
          <w:tab w:val="clear" w:pos="720"/>
          <w:tab w:val="left" w:pos="3960" w:leader="none"/>
        </w:tabs>
        <w:rPr/>
      </w:pPr>
      <w:r>
        <w:rPr/>
      </w:r>
    </w:p>
    <w:p>
      <w:pPr>
        <w:pStyle w:val="Normal"/>
        <w:tabs>
          <w:tab w:val="clear" w:pos="720"/>
          <w:tab w:val="left" w:pos="3960" w:leader="none"/>
        </w:tabs>
        <w:rPr/>
      </w:pPr>
      <w:r>
        <w:rPr>
          <w:rFonts w:eastAsia="CG Times"/>
        </w:rPr>
        <w:t xml:space="preserve">     </w:t>
      </w:r>
      <w:r>
        <w:rPr/>
        <w:t>I hereby certify that I have this day served the foregoing document upon all those who entered an appearance at the August 6, 2001 prehearing conference at the start of this proceeding.</w:t>
      </w:r>
    </w:p>
    <w:p>
      <w:pPr>
        <w:pStyle w:val="Normal"/>
        <w:tabs>
          <w:tab w:val="clear" w:pos="720"/>
          <w:tab w:val="left" w:pos="3960" w:leader="none"/>
        </w:tabs>
        <w:rPr/>
      </w:pPr>
      <w:r>
        <w:rPr/>
      </w:r>
    </w:p>
    <w:p>
      <w:pPr>
        <w:pStyle w:val="Normal"/>
        <w:tabs>
          <w:tab w:val="clear" w:pos="720"/>
          <w:tab w:val="left" w:pos="3960" w:leader="none"/>
        </w:tabs>
        <w:rPr/>
      </w:pPr>
      <w:r>
        <w:rPr>
          <w:rFonts w:eastAsia="CG Times"/>
        </w:rPr>
        <w:t xml:space="preserve">     </w:t>
      </w:r>
      <w:r>
        <w:rPr/>
        <w:t>Dated this 27</w:t>
      </w:r>
      <w:r>
        <w:rPr>
          <w:vertAlign w:val="superscript"/>
        </w:rPr>
        <w:t>th</w:t>
      </w:r>
      <w:r>
        <w:rPr/>
        <w:t xml:space="preserve"> day of August 2001 at Washington, D.C.</w:t>
      </w:r>
    </w:p>
    <w:p>
      <w:pPr>
        <w:pStyle w:val="Normal"/>
        <w:tabs>
          <w:tab w:val="clear" w:pos="720"/>
          <w:tab w:val="left" w:pos="3960" w:leader="none"/>
        </w:tabs>
        <w:rPr/>
      </w:pPr>
      <w:r>
        <w:rPr/>
      </w:r>
    </w:p>
    <w:p>
      <w:pPr>
        <w:pStyle w:val="Normal"/>
        <w:tabs>
          <w:tab w:val="clear" w:pos="720"/>
          <w:tab w:val="left" w:pos="3960" w:leader="none"/>
        </w:tabs>
        <w:rPr/>
      </w:pPr>
      <w:r>
        <w:rPr/>
      </w:r>
    </w:p>
    <w:p>
      <w:pPr>
        <w:pStyle w:val="Normal"/>
        <w:tabs>
          <w:tab w:val="clear" w:pos="720"/>
          <w:tab w:val="left" w:pos="3960" w:leader="none"/>
        </w:tabs>
        <w:rPr/>
      </w:pPr>
      <w:r>
        <w:rPr/>
      </w:r>
    </w:p>
    <w:p>
      <w:pPr>
        <w:pStyle w:val="Normal"/>
        <w:tabs>
          <w:tab w:val="clear" w:pos="720"/>
          <w:tab w:val="left" w:pos="3960" w:leader="none"/>
        </w:tabs>
        <w:rPr/>
      </w:pPr>
      <w:r>
        <w:rPr/>
      </w:r>
    </w:p>
    <w:p>
      <w:pPr>
        <w:pStyle w:val="Normal"/>
        <w:tabs>
          <w:tab w:val="clear" w:pos="720"/>
          <w:tab w:val="left" w:pos="3960" w:leader="none"/>
        </w:tabs>
        <w:rPr/>
      </w:pPr>
      <w:r>
        <w:rPr/>
        <w:tab/>
        <w:tab/>
        <w:t>_________________________________</w:t>
      </w:r>
    </w:p>
    <w:p>
      <w:pPr>
        <w:pStyle w:val="Normal"/>
        <w:tabs>
          <w:tab w:val="clear" w:pos="720"/>
          <w:tab w:val="left" w:pos="3960" w:leader="none"/>
        </w:tabs>
        <w:rPr/>
      </w:pPr>
      <w:r>
        <w:rPr/>
        <w:tab/>
        <w:tab/>
        <w:t>Robin Nuschler</w:t>
      </w:r>
    </w:p>
    <w:p>
      <w:pPr>
        <w:pStyle w:val="Normal"/>
        <w:tabs>
          <w:tab w:val="clear" w:pos="720"/>
          <w:tab w:val="left" w:pos="3960" w:leader="none"/>
        </w:tabs>
        <w:ind w:start="4320" w:end="0"/>
        <w:rPr/>
      </w:pPr>
      <w:r>
        <w:rPr/>
        <w:t>Akin, Gump, Strauss, Hauer &amp; Feld, L.L.P.</w:t>
      </w:r>
    </w:p>
    <w:p>
      <w:pPr>
        <w:pStyle w:val="Normal"/>
        <w:tabs>
          <w:tab w:val="clear" w:pos="720"/>
          <w:tab w:val="left" w:pos="3960" w:leader="none"/>
        </w:tabs>
        <w:ind w:start="4320" w:end="0"/>
        <w:rPr/>
      </w:pPr>
      <w:r>
        <w:rPr/>
        <w:t>1333 New Hampshire Ave., N.W.</w:t>
      </w:r>
    </w:p>
    <w:p>
      <w:pPr>
        <w:pStyle w:val="Normal"/>
        <w:tabs>
          <w:tab w:val="clear" w:pos="720"/>
          <w:tab w:val="left" w:pos="3960" w:leader="none"/>
        </w:tabs>
        <w:ind w:start="4320" w:end="0"/>
        <w:rPr/>
      </w:pPr>
      <w:r>
        <w:rPr/>
        <w:t>Suite 400</w:t>
      </w:r>
    </w:p>
    <w:p>
      <w:pPr>
        <w:pStyle w:val="Normal"/>
        <w:tabs>
          <w:tab w:val="clear" w:pos="720"/>
          <w:tab w:val="left" w:pos="3960" w:leader="none"/>
        </w:tabs>
        <w:ind w:start="4320" w:end="0"/>
        <w:rPr/>
      </w:pPr>
      <w:r>
        <w:rPr/>
        <w:t>Washington, D.C.  20036</w:t>
      </w:r>
    </w:p>
    <w:p>
      <w:pPr>
        <w:pStyle w:val="Normal"/>
        <w:tabs>
          <w:tab w:val="clear" w:pos="720"/>
          <w:tab w:val="left" w:pos="3960" w:leader="none"/>
        </w:tabs>
        <w:ind w:start="4320" w:end="0"/>
        <w:rPr/>
      </w:pPr>
      <w:r>
        <w:rPr/>
        <w:t>(202) 887-4412</w:t>
      </w:r>
    </w:p>
    <w:p>
      <w:pPr>
        <w:pStyle w:val="Normal"/>
        <w:tabs>
          <w:tab w:val="clear" w:pos="720"/>
          <w:tab w:val="left" w:pos="3960" w:leader="none"/>
        </w:tabs>
        <w:rPr/>
      </w:pPr>
      <w:r>
        <w:rPr/>
      </w:r>
    </w:p>
    <w:sectPr>
      <w:headerReference w:type="default" r:id="rId4"/>
      <w:headerReference w:type="first" r:id="rId5"/>
      <w:type w:val="nextPage"/>
      <w:pgSz w:w="12240" w:h="15840"/>
      <w:pgMar w:left="2160" w:right="216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19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CG Times" w:hAnsi="CG Times" w:eastAsia="Times New Roman" w:cs="CG Times"/>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3960" w:leader="none"/>
      </w:tabs>
      <w:jc w:val="center"/>
      <w:outlineLvl w:val="0"/>
    </w:pPr>
    <w:rPr>
      <w:b/>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rFonts w:ascii="CG Times" w:hAnsi="CG Times" w:cs="CG Times"/>
      <w:position w:val="0"/>
      <w:sz w:val="24"/>
      <w:sz w:val="24"/>
      <w:u w:val="single"/>
      <w:vertAlign w:val="baseli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ind w:hanging="720" w:start="720" w:end="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2001-08-27T17:19:00Z</dcterms:created>
  <dc:creator>Linda</dc:creator>
  <dc:description/>
  <dc:language>en-CA</dc:language>
  <cp:lastModifiedBy>Akin Gump</cp:lastModifiedBy>
  <cp:lastPrinted>2001-08-27T15:45:00Z</cp:lastPrinted>
  <dcterms:modified xsi:type="dcterms:W3CDTF">2001-08-27T17:19:00Z</dcterms:modified>
  <cp:revision>2</cp:revision>
  <dc:subject/>
  <dc:title>UNITED STATES OF AMERICA</dc:title>
</cp:coreProperties>
</file>