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960" w:leader="none"/>
        </w:tabs>
        <w:jc w:val="center"/>
        <w:rPr>
          <w:b/>
        </w:rPr>
      </w:pPr>
      <w:r>
        <w:rPr>
          <w:b/>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rPr/>
      </w:pPr>
      <w:r>
        <w:rPr/>
      </w:r>
    </w:p>
    <w:p>
      <w:pPr>
        <w:pStyle w:val="Normal"/>
        <w:rPr/>
      </w:pPr>
      <w:r>
        <w:rPr/>
      </w:r>
    </w:p>
    <w:p>
      <w:pPr>
        <w:pStyle w:val="Normal"/>
        <w:tabs>
          <w:tab w:val="clear" w:pos="720"/>
          <w:tab w:val="left" w:pos="3960" w:leader="none"/>
          <w:tab w:val="left" w:pos="5040" w:leader="none"/>
          <w:tab w:val="left" w:pos="6300" w:leader="none"/>
        </w:tabs>
        <w:rPr/>
      </w:pPr>
      <w:r>
        <w:rPr/>
        <w:t>Transwestern Pipeline Company</w:t>
        <w:tab/>
        <w:t>)</w:t>
        <w:tab/>
        <w:t>Docket Nos.</w:t>
        <w:tab/>
        <w:t>RP97-288-009</w:t>
      </w:r>
    </w:p>
    <w:p>
      <w:pPr>
        <w:pStyle w:val="Normal"/>
        <w:tabs>
          <w:tab w:val="clear" w:pos="720"/>
          <w:tab w:val="left" w:pos="3960" w:leader="none"/>
          <w:tab w:val="left" w:pos="5040" w:leader="none"/>
          <w:tab w:val="left" w:pos="6300" w:leader="none"/>
        </w:tabs>
        <w:rPr/>
      </w:pPr>
      <w:r>
        <w:rPr/>
        <w:tab/>
        <w:tab/>
        <w:tab/>
        <w:t>through 016</w:t>
      </w:r>
    </w:p>
    <w:p>
      <w:pPr>
        <w:pStyle w:val="Normal"/>
        <w:tabs>
          <w:tab w:val="clear" w:pos="720"/>
          <w:tab w:val="left" w:pos="3960" w:leader="none"/>
          <w:tab w:val="left" w:pos="5040" w:leader="none"/>
          <w:tab w:val="left" w:pos="6300" w:leader="none"/>
        </w:tabs>
        <w:rPr/>
      </w:pPr>
      <w:r>
        <w:rPr/>
      </w:r>
    </w:p>
    <w:p>
      <w:pPr>
        <w:pStyle w:val="Normal"/>
        <w:tabs>
          <w:tab w:val="clear" w:pos="720"/>
          <w:tab w:val="left" w:pos="3960" w:leader="none"/>
          <w:tab w:val="left" w:pos="5040" w:leader="none"/>
          <w:tab w:val="left" w:pos="6300" w:leader="none"/>
        </w:tabs>
        <w:rPr/>
      </w:pPr>
      <w:r>
        <w:rPr/>
      </w:r>
    </w:p>
    <w:p>
      <w:pPr>
        <w:pStyle w:val="Normal"/>
        <w:tabs>
          <w:tab w:val="clear" w:pos="720"/>
          <w:tab w:val="left" w:pos="3960" w:leader="none"/>
          <w:tab w:val="left" w:pos="5040" w:leader="none"/>
          <w:tab w:val="left" w:pos="6300" w:leader="none"/>
        </w:tabs>
        <w:jc w:val="center"/>
        <w:rPr>
          <w:b/>
        </w:rPr>
      </w:pPr>
      <w:r>
        <w:rPr>
          <w:b/>
        </w:rPr>
        <w:t>PREPARED REBUTTAL TESTIMONY</w:t>
      </w:r>
    </w:p>
    <w:p>
      <w:pPr>
        <w:pStyle w:val="Normal"/>
        <w:tabs>
          <w:tab w:val="clear" w:pos="720"/>
          <w:tab w:val="left" w:pos="3960" w:leader="none"/>
          <w:tab w:val="left" w:pos="5040" w:leader="none"/>
          <w:tab w:val="left" w:pos="6300" w:leader="none"/>
        </w:tabs>
        <w:jc w:val="center"/>
        <w:rPr>
          <w:b/>
        </w:rPr>
      </w:pPr>
      <w:r>
        <w:rPr>
          <w:b/>
        </w:rPr>
        <w:t>OF</w:t>
      </w:r>
    </w:p>
    <w:p>
      <w:pPr>
        <w:pStyle w:val="Normal"/>
        <w:tabs>
          <w:tab w:val="clear" w:pos="720"/>
          <w:tab w:val="left" w:pos="3960" w:leader="none"/>
          <w:tab w:val="left" w:pos="5040" w:leader="none"/>
          <w:tab w:val="left" w:pos="6300" w:leader="none"/>
        </w:tabs>
        <w:jc w:val="center"/>
        <w:rPr>
          <w:b/>
        </w:rPr>
      </w:pPr>
      <w:r>
        <w:rPr>
          <w:b/>
        </w:rPr>
        <w:t>STEVEN M. HARRIS</w:t>
      </w:r>
    </w:p>
    <w:p>
      <w:pPr>
        <w:pStyle w:val="Normal"/>
        <w:tabs>
          <w:tab w:val="clear" w:pos="720"/>
          <w:tab w:val="left" w:pos="3960" w:leader="none"/>
          <w:tab w:val="left" w:pos="5040" w:leader="none"/>
          <w:tab w:val="left" w:pos="6300" w:leader="none"/>
        </w:tabs>
        <w:rPr/>
      </w:pPr>
      <w:r>
        <w:rPr/>
      </w:r>
    </w:p>
    <w:p>
      <w:pPr>
        <w:sectPr>
          <w:headerReference w:type="default" r:id="rId2"/>
          <w:headerReference w:type="first" r:id="rId3"/>
          <w:type w:val="nextPage"/>
          <w:pgSz w:w="12240" w:h="15840"/>
          <w:pgMar w:left="2160" w:right="2160" w:gutter="0" w:header="720" w:top="1440" w:footer="0" w:bottom="1440"/>
          <w:lnNumType w:countBy="1" w:restart="newPage" w:distance="283"/>
          <w:pgNumType w:fmt="decimal"/>
          <w:formProt w:val="false"/>
          <w:titlePg/>
          <w:textDirection w:val="lrTb"/>
          <w:docGrid w:type="default" w:linePitch="360" w:charSpace="0"/>
        </w:sectPr>
      </w:pPr>
    </w:p>
    <w:p>
      <w:pPr>
        <w:pStyle w:val="Normal"/>
        <w:spacing w:lineRule="auto" w:line="480"/>
        <w:ind w:hanging="720" w:start="720" w:end="0"/>
        <w:rPr/>
      </w:pPr>
      <w:r>
        <w:rPr/>
        <w:t>Q.</w:t>
        <w:tab/>
        <w:t>Are you the same Steven M. Harris who submitted Prepared Direct Testimony on behalf of Transwestern in these proceedings?</w:t>
      </w:r>
    </w:p>
    <w:p>
      <w:pPr>
        <w:pStyle w:val="Normal"/>
        <w:spacing w:lineRule="auto" w:line="480"/>
        <w:ind w:hanging="720" w:start="720" w:end="0"/>
        <w:rPr/>
      </w:pPr>
      <w:r>
        <w:rPr/>
        <w:t>A.</w:t>
        <w:tab/>
        <w:t>Yes, I am.</w:t>
      </w:r>
    </w:p>
    <w:p>
      <w:pPr>
        <w:pStyle w:val="Normal"/>
        <w:spacing w:lineRule="auto" w:line="480"/>
        <w:ind w:hanging="720" w:start="720" w:end="0"/>
        <w:rPr/>
      </w:pPr>
      <w:r>
        <w:rPr/>
        <w:t>Q.</w:t>
        <w:tab/>
        <w:t>What is the purpose of your Prepared Rebuttal Testimony?</w:t>
      </w:r>
    </w:p>
    <w:p>
      <w:pPr>
        <w:pStyle w:val="Normal"/>
        <w:spacing w:lineRule="auto" w:line="480"/>
        <w:ind w:hanging="720" w:start="720" w:end="0"/>
        <w:rPr/>
      </w:pPr>
      <w:r>
        <w:rPr/>
        <w:t>A.</w:t>
        <w:tab/>
        <w:t>I will respond to the testimony of Staff witness Barry E. Sullivan.</w:t>
      </w:r>
    </w:p>
    <w:p>
      <w:pPr>
        <w:pStyle w:val="Normal"/>
        <w:spacing w:lineRule="auto" w:line="480"/>
        <w:ind w:hanging="720" w:start="720" w:end="0"/>
        <w:rPr/>
      </w:pPr>
      <w:r>
        <w:rPr/>
        <w:t>Q.</w:t>
        <w:tab/>
        <w:t>Do you agree with the testimony of Mr. Sullivan?</w:t>
      </w:r>
    </w:p>
    <w:p>
      <w:pPr>
        <w:pStyle w:val="Normal"/>
        <w:spacing w:lineRule="auto" w:line="480"/>
        <w:ind w:hanging="720" w:start="720" w:end="0"/>
        <w:rPr/>
      </w:pPr>
      <w:r>
        <w:rPr/>
        <w:t>A.</w:t>
        <w:tab/>
        <w:t>No.  Mr. Sullivan claims to examine the reasons Richardson and Sempra entered into the 4 short-term firm negotiated rate transactions, but he ignores the reasons given by the shippers themselves.  He also relies heavily on an after-the-fact, hindsight analysis of the profits that actually were made versus the profits that could have been made under the recourse rate, wrongly suggesting that Richardson and Sempra somehow knew what would happen in the future and willingly gave up large profits that they somehow knew would occur.</w:t>
      </w:r>
    </w:p>
    <w:p>
      <w:pPr>
        <w:pStyle w:val="Normal"/>
        <w:spacing w:lineRule="auto" w:line="480"/>
        <w:ind w:hanging="720" w:start="720" w:end="0"/>
        <w:rPr/>
      </w:pPr>
      <w:r>
        <w:rPr/>
        <w:t>Q.</w:t>
        <w:tab/>
        <w:t>Mr. Sullivan states (at 4) that he does not agree with your testimony explaining why Richardson and Sempra entered into the 4 daily firm contracts at issue.  Does he present valid reasons for his disagreement?</w:t>
      </w:r>
    </w:p>
    <w:p>
      <w:pPr>
        <w:pStyle w:val="Normal"/>
        <w:spacing w:lineRule="auto" w:line="480"/>
        <w:ind w:hanging="720" w:start="720" w:end="0"/>
        <w:rPr/>
      </w:pPr>
      <w:r>
        <w:rPr/>
        <w:t>A.</w:t>
        <w:tab/>
        <w:t>No.  To summarize my direct testimony and the explanations provided in the data responses of Richardson and Sempra, the reasons they elected an index-based volumetric rate over the recourse rate were:  (1) the decision to generally transact business on an index basis, (2) by electing to pay a negotiated rate, they would avoid demand cost risk inherent in the traditional recourse rate structure, and (3) under the negotiated rates, if the gas did flow, they were guaranteed a profit in the transaction equal to their agreed-upon share of the spread, or basis differential, used to calculate the negotiated rates.  My testimony discussed the reasons given by Richardson and Sempra themselves as to why they agreed to the negotiated rate transactions at issue.  Mr. Sullivan ignores the reasons given by the shippers themselves and substitutes his personal opinion that he would not have agreed to an index-based rate.  However, Mr. Sullivan’s personal preference for recourse rates instead of index-based rates is irrelevant to a determination of the reasons the shippers themselves had for agreeing to index-based rates.</w:t>
      </w:r>
    </w:p>
    <w:p>
      <w:pPr>
        <w:pStyle w:val="Normal"/>
        <w:spacing w:lineRule="auto" w:line="480"/>
        <w:ind w:hanging="720" w:start="720" w:end="0"/>
        <w:rPr/>
      </w:pPr>
      <w:r>
        <w:rPr/>
        <w:t>Q.</w:t>
        <w:tab/>
        <w:t>What reasons given by Richardson and Sempra does Mr. Sullivan ignore?</w:t>
      </w:r>
    </w:p>
    <w:p>
      <w:pPr>
        <w:pStyle w:val="Normal"/>
        <w:spacing w:lineRule="auto" w:line="480"/>
        <w:ind w:hanging="720" w:start="720" w:end="0"/>
        <w:rPr/>
      </w:pPr>
      <w:r>
        <w:rPr/>
        <w:t>A.</w:t>
        <w:tab/>
        <w:t xml:space="preserve">As I explained in my Prepared Direct Testimony (at 8, ln 18 through 9, ln. 8), Richardson explained that, as a marketer, “the majority of its physical natural gas business is transacted on an index basis” and that “to minimize any risk on transportation options, the ‘Gas Daily’ daily index rate scenario allows RPC [Richardson] to capture the market with minimum daily risk.”  (Richardson February 28, 2001 response to Commission Data Request No. 1, Exhibit No. TW-12 at 2)  Sempra provided a similar explanation, stating that an index-to-index negotiated rate reflected the market it served under the daily firm contract </w:t>
        <w:noBreakHyphen/>
        <w:noBreakHyphen/>
        <w:t xml:space="preserve"> “a rate formula reflective of Sempra Energy Trading’s daily market offered a better price risk profile than would the recourse rate.”  (Sempra February 28, 2001 response to Commission Data Request No. 1, Exhibit No. TW</w:t>
        <w:noBreakHyphen/>
        <w:t>13 at 2.)</w:t>
      </w:r>
    </w:p>
    <w:p>
      <w:pPr>
        <w:pStyle w:val="Normal"/>
        <w:spacing w:lineRule="auto" w:line="480"/>
        <w:ind w:hanging="720" w:start="720" w:end="0"/>
        <w:rPr/>
      </w:pPr>
      <w:r>
        <w:rPr/>
        <w:t>Q.</w:t>
        <w:tab/>
        <w:t>Is Mr. Sullivan’s view of risk the same as Richardson’s and Sempra’s view of risk?</w:t>
      </w:r>
    </w:p>
    <w:p>
      <w:pPr>
        <w:pStyle w:val="Normal"/>
        <w:spacing w:lineRule="auto" w:line="480"/>
        <w:ind w:hanging="720" w:start="720" w:end="0"/>
        <w:rPr/>
      </w:pPr>
      <w:r>
        <w:rPr/>
        <w:t>A.</w:t>
        <w:tab/>
        <w:t>No.  Mr. Sullivan suggests that Richardson and Sempra should have his view of risk:  that they should assume greater risk in order to possibly achieve larger profits.  As shown in the data responses referenced above (Exhibit No. TW</w:t>
        <w:noBreakHyphen/>
        <w:t>12 at 2 and Exhibit No. TW</w:t>
        <w:noBreakHyphen/>
        <w:t>13 at 2), Richardson and Sempra explain their view of risk:  that they prefer to assume less risk even if it means they may forego the possibility of larger profits.  Under index-based rates, Richardson and Sempra were assured that they would never lose money in their sales of gas.  If they had elected the recourse rate, they would have had the risk of losing money if either the price spread was low, or the gas didn’t flow.  The fact that Richardson and Sempra have a different view of risk than Mr. Sullivan does not mean that they are irrational.</w:t>
      </w:r>
    </w:p>
    <w:p>
      <w:pPr>
        <w:pStyle w:val="Normal"/>
        <w:spacing w:lineRule="auto" w:line="480"/>
        <w:ind w:hanging="720" w:start="720" w:end="0"/>
        <w:rPr/>
      </w:pPr>
      <w:r>
        <w:rPr/>
        <w:t>Q.</w:t>
        <w:tab/>
        <w:t>Do you believe it is appropriate to ignore the reasons given by Richardson and Sempra themselves as to why they agreed to the index-based negotiated rates?</w:t>
      </w:r>
    </w:p>
    <w:p>
      <w:pPr>
        <w:pStyle w:val="Normal"/>
        <w:spacing w:lineRule="auto" w:line="480"/>
        <w:ind w:hanging="720" w:start="720" w:end="0"/>
        <w:rPr/>
      </w:pPr>
      <w:r>
        <w:rPr/>
        <w:t>A.</w:t>
        <w:tab/>
        <w:t>No.  These are the responses given by Richardson and Sempra to the Commission’s direct question: “Please state why Richardson [Sempra] chose the rate formula under this negotiated rate contract rather than contracting with Transwestern at the Rate Schedule FTS</w:t>
        <w:noBreakHyphen/>
        <w:t>1 recourse rate.”  Mr. Sullivan ignores the reasons given by the shippers themselves and substitutes his preference for recourse rates, regardless of the business operations, market circumstances, and risk analysis of the shippers themselves.</w:t>
      </w:r>
    </w:p>
    <w:p>
      <w:pPr>
        <w:pStyle w:val="Normal"/>
        <w:spacing w:lineRule="auto" w:line="480"/>
        <w:ind w:hanging="720" w:start="720" w:end="0"/>
        <w:rPr/>
      </w:pPr>
      <w:r>
        <w:rPr/>
        <w:t>Q.</w:t>
        <w:tab/>
        <w:t>Does the Commission prohibit a marketer from conducting its business using index-based negotiated rates?</w:t>
      </w:r>
    </w:p>
    <w:p>
      <w:pPr>
        <w:pStyle w:val="Normal"/>
        <w:spacing w:lineRule="auto" w:line="480"/>
        <w:ind w:hanging="720" w:start="720" w:end="0"/>
        <w:rPr/>
      </w:pPr>
      <w:r>
        <w:rPr/>
        <w:t>A.</w:t>
        <w:tab/>
        <w:t>No.  A marketer may conduct its business using whatever type of rate structure it prefers.  The essence of the Commission’s negotiated rate policy is that the shipper has the right to the recourse rate but is free to elect a negotiated rate structure that fits its business operations, market circumstances and risk analysis.</w:t>
      </w:r>
    </w:p>
    <w:p>
      <w:pPr>
        <w:pStyle w:val="Normal"/>
        <w:spacing w:lineRule="auto" w:line="480"/>
        <w:ind w:hanging="720" w:start="720" w:end="0"/>
        <w:rPr/>
      </w:pPr>
      <w:r>
        <w:rPr/>
        <w:t>Q.</w:t>
        <w:tab/>
        <w:t>Does compliance with the Commission’s rules and regulations or negotiated rate policy involve a determination of whether a marketer could have elected a better rate structure or made more profit?</w:t>
      </w:r>
    </w:p>
    <w:p>
      <w:pPr>
        <w:pStyle w:val="Normal"/>
        <w:spacing w:lineRule="auto" w:line="480"/>
        <w:ind w:hanging="720" w:start="720" w:end="0"/>
        <w:rPr/>
      </w:pPr>
      <w:r>
        <w:rPr/>
        <w:t>A.</w:t>
        <w:tab/>
        <w:t>No.  Whether a marketer could have negotiated a better deal or made more profit is totally irrelevant.  A marketer is free to make its own business decisions as to what rate structures and profit levels suit its individual business operations.</w:t>
      </w:r>
    </w:p>
    <w:p>
      <w:pPr>
        <w:pStyle w:val="Normal"/>
        <w:spacing w:lineRule="auto" w:line="480"/>
        <w:ind w:hanging="720" w:start="720" w:end="0"/>
        <w:rPr/>
      </w:pPr>
      <w:r>
        <w:rPr/>
        <w:t>Q.</w:t>
        <w:tab/>
        <w:t>Does Mr. Sullivan ignore the common use of index-based negotiated rates in the gas industry?</w:t>
      </w:r>
    </w:p>
    <w:p>
      <w:pPr>
        <w:pStyle w:val="Normal"/>
        <w:spacing w:lineRule="auto" w:line="480"/>
        <w:ind w:hanging="720" w:start="720" w:end="0"/>
        <w:rPr/>
      </w:pPr>
      <w:r>
        <w:rPr/>
        <w:t>A.</w:t>
        <w:tab/>
        <w:t>Yes.  He seems to suggest that shippers should only elect recourse rates.  He doesn’t address the fact, as explained in my Prepared Direct Testimony (at 8, ln. 6-16), that index-to-index pricing has become increasingly common for transportation service on interstate pipelines.  Each transportation customer has its own business strategies and objectives, but for many customers a pricing mechanism that ties the cost of transportation service to the prices available in natural gas markets meets their needs.  Capacity release transactions posted on Transwestern’s system utilize index formulas as well.  Additionally, natural gas is often bought and sold on an index price basis.</w:t>
      </w:r>
    </w:p>
    <w:p>
      <w:pPr>
        <w:pStyle w:val="Normal"/>
        <w:spacing w:lineRule="auto" w:line="480"/>
        <w:ind w:hanging="720" w:start="720" w:end="0"/>
        <w:rPr/>
      </w:pPr>
      <w:r>
        <w:rPr/>
        <w:t>Q.</w:t>
        <w:tab/>
        <w:t>Mr. Sullivan claims (at 5) that Richardson’s and Sempra’s agreement to an index-based negotiated rate cannot be a rational decision because one of these shippers “willingly negotiated away a virtually risk-free profit of approximately $5 million, settling instead for a completely risk-free profit of approximately $200,000 (</w:t>
      </w:r>
      <w:r>
        <w:rPr>
          <w:u w:val="single"/>
        </w:rPr>
        <w:t>see</w:t>
      </w:r>
      <w:r>
        <w:rPr/>
        <w:t xml:space="preserve"> Exhibit No. S</w:t>
        <w:noBreakHyphen/>
        <w:t>2), while another willingly agreed to forgo additional profits of almost $2 million.”  Do you agree?</w:t>
      </w:r>
    </w:p>
    <w:p>
      <w:pPr>
        <w:pStyle w:val="Normal"/>
        <w:spacing w:lineRule="auto" w:line="480"/>
        <w:ind w:hanging="720" w:start="720" w:end="0"/>
        <w:rPr/>
      </w:pPr>
      <w:r>
        <w:rPr/>
        <w:t>A.</w:t>
        <w:tab/>
        <w:t>No.  The problem with Mr. Sullivan’s allegation is that it is based entirely on an after-the-fact, hindsight analysis.  Richardson and Sempra did not “willingly negotiate[ ] away a virtually risk-free profit” of approximately $2 million and $5 million because, at the time they agreed to the index-based negotiated rates, they had no idea what the profits would be under the recourse rate.  They did not know they would in fact have profits of $2 million and $5 million respectively and, therefore, it is incorrect to claim that they “willingly negotiated away” such amounts.</w:t>
      </w:r>
    </w:p>
    <w:p>
      <w:pPr>
        <w:pStyle w:val="Normal"/>
        <w:spacing w:lineRule="auto" w:line="480"/>
        <w:ind w:hanging="720" w:start="720" w:end="0"/>
        <w:rPr/>
      </w:pPr>
      <w:r>
        <w:rPr/>
        <w:t>Q.</w:t>
        <w:tab/>
        <w:t>Is there any validity to Mr. Sullivan’s analysis of the profits made under the agreed-upon index-based rate versus the profits that could have been made under the recourse rate?</w:t>
      </w:r>
    </w:p>
    <w:p>
      <w:pPr>
        <w:pStyle w:val="Normal"/>
        <w:spacing w:lineRule="auto" w:line="480"/>
        <w:ind w:hanging="720" w:start="720" w:end="0"/>
        <w:rPr/>
      </w:pPr>
      <w:r>
        <w:rPr/>
        <w:t>A.</w:t>
        <w:tab/>
        <w:t>No.  One cannot claim that a shipper was not rational in agreeing to a rate by using an after-the-fact, hindsight analysis to show that the deal did not work out very well or that a higher profit would have resulted under a different rate structure.  The only relevant time period for examining the transaction is the time it was entered into.</w:t>
      </w:r>
    </w:p>
    <w:p>
      <w:pPr>
        <w:pStyle w:val="Normal"/>
        <w:spacing w:lineRule="auto" w:line="480"/>
        <w:ind w:hanging="720" w:start="720" w:end="0"/>
        <w:rPr/>
      </w:pPr>
      <w:r>
        <w:rPr/>
        <w:t>Q.</w:t>
        <w:tab/>
        <w:t>Mr. Sullivan suggests that Richardson and Sempra were irrational in agreeing to an index-based rate because the index basis differential “was extraordinarily high during the January to March 2001 period.”  (Sullivan Testimony at 9.)  Do you agree?</w:t>
      </w:r>
    </w:p>
    <w:p>
      <w:pPr>
        <w:pStyle w:val="Normal"/>
        <w:spacing w:lineRule="auto" w:line="480"/>
        <w:ind w:hanging="720" w:start="720" w:end="0"/>
        <w:rPr/>
      </w:pPr>
      <w:r>
        <w:rPr/>
        <w:t>A.</w:t>
        <w:tab/>
        <w:t xml:space="preserve">No.  As I stated above, the only reason Mr. Sullivan knows </w:t>
      </w:r>
      <w:r>
        <w:rPr>
          <w:u w:val="single"/>
        </w:rPr>
        <w:t>now</w:t>
      </w:r>
      <w:r>
        <w:rPr/>
        <w:t xml:space="preserve"> that the index basis differential was “extraordinarily high during the January to March 2001 period” is that he is looking </w:t>
      </w:r>
      <w:r>
        <w:rPr>
          <w:u w:val="single"/>
        </w:rPr>
        <w:t>backward</w:t>
      </w:r>
      <w:r>
        <w:rPr/>
        <w:t xml:space="preserve"> in time.  In late January, when the contracts were agreed upon, Richardson and Sempra did not know that the index basis differential would be “extraordinarily high” in the future.  For example, Mr. Sullivan’s Exhibit No. S</w:t>
        <w:noBreakHyphen/>
        <w:t>3 shows that the price spread in January exceeded $7.50 on only 4 days.  It was unknown to Richardson and Sempra in late-January that the price spread would in fact turn out to exceed $7.50 on 25 out of 28 days in February.  There was no way for Richardson and Sempra to know in late January that the $4.41 average price spread in January would in fact turn out to be almost three times higher, $13.11, in February.  (Exhibit No. S</w:t>
        <w:noBreakHyphen/>
        <w:t>3.)</w:t>
      </w:r>
    </w:p>
    <w:p>
      <w:pPr>
        <w:pStyle w:val="Normal"/>
        <w:spacing w:lineRule="auto" w:line="480"/>
        <w:ind w:hanging="720" w:start="720" w:end="0"/>
        <w:rPr/>
      </w:pPr>
      <w:r>
        <w:rPr/>
        <w:t>Q.</w:t>
        <w:tab/>
        <w:t>Mr. Sullivan states (at 9) that for an index-based rate to have been “a better business deal for Sempra,” the price spread “would have to decline below $1.18. . . .”  He notes (at 9) that the last 10 days of January “show much greater price spreads,” suggesting that Richardson and Sempra should have had no doubt in late-January that the price spreads would never in fact decline to $1.18.  What is your response?</w:t>
      </w:r>
    </w:p>
    <w:p>
      <w:pPr>
        <w:pStyle w:val="Normal"/>
        <w:spacing w:lineRule="auto" w:line="480"/>
        <w:ind w:hanging="720" w:start="720" w:end="0"/>
        <w:rPr/>
      </w:pPr>
      <w:r>
        <w:rPr/>
        <w:t>A.</w:t>
        <w:tab/>
        <w:t>It is a common fallacy in an after-the-fact, hindsight analysis to conclude that there was no chance that high prices could have been lower and no chance that low prices could have been higher.  What actually happened is accepted as the only result that could have happened.  In fact, a marketer looking into the future has no such certainty.  For example, Mr. Sullivan’s own analysis in Exhibit No. S</w:t>
        <w:noBreakHyphen/>
        <w:t xml:space="preserve">3 shows that as recently as January 10, 2001, the price spread </w:t>
      </w:r>
      <w:r>
        <w:rPr>
          <w:u w:val="single"/>
        </w:rPr>
        <w:t>did drop below $1.18</w:t>
      </w:r>
      <w:r>
        <w:rPr/>
        <w:t xml:space="preserve"> </w:t>
        <w:noBreakHyphen/>
        <w:noBreakHyphen/>
        <w:t xml:space="preserve"> it was $0.76.  Further, the price spread was low on a number of other days </w:t>
        <w:noBreakHyphen/>
        <w:noBreakHyphen/>
        <w:t xml:space="preserve"> $1.25 on January 9, 2001; $1.535 on January 6, 7 and 8, 2001 and $1.77 on January 11, 2001.  If the price spread had dropped this low in the recent past, a shipper looking into the future only two weeks later could rationally conclude that the price spread could drop that low again.  The extraordinarily high price spreads in February and March, 2001 that Mr. Sullivan suggests were obvious to everyone in late-January and an inevitable future occurrence are obvious and inevitable only in hindsight.</w:t>
      </w:r>
    </w:p>
    <w:p>
      <w:pPr>
        <w:pStyle w:val="Normal"/>
        <w:spacing w:lineRule="auto" w:line="480"/>
        <w:ind w:hanging="720" w:start="720" w:end="0"/>
        <w:rPr/>
      </w:pPr>
      <w:r>
        <w:rPr/>
        <w:t>Q.</w:t>
        <w:tab/>
        <w:t>Does Mr. Sullivan’s analysis of profits under the recourse rate versus profits under an index-based rate consider the possibility that price spreads could be at a lower level than the “extraordinarily high” levels in January through March, 2001?</w:t>
      </w:r>
    </w:p>
    <w:p>
      <w:pPr>
        <w:pStyle w:val="Normal"/>
        <w:spacing w:lineRule="auto" w:line="480"/>
        <w:ind w:hanging="720" w:start="720" w:end="0"/>
        <w:rPr/>
      </w:pPr>
      <w:r>
        <w:rPr/>
        <w:t>A.</w:t>
        <w:tab/>
        <w:t>No.  He focuses only on the “extraordinarily high” levels in January through March 2001 while ignoring other times when the price spreads were very low.  The table below shows the amount a shipper with a 10,000 MMBtu per day contract would have paid under the recourse rate versus an index-based rate (with gross margin, minus fuel and 50 percent sharing) for the months of February and March in 1998, 1999 and 2000:</w:t>
      </w:r>
    </w:p>
    <w:p>
      <w:pPr>
        <w:pStyle w:val="Normal"/>
        <w:tabs>
          <w:tab w:val="clear" w:pos="720"/>
          <w:tab w:val="center" w:pos="4230" w:leader="none"/>
          <w:tab w:val="right" w:pos="7920" w:leader="none"/>
        </w:tabs>
        <w:ind w:hanging="720" w:start="720" w:end="0"/>
        <w:rPr>
          <w:b/>
          <w:sz w:val="22"/>
        </w:rPr>
      </w:pPr>
      <w:r>
        <w:rPr>
          <w:b/>
          <w:sz w:val="22"/>
        </w:rPr>
        <w:tab/>
        <w:tab/>
        <w:t>Historical February Negotiated Rate Versus FTS-1 Recourse Rate</w:t>
        <w:tab/>
      </w:r>
    </w:p>
    <w:p>
      <w:pPr>
        <w:pStyle w:val="Normal"/>
        <w:tabs>
          <w:tab w:val="clear" w:pos="720"/>
          <w:tab w:val="center" w:pos="1710" w:leader="none"/>
          <w:tab w:val="center" w:pos="3690" w:leader="none"/>
          <w:tab w:val="center" w:pos="5940" w:leader="none"/>
          <w:tab w:val="right" w:pos="7920" w:leader="none"/>
        </w:tabs>
        <w:ind w:hanging="720" w:start="720" w:end="0"/>
        <w:rPr/>
      </w:pPr>
      <w:r>
        <w:rPr>
          <w:b/>
          <w:sz w:val="22"/>
        </w:rPr>
        <w:tab/>
        <w:tab/>
      </w:r>
      <w:r>
        <w:rPr>
          <w:b/>
          <w:sz w:val="22"/>
          <w:u w:val="single"/>
        </w:rPr>
        <w:t>Mo/Year</w:t>
      </w:r>
      <w:r>
        <w:rPr>
          <w:b/>
          <w:sz w:val="22"/>
        </w:rPr>
        <w:tab/>
      </w:r>
      <w:r>
        <w:rPr>
          <w:b/>
          <w:sz w:val="22"/>
          <w:u w:val="single"/>
        </w:rPr>
        <w:t>Negotiated Total</w:t>
      </w:r>
      <w:r>
        <w:rPr>
          <w:b/>
          <w:sz w:val="22"/>
        </w:rPr>
        <w:tab/>
      </w:r>
      <w:r>
        <w:rPr>
          <w:b/>
          <w:sz w:val="22"/>
          <w:u w:val="single"/>
        </w:rPr>
        <w:t>Recourse Total</w:t>
      </w:r>
      <w:r>
        <w:rPr>
          <w:b/>
          <w:sz w:val="22"/>
        </w:rPr>
        <w:tab/>
      </w:r>
    </w:p>
    <w:p>
      <w:pPr>
        <w:pStyle w:val="Normal"/>
        <w:tabs>
          <w:tab w:val="clear" w:pos="720"/>
          <w:tab w:val="left" w:pos="1440" w:leader="none"/>
          <w:tab w:val="right" w:pos="3960" w:leader="none"/>
          <w:tab w:val="right" w:pos="6300" w:leader="none"/>
        </w:tabs>
        <w:ind w:hanging="720" w:start="720" w:end="0"/>
        <w:rPr>
          <w:sz w:val="22"/>
        </w:rPr>
      </w:pPr>
      <w:r>
        <w:rPr>
          <w:sz w:val="22"/>
        </w:rPr>
        <w:tab/>
        <w:tab/>
        <w:t>Feb-98</w:t>
        <w:tab/>
        <w:t>$1,570</w:t>
        <w:tab/>
        <w:t>$72,637</w:t>
      </w:r>
    </w:p>
    <w:p>
      <w:pPr>
        <w:pStyle w:val="Normal"/>
        <w:tabs>
          <w:tab w:val="clear" w:pos="720"/>
          <w:tab w:val="left" w:pos="1440" w:leader="none"/>
          <w:tab w:val="right" w:pos="3960" w:leader="none"/>
          <w:tab w:val="right" w:pos="6300" w:leader="none"/>
        </w:tabs>
        <w:ind w:hanging="720" w:start="720" w:end="0"/>
        <w:rPr>
          <w:sz w:val="22"/>
        </w:rPr>
      </w:pPr>
      <w:r>
        <w:rPr>
          <w:sz w:val="22"/>
        </w:rPr>
        <w:tab/>
        <w:tab/>
        <w:t>Feb-99</w:t>
        <w:tab/>
        <w:t>$2,839</w:t>
        <w:tab/>
        <w:t>$72,637</w:t>
      </w:r>
    </w:p>
    <w:p>
      <w:pPr>
        <w:pStyle w:val="Normal"/>
        <w:tabs>
          <w:tab w:val="clear" w:pos="720"/>
          <w:tab w:val="left" w:pos="1440" w:leader="none"/>
          <w:tab w:val="right" w:pos="3960" w:leader="none"/>
          <w:tab w:val="right" w:pos="6300" w:leader="none"/>
          <w:tab w:val="right" w:pos="7920" w:leader="none"/>
        </w:tabs>
        <w:ind w:hanging="720" w:start="720" w:end="0"/>
        <w:rPr/>
      </w:pPr>
      <w:r>
        <w:rPr>
          <w:sz w:val="22"/>
        </w:rPr>
        <w:tab/>
        <w:tab/>
        <w:t>Feb-00</w:t>
        <w:tab/>
      </w:r>
      <w:r>
        <w:rPr>
          <w:sz w:val="22"/>
          <w:u w:val="single"/>
        </w:rPr>
        <w:t>   $300</w:t>
      </w:r>
      <w:r>
        <w:rPr>
          <w:sz w:val="22"/>
        </w:rPr>
        <w:tab/>
      </w:r>
      <w:r>
        <w:rPr>
          <w:sz w:val="22"/>
          <w:u w:val="single"/>
        </w:rPr>
        <w:t>  $76,460</w:t>
      </w:r>
      <w:r>
        <w:rPr>
          <w:sz w:val="22"/>
        </w:rPr>
        <w:tab/>
      </w:r>
    </w:p>
    <w:p>
      <w:pPr>
        <w:pStyle w:val="Normal"/>
        <w:tabs>
          <w:tab w:val="clear" w:pos="720"/>
          <w:tab w:val="left" w:pos="1440" w:leader="none"/>
          <w:tab w:val="right" w:pos="3960" w:leader="none"/>
          <w:tab w:val="right" w:pos="6300" w:leader="none"/>
          <w:tab w:val="right" w:pos="7920" w:leader="none"/>
        </w:tabs>
        <w:ind w:hanging="720" w:start="720" w:end="0"/>
        <w:rPr/>
      </w:pPr>
      <w:r>
        <w:rPr>
          <w:sz w:val="22"/>
        </w:rPr>
        <w:tab/>
        <w:tab/>
        <w:tab/>
      </w:r>
      <w:r>
        <w:rPr>
          <w:sz w:val="22"/>
          <w:u w:val="double"/>
        </w:rPr>
        <w:t>$4,709</w:t>
      </w:r>
      <w:r>
        <w:rPr>
          <w:sz w:val="22"/>
        </w:rPr>
        <w:tab/>
      </w:r>
      <w:r>
        <w:rPr>
          <w:sz w:val="22"/>
          <w:u w:val="double"/>
        </w:rPr>
        <w:t>$221,734</w:t>
      </w:r>
      <w:r>
        <w:rPr>
          <w:sz w:val="22"/>
        </w:rPr>
        <w:tab/>
      </w:r>
    </w:p>
    <w:p>
      <w:pPr>
        <w:pStyle w:val="Normal"/>
        <w:tabs>
          <w:tab w:val="clear" w:pos="720"/>
          <w:tab w:val="left" w:pos="1440" w:leader="none"/>
          <w:tab w:val="right" w:pos="3960" w:leader="none"/>
          <w:tab w:val="right" w:pos="6300" w:leader="none"/>
          <w:tab w:val="right" w:pos="7920" w:leader="none"/>
        </w:tabs>
        <w:ind w:hanging="720" w:start="720" w:end="0"/>
        <w:rPr>
          <w:sz w:val="22"/>
        </w:rPr>
      </w:pPr>
      <w:r>
        <w:rPr>
          <w:sz w:val="22"/>
        </w:rPr>
      </w:r>
      <w:r>
        <w:br w:type="page"/>
      </w:r>
    </w:p>
    <w:p>
      <w:pPr>
        <w:pStyle w:val="Normal"/>
        <w:tabs>
          <w:tab w:val="clear" w:pos="720"/>
          <w:tab w:val="center" w:pos="4230" w:leader="none"/>
          <w:tab w:val="right" w:pos="7920" w:leader="none"/>
        </w:tabs>
        <w:ind w:hanging="720" w:start="720" w:end="0"/>
        <w:rPr>
          <w:b/>
          <w:sz w:val="22"/>
        </w:rPr>
      </w:pPr>
      <w:r>
        <w:rPr>
          <w:b/>
          <w:sz w:val="22"/>
        </w:rPr>
        <w:tab/>
        <w:tab/>
        <w:t>Historical March Negotiated Rate Versus FTS-1 Recourse Rate</w:t>
        <w:tab/>
      </w:r>
    </w:p>
    <w:p>
      <w:pPr>
        <w:pStyle w:val="Normal"/>
        <w:tabs>
          <w:tab w:val="clear" w:pos="720"/>
          <w:tab w:val="center" w:pos="1710" w:leader="none"/>
          <w:tab w:val="center" w:pos="3690" w:leader="none"/>
          <w:tab w:val="center" w:pos="5940" w:leader="none"/>
          <w:tab w:val="right" w:pos="7920" w:leader="none"/>
        </w:tabs>
        <w:ind w:hanging="720" w:start="720" w:end="0"/>
        <w:rPr>
          <w:b/>
          <w:sz w:val="22"/>
          <w:u w:val="single"/>
        </w:rPr>
      </w:pPr>
      <w:r>
        <w:rPr>
          <w:b/>
          <w:sz w:val="22"/>
        </w:rPr>
        <w:tab/>
        <w:tab/>
      </w:r>
      <w:r>
        <w:rPr>
          <w:b/>
          <w:sz w:val="22"/>
          <w:u w:val="single"/>
        </w:rPr>
        <w:t>Mo/Year</w:t>
      </w:r>
      <w:r>
        <w:rPr>
          <w:b/>
          <w:sz w:val="22"/>
        </w:rPr>
        <w:tab/>
      </w:r>
      <w:r>
        <w:rPr>
          <w:b/>
          <w:sz w:val="22"/>
          <w:u w:val="single"/>
        </w:rPr>
        <w:t>Negotiated Total</w:t>
      </w:r>
      <w:r>
        <w:rPr>
          <w:b/>
          <w:sz w:val="22"/>
        </w:rPr>
        <w:tab/>
      </w:r>
      <w:r>
        <w:rPr>
          <w:b/>
          <w:sz w:val="22"/>
          <w:u w:val="single"/>
        </w:rPr>
        <w:t>Recourse Total</w:t>
      </w:r>
      <w:r>
        <w:rPr>
          <w:b/>
          <w:sz w:val="22"/>
        </w:rPr>
        <w:tab/>
      </w:r>
    </w:p>
    <w:p>
      <w:pPr>
        <w:pStyle w:val="Normal"/>
        <w:tabs>
          <w:tab w:val="clear" w:pos="720"/>
          <w:tab w:val="left" w:pos="1440" w:leader="none"/>
          <w:tab w:val="right" w:pos="3960" w:leader="none"/>
          <w:tab w:val="right" w:pos="6300" w:leader="none"/>
        </w:tabs>
        <w:ind w:hanging="720" w:start="720" w:end="0"/>
        <w:rPr>
          <w:sz w:val="22"/>
        </w:rPr>
      </w:pPr>
      <w:r>
        <w:rPr>
          <w:sz w:val="22"/>
        </w:rPr>
        <w:tab/>
        <w:tab/>
        <w:t>Mar-98</w:t>
        <w:tab/>
        <w:t>$4,021</w:t>
        <w:tab/>
        <w:t>$84,106</w:t>
      </w:r>
    </w:p>
    <w:p>
      <w:pPr>
        <w:pStyle w:val="Normal"/>
        <w:tabs>
          <w:tab w:val="clear" w:pos="720"/>
          <w:tab w:val="left" w:pos="1440" w:leader="none"/>
          <w:tab w:val="right" w:pos="3960" w:leader="none"/>
          <w:tab w:val="right" w:pos="6300" w:leader="none"/>
        </w:tabs>
        <w:ind w:hanging="720" w:start="720" w:end="0"/>
        <w:rPr>
          <w:sz w:val="22"/>
        </w:rPr>
      </w:pPr>
      <w:r>
        <w:rPr>
          <w:sz w:val="22"/>
        </w:rPr>
        <w:tab/>
        <w:tab/>
        <w:t>Mar-99</w:t>
        <w:tab/>
        <w:t>$713</w:t>
        <w:tab/>
        <w:t>$87,929</w:t>
      </w:r>
    </w:p>
    <w:p>
      <w:pPr>
        <w:pStyle w:val="Normal"/>
        <w:tabs>
          <w:tab w:val="clear" w:pos="720"/>
          <w:tab w:val="left" w:pos="1440" w:leader="none"/>
          <w:tab w:val="right" w:pos="3960" w:leader="none"/>
          <w:tab w:val="right" w:pos="6300" w:leader="none"/>
          <w:tab w:val="right" w:pos="7920" w:leader="none"/>
        </w:tabs>
        <w:ind w:hanging="720" w:start="720" w:end="0"/>
        <w:rPr/>
      </w:pPr>
      <w:r>
        <w:rPr>
          <w:sz w:val="22"/>
        </w:rPr>
        <w:tab/>
        <w:tab/>
        <w:t>Mar-00</w:t>
        <w:tab/>
      </w:r>
      <w:r>
        <w:rPr>
          <w:sz w:val="22"/>
          <w:u w:val="single"/>
        </w:rPr>
        <w:t>   $371</w:t>
      </w:r>
      <w:r>
        <w:rPr>
          <w:sz w:val="22"/>
        </w:rPr>
        <w:tab/>
      </w:r>
      <w:r>
        <w:rPr>
          <w:sz w:val="22"/>
          <w:u w:val="single"/>
        </w:rPr>
        <w:t>  $87,929</w:t>
      </w:r>
      <w:r>
        <w:rPr>
          <w:sz w:val="22"/>
        </w:rPr>
        <w:tab/>
      </w:r>
    </w:p>
    <w:p>
      <w:pPr>
        <w:pStyle w:val="Normal"/>
        <w:tabs>
          <w:tab w:val="clear" w:pos="720"/>
          <w:tab w:val="left" w:pos="1440" w:leader="none"/>
          <w:tab w:val="right" w:pos="3960" w:leader="none"/>
          <w:tab w:val="right" w:pos="6300" w:leader="none"/>
          <w:tab w:val="right" w:pos="7920" w:leader="none"/>
        </w:tabs>
        <w:ind w:hanging="720" w:start="720" w:end="0"/>
        <w:rPr/>
      </w:pPr>
      <w:r>
        <w:rPr>
          <w:sz w:val="22"/>
        </w:rPr>
        <w:tab/>
        <w:tab/>
        <w:tab/>
      </w:r>
      <w:r>
        <w:rPr>
          <w:sz w:val="22"/>
          <w:u w:val="double"/>
        </w:rPr>
        <w:t>$5,105</w:t>
      </w:r>
      <w:r>
        <w:rPr>
          <w:sz w:val="22"/>
        </w:rPr>
        <w:tab/>
      </w:r>
      <w:r>
        <w:rPr>
          <w:sz w:val="22"/>
          <w:u w:val="double"/>
        </w:rPr>
        <w:t>$259,964</w:t>
      </w:r>
      <w:r>
        <w:rPr>
          <w:sz w:val="22"/>
        </w:rPr>
        <w:tab/>
      </w:r>
    </w:p>
    <w:p>
      <w:pPr>
        <w:pStyle w:val="Normal"/>
        <w:tabs>
          <w:tab w:val="clear" w:pos="720"/>
          <w:tab w:val="left" w:pos="1440" w:leader="none"/>
          <w:tab w:val="right" w:pos="3960" w:leader="none"/>
          <w:tab w:val="right" w:pos="6300" w:leader="none"/>
          <w:tab w:val="right" w:pos="7920" w:leader="none"/>
        </w:tabs>
        <w:ind w:hanging="720" w:start="720" w:end="0"/>
        <w:rPr>
          <w:sz w:val="22"/>
        </w:rPr>
      </w:pPr>
      <w:r>
        <w:rPr>
          <w:sz w:val="22"/>
        </w:rPr>
      </w:r>
    </w:p>
    <w:p>
      <w:pPr>
        <w:pStyle w:val="Normal"/>
        <w:spacing w:lineRule="auto" w:line="480"/>
        <w:ind w:hanging="720" w:start="720" w:end="0"/>
        <w:rPr/>
      </w:pPr>
      <w:r>
        <w:rPr/>
        <w:tab/>
        <w:t xml:space="preserve">As shown above, the marketer would have paid more under the recourse rate than the negotiated rate.  </w:t>
      </w:r>
    </w:p>
    <w:p>
      <w:pPr>
        <w:pStyle w:val="Normal"/>
        <w:spacing w:lineRule="auto" w:line="480"/>
        <w:ind w:hanging="720" w:start="720" w:end="0"/>
        <w:rPr/>
      </w:pPr>
      <w:r>
        <w:rPr/>
        <w:t>Q.</w:t>
        <w:tab/>
        <w:t>In your prepared direct testimony, you explained that one reason Richardson and Sempra elected an index-based volumetric rate was that they avoided the demand cost risks inherent in the traditional recourse rate structure because they were only obligated to pay the volumetric rate if and when the gas flows.  Mr. Sullivan alleges (at 7) that this reason is “spurious” because the contracts were for day-to-day service and the shipper could “cancel with two hours notice” and “not paid any additional demand charges to Transwestern.”  What is your response?</w:t>
      </w:r>
    </w:p>
    <w:p>
      <w:pPr>
        <w:pStyle w:val="Normal"/>
        <w:spacing w:lineRule="auto" w:line="480"/>
        <w:ind w:hanging="720" w:start="720" w:end="0"/>
        <w:rPr/>
      </w:pPr>
      <w:r>
        <w:rPr/>
        <w:t>A.</w:t>
        <w:tab/>
        <w:t>Mr. Sullivan ignores two facts.  First, he is wrong in stating that the shipper could have cancelled with 2 hours notice and “not paid any additional demand charges to Transwestern.”  To cancel the contract, notice of cancellation had to be provided “at least 2 hours prior to the nomination deadline. . . .”  (See, e.g., Sempra contract for February, Exhibit No. TW</w:t>
        <w:noBreakHyphen/>
        <w:t xml:space="preserve">4 at 1.)  However, because of the timing of the nomination deadline, Richardson and Sempra would have paid additional demand charges for at least one day.  For example, the nomination deadline for gas flow on February 16th is 11:30 a.m. on February 15th.  Even if the shipper could evaluate the markets, decide it wanted to cancel and provide notice of cancellation before 9:30 a.m. on February 15th, the notice is not applicable until the Feb. 16th gas day and the shipper is obligated to pay the demand charge for February 15 even though it wanted to cancel on February 15th.  Under a more realistic scenario, a shipper would not be able to evaluate markets until </w:t>
      </w:r>
      <w:r>
        <w:rPr>
          <w:u w:val="single"/>
        </w:rPr>
        <w:t>after</w:t>
      </w:r>
      <w:r>
        <w:rPr/>
        <w:t xml:space="preserve"> 9:30 a.m. on February 15th.  In that case, its notice would not be applicable until the February 17th gas day and the shipper would be obligated to pay the demand charge for both February 15th and February 16th even though it wanted to cancel on February 15th.</w:t>
      </w:r>
    </w:p>
    <w:p>
      <w:pPr>
        <w:pStyle w:val="Normal"/>
        <w:spacing w:lineRule="auto" w:line="480"/>
        <w:ind w:hanging="720" w:start="720" w:end="0"/>
        <w:rPr/>
      </w:pPr>
      <w:r>
        <w:rPr/>
        <w:tab/>
        <w:tab/>
        <w:t xml:space="preserve">Second, Mr. Sullivan ignores the fact that cancellation of the contract to avoid demand charges under the recourse rate has far different consequences than not flowing gas under an index-based volumetric rate.  If the shipper cancels the contract, the capacity is re-posted and the shipper will not obtain the capacity for the rest of the month if another shipper submits a bid at the recourse rate or at a negotiated rate above the recourse rate and wins the lottery.  If the shipper was attempting to serve a market for the whole month, it would not be able to do so.  In other words, canceling a recourse rate contract has a significant potential opportunity cost. In contrast to canceling the contract to avoid demand charges and potentially taking itself out of the market for the rest of the month, a shipper under an index-based volumetric rate is in the market every day of the month and, if for some reason gas does not flow, it does not pay anything.  There is no opportunity cost to being out of the market for a day or series of days under a volumetric negotiated rate contract. </w:t>
      </w:r>
    </w:p>
    <w:p>
      <w:pPr>
        <w:pStyle w:val="Normal"/>
        <w:spacing w:lineRule="auto" w:line="480"/>
        <w:ind w:hanging="720" w:start="720" w:end="0"/>
        <w:rPr/>
      </w:pPr>
      <w:r>
        <w:rPr/>
        <w:t>Q.</w:t>
        <w:tab/>
        <w:t>Was the capacity at issue available at the recourse rate?</w:t>
      </w:r>
    </w:p>
    <w:p>
      <w:pPr>
        <w:pStyle w:val="Normal"/>
        <w:spacing w:lineRule="auto" w:line="480"/>
        <w:ind w:hanging="720" w:start="720" w:end="0"/>
        <w:rPr/>
      </w:pPr>
      <w:r>
        <w:rPr/>
        <w:t>A.</w:t>
        <w:tab/>
        <w:t>Yes.  I agree with Mr. Sullivan’s statement (at 11) that “[w]hen capacity is posted on the web site, shippers on Transwestern know how much capacity is available at the recourse rate.”  The undisputed fact is that the capacity at issue was posted on Transwestern’s web site.  Accordingly, as stated by Mr. Sullivan, shippers know that such capacity is available at the recourse rate.  The essence of the Commission’s negotiated rate policy is that a potential shipper is entitled to the recourse rate unless it selects a negotiated rate.  This matter was discussed at length in the negotiated rate policy statement proceeding and arises in other contexts and proceedings, as well, such as Transwestern’s filing for options contracts in Docket No. RP01</w:t>
        <w:noBreakHyphen/>
        <w:t>56.  In the January 9, 2001 technical conference in that docket, which I attended along with a number of shippers on Transwestern, including Stephanie Katz of Sempra, Transwestern discussed the fact that while its proposal provided additional alternatives for acquiring capacity, there was no change to the fact that a shipper is entitled to the recourse rate unless it elects a negotiated rate.</w:t>
      </w:r>
    </w:p>
    <w:p>
      <w:pPr>
        <w:pStyle w:val="Normal"/>
        <w:spacing w:lineRule="auto" w:line="480"/>
        <w:ind w:hanging="720" w:start="720" w:end="0"/>
        <w:rPr/>
      </w:pPr>
      <w:r>
        <w:rPr/>
        <w:t>Q.</w:t>
        <w:tab/>
        <w:t>Is there any basis to Mr. Sullivan’s allegation (at 12) that Transwestern’s actions in selling operational capacity somehow involve “threatening to withhold the capacity unless the shipper agrees to the negotiated rates”?</w:t>
      </w:r>
    </w:p>
    <w:p>
      <w:pPr>
        <w:pStyle w:val="Normal"/>
        <w:spacing w:lineRule="auto" w:line="480"/>
        <w:ind w:hanging="720" w:start="720" w:end="0"/>
        <w:rPr/>
      </w:pPr>
      <w:r>
        <w:rPr/>
        <w:t>A.</w:t>
        <w:tab/>
        <w:t xml:space="preserve">No.  Transwestern has in fact sold operational capacity at the recourse rate.  Operational capacity was posted and sold to Tenaska Gas Ventures (“Tenaska”) at the recourse rate.  The transaction with Tenaska involved a Limited Firm Transportation (“LFT”) contract with a contract quantity of 20,000 dth/day for January and February and 10,000 dth/day for March, for transportation to the California border. </w:t>
      </w:r>
    </w:p>
    <w:p>
      <w:pPr>
        <w:pStyle w:val="Normal"/>
        <w:spacing w:lineRule="auto" w:line="480"/>
        <w:ind w:hanging="720" w:start="720" w:end="0"/>
        <w:rPr/>
      </w:pPr>
      <w:r>
        <w:rPr/>
        <w:t>Q.</w:t>
      </w:r>
      <w:r>
        <w:rPr>
          <w:b/>
        </w:rPr>
        <w:tab/>
      </w:r>
      <w:r>
        <w:rPr/>
        <w:t>Why was the operational capacity sold to Tenaska under a LFT contract as opposed to the daily FT transactions with Sempra and Richardson for February and March 2001?</w:t>
      </w:r>
    </w:p>
    <w:p>
      <w:pPr>
        <w:pStyle w:val="Normal"/>
        <w:spacing w:lineRule="auto" w:line="480"/>
        <w:ind w:hanging="720" w:start="720" w:end="0"/>
        <w:rPr/>
      </w:pPr>
      <w:r>
        <w:rPr/>
        <w:t>A.</w:t>
        <w:tab/>
        <w:t xml:space="preserve">Under Transwestern’s LFT tariff provisions, LFT service is firm for an entire month, but subject to Transwestern’s right to not schedule service in whole or in part on any day, for up to 10 days per month.  The 20,000 dth/day sold to Tenaska for January and February, with 10,000 dth/day for March, was determined by Transwestern’s Gas Control and Facility Planning Department to be operationally firm enough to be sold for the entire month as LFT.  However, the additional 15,000 dth/day of operational capacity sold to Sempra in February and March and the 10,000 dth/day sold to Richardson for February and March was determined by Gas Control and Facility Planning to be operationally firm enough to be sold only on a daily firm basis, which could be extended day-to-day thereafter if the capacity continued to be available. </w:t>
      </w:r>
    </w:p>
    <w:p>
      <w:pPr>
        <w:pStyle w:val="Normal"/>
        <w:spacing w:lineRule="auto" w:line="480"/>
        <w:ind w:hanging="720" w:start="720" w:end="0"/>
        <w:rPr/>
      </w:pPr>
      <w:r>
        <w:rPr/>
        <w:t>Q.</w:t>
        <w:tab/>
        <w:t>Are a shipper’s risks different under an LFT transaction as opposed to a daily firm transaction?</w:t>
      </w:r>
    </w:p>
    <w:p>
      <w:pPr>
        <w:pStyle w:val="Normal"/>
        <w:spacing w:lineRule="auto" w:line="480"/>
        <w:ind w:hanging="720" w:start="720" w:end="0"/>
        <w:rPr/>
      </w:pPr>
      <w:r>
        <w:rPr/>
        <w:t>A.</w:t>
        <w:tab/>
        <w:t xml:space="preserve">Yes.  As I discussed above, the operational capacity was sold under an LFT agreement because Gas Control and Facility Planning had determined that this capacity would be available for the entire month, subject to the protection afforded under the LFT rate schedule for Transwestern, if operational conditions warranted.  A shipper therefore has a greater assurance that the gas would flow on each day of the month, which enables it to limit its financial risk by hedging and locking in a margin.  Under this risk profile, a shipper may elect the recourse rate because it is able to reduce or eliminate the demand risk with hedging.  In contrast, as discussed in my Prepared Direct Testimony, shippers may elect a volumetric rate when the capacity is available only on a daily basis and the shippers are effectively unable to lock in a margin by use of hedging and derivatives.  </w:t>
      </w:r>
    </w:p>
    <w:p>
      <w:pPr>
        <w:pStyle w:val="Normal"/>
        <w:spacing w:lineRule="auto" w:line="480"/>
        <w:ind w:hanging="720" w:start="720" w:end="0"/>
        <w:rPr/>
      </w:pPr>
      <w:r>
        <w:rPr/>
        <w:t>Q.</w:t>
        <w:tab/>
        <w:t>Mr. Sullivan alleges (at 15) that “Transwestern acted in a discriminatory manner by negotiating and arranging these transactions well in advance of the capacity being offered on its website.”  What is your response?</w:t>
      </w:r>
    </w:p>
    <w:p>
      <w:pPr>
        <w:pStyle w:val="Normal"/>
        <w:spacing w:lineRule="auto" w:line="480"/>
        <w:ind w:hanging="720" w:start="720" w:end="0"/>
        <w:rPr/>
      </w:pPr>
      <w:r>
        <w:rPr/>
        <w:t>A.</w:t>
        <w:tab/>
        <w:t>Mr. Sullivan seems to be suggesting that discussions prior to the posting of the capacity could somehow give Richardson and Sempra a right or entitlement to the capacity to the exclusion of other potential shippers.  This did not happen and could not happen because the capacity was required to be posted and the undisputed fact is that it was posted in accordance with Transwestern’s tariff.  Further, Richardson and Sempra were required to submit bids on the posted capacity and the undisputed fact is they did submit bids for the post capacity.  Finally, the undisputed fact is that no other shipper submitted a bid during the posting period and it was only after the end of the posting period that the capacity was awarded to Richardson and Sempra and contracts were executed.  If more than one bid had been submitted, Transwestern would have followed the allocation procedures in its tariff and held a lottery, which Richardson and Sempra may or may not have won.  Thus, the suggestion that there was some deal or agreement prior to the posting which gave Richardson or Sempra a right or entitlement to the capacity is contrary to the facts.</w:t>
      </w:r>
    </w:p>
    <w:p>
      <w:pPr>
        <w:pStyle w:val="Normal"/>
        <w:spacing w:lineRule="auto" w:line="480"/>
        <w:ind w:hanging="720" w:start="720" w:end="0"/>
        <w:rPr/>
      </w:pPr>
      <w:r>
        <w:rPr/>
        <w:t>Q.</w:t>
        <w:tab/>
        <w:t>Does this conclude your prepared rebuttal testimony?</w:t>
      </w:r>
    </w:p>
    <w:p>
      <w:pPr>
        <w:pStyle w:val="Normal"/>
        <w:spacing w:lineRule="auto" w:line="480"/>
        <w:ind w:hanging="720" w:start="720" w:end="0"/>
        <w:rPr/>
      </w:pPr>
      <w:r>
        <w:rPr/>
        <w:t>A.</w:t>
        <w:tab/>
        <w:t>Yes.</w:t>
      </w:r>
    </w:p>
    <w:sectPr>
      <w:type w:val="continuous"/>
      <w:pgSz w:w="12240" w:h="15840"/>
      <w:pgMar w:left="2160" w:right="2160" w:gutter="0" w:header="720" w:top="1440" w:footer="0" w:bottom="144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Exhibit No. TW-21</w:t>
    </w:r>
  </w:p>
  <w:p>
    <w:pPr>
      <w:pStyle w:val="Head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14</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Exhibit No. TW-21</w:t>
    </w:r>
  </w:p>
  <w:p>
    <w:pPr>
      <w:pStyle w:val="Head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14</w:t>
    </w:r>
    <w:r>
      <w:rPr>
        <w:rStyle w:val="PageNumber"/>
      </w:rPr>
      <w:fldChar w:fldCharType="end"/>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bidi="ar-SA" w:eastAsia="zh-CN"/>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position w:val="0"/>
      <w:sz w:val="24"/>
      <w:sz w:val="24"/>
      <w:u w:val="single"/>
      <w:vertAlign w:val="baseline"/>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jc w:val="start"/>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2001-08-27T16:41:00Z</dcterms:created>
  <dc:creator>Linda</dc:creator>
  <dc:description/>
  <dc:language>en-CA</dc:language>
  <cp:lastModifiedBy>Akin Gump</cp:lastModifiedBy>
  <cp:lastPrinted>2001-08-27T14:57:00Z</cp:lastPrinted>
  <dcterms:modified xsi:type="dcterms:W3CDTF">2001-08-27T16:41:00Z</dcterms:modified>
  <cp:revision>2</cp:revision>
  <dc:subject/>
  <dc:title>UNITED STATES OF AMERICA</dc:title>
</cp:coreProperties>
</file>