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BEFORE THE</w:t>
      </w:r>
    </w:p>
    <w:p>
      <w:pPr>
        <w:pStyle w:val="Normal"/>
        <w:jc w:val="center"/>
        <w:rPr>
          <w:b/>
        </w:rPr>
      </w:pPr>
      <w:r>
        <w:rPr>
          <w:b/>
        </w:rPr>
        <w:t>PUBLIC UTILITIES COMMISSION</w:t>
      </w:r>
    </w:p>
    <w:p>
      <w:pPr>
        <w:pStyle w:val="Normal"/>
        <w:jc w:val="center"/>
        <w:rPr>
          <w:b/>
        </w:rPr>
      </w:pPr>
      <w:r>
        <w:rPr>
          <w:b/>
        </w:rPr>
        <w:t>OF THE</w:t>
      </w:r>
    </w:p>
    <w:p>
      <w:pPr>
        <w:pStyle w:val="Normal"/>
        <w:jc w:val="center"/>
        <w:rPr>
          <w:b/>
        </w:rPr>
      </w:pPr>
      <w:r>
        <w:rPr>
          <w:b/>
        </w:rPr>
        <w:t>STATE OF CALIFORNIA</w:t>
      </w:r>
    </w:p>
    <w:p>
      <w:pPr>
        <w:pStyle w:val="Normal"/>
        <w:jc w:val="center"/>
        <w:rPr>
          <w:b/>
        </w:rPr>
      </w:pPr>
      <w:r>
        <w:rPr>
          <w:b/>
        </w:rPr>
      </w:r>
    </w:p>
    <w:p>
      <w:pPr>
        <w:pStyle w:val="Normal"/>
        <w:jc w:val="center"/>
        <w:rPr>
          <w:b/>
        </w:rPr>
      </w:pPr>
      <w:r>
        <w:rPr>
          <w:b/>
        </w:rPr>
      </w:r>
    </w:p>
    <w:p>
      <w:pPr>
        <w:pStyle w:val="BodyText"/>
        <w:spacing w:lineRule="auto" w:line="240"/>
        <w:rPr>
          <w:rFonts w:ascii="Courier New" w:hAnsi="Courier New" w:cs="Courier New"/>
          <w:b/>
        </w:rPr>
      </w:pPr>
      <w:r>
        <w:rPr>
          <w:rFonts w:cs="Courier New" w:ascii="Courier New" w:hAnsi="Courier New"/>
          <w:b/>
        </w:rPr>
        <w:t>Investigation on the Commission’s Own Motion  )</w:t>
      </w:r>
    </w:p>
    <w:p>
      <w:pPr>
        <w:pStyle w:val="BodyText"/>
        <w:spacing w:lineRule="auto" w:line="240"/>
        <w:rPr>
          <w:rFonts w:ascii="Courier New" w:hAnsi="Courier New" w:cs="Courier New"/>
          <w:b/>
        </w:rPr>
      </w:pPr>
      <w:r>
        <w:rPr>
          <w:rFonts w:cs="Courier New" w:ascii="Courier New" w:hAnsi="Courier New"/>
          <w:b/>
        </w:rPr>
        <w:t>To Consider the Costs and Benefits of Various ) I.99-07-003</w:t>
      </w:r>
    </w:p>
    <w:p>
      <w:pPr>
        <w:pStyle w:val="BodyText"/>
        <w:spacing w:lineRule="auto" w:line="240"/>
        <w:rPr>
          <w:rFonts w:ascii="Courier New" w:hAnsi="Courier New" w:cs="Courier New"/>
          <w:b/>
        </w:rPr>
      </w:pPr>
      <w:r>
        <w:rPr>
          <w:rFonts w:cs="Courier New" w:ascii="Courier New" w:hAnsi="Courier New"/>
          <w:b/>
        </w:rPr>
        <w:t>Promising Revisions to the Regulatory and     )</w:t>
      </w:r>
    </w:p>
    <w:p>
      <w:pPr>
        <w:pStyle w:val="BodyText"/>
        <w:spacing w:lineRule="auto" w:line="240"/>
        <w:rPr>
          <w:rFonts w:ascii="Courier New" w:hAnsi="Courier New" w:cs="Courier New"/>
          <w:b/>
        </w:rPr>
      </w:pPr>
      <w:r>
        <w:rPr>
          <w:rFonts w:cs="Courier New" w:ascii="Courier New" w:hAnsi="Courier New"/>
          <w:b/>
        </w:rPr>
        <w:t>Market Structure Governing California’s       )</w:t>
      </w:r>
    </w:p>
    <w:p>
      <w:pPr>
        <w:pStyle w:val="BodyText"/>
        <w:spacing w:lineRule="auto" w:line="240"/>
        <w:rPr>
          <w:rFonts w:ascii="Courier New" w:hAnsi="Courier New" w:cs="Courier New"/>
          <w:b/>
        </w:rPr>
      </w:pPr>
      <w:r>
        <w:rPr>
          <w:rFonts w:cs="Courier New" w:ascii="Courier New" w:hAnsi="Courier New"/>
          <w:b/>
        </w:rPr>
        <w:t>Natural Gas Industry and to Report to the     )</w:t>
      </w:r>
    </w:p>
    <w:p>
      <w:pPr>
        <w:pStyle w:val="BodyText"/>
        <w:spacing w:lineRule="auto" w:line="240"/>
        <w:rPr>
          <w:rFonts w:ascii="Courier New" w:hAnsi="Courier New" w:cs="Courier New"/>
          <w:b/>
        </w:rPr>
      </w:pPr>
      <w:r>
        <w:rPr>
          <w:rFonts w:cs="Courier New" w:ascii="Courier New" w:hAnsi="Courier New"/>
          <w:b/>
        </w:rPr>
        <w:t>California Legislature on the Commission’s    )</w:t>
      </w:r>
    </w:p>
    <w:p>
      <w:pPr>
        <w:pStyle w:val="BodyText"/>
        <w:spacing w:lineRule="auto" w:line="240"/>
        <w:rPr>
          <w:rFonts w:ascii="Courier New" w:hAnsi="Courier New" w:cs="Courier New"/>
          <w:b/>
        </w:rPr>
      </w:pPr>
      <w:r>
        <w:rPr>
          <w:rFonts w:cs="Courier New" w:ascii="Courier New" w:hAnsi="Courier New"/>
          <w:b/>
        </w:rPr>
        <w:t>Findings                                      )</w:t>
      </w:r>
    </w:p>
    <w:p>
      <w:pPr>
        <w:pStyle w:val="BodyText"/>
        <w:spacing w:lineRule="auto" w:line="240"/>
        <w:rPr>
          <w:rFonts w:ascii="Courier New" w:hAnsi="Courier New" w:cs="Courier New"/>
          <w:b/>
        </w:rPr>
      </w:pPr>
      <w:r>
        <w:rPr>
          <w:rFonts w:cs="Courier New" w:ascii="Courier New" w:hAnsi="Courier New"/>
          <w:b/>
        </w:rPr>
        <w:t>______________________________________________)</w:t>
      </w:r>
    </w:p>
    <w:p>
      <w:pPr>
        <w:pStyle w:val="Footer"/>
        <w:tabs>
          <w:tab w:val="clear" w:pos="4320"/>
          <w:tab w:val="clear" w:pos="8640"/>
        </w:tabs>
        <w:rPr>
          <w:rFonts w:ascii="Courier New" w:hAnsi="Courier New" w:cs="Courier New"/>
          <w:b/>
        </w:rPr>
      </w:pPr>
      <w:r>
        <w:rPr>
          <w:rFonts w:cs="Courier New"/>
          <w:b/>
        </w:rPr>
      </w:r>
    </w:p>
    <w:p>
      <w:pPr>
        <w:pStyle w:val="Normal"/>
        <w:jc w:val="center"/>
        <w:rPr/>
      </w:pPr>
      <w:r>
        <w:rPr/>
      </w:r>
    </w:p>
    <w:p>
      <w:pPr>
        <w:pStyle w:val="Normal"/>
        <w:jc w:val="center"/>
        <w:rPr>
          <w:b/>
        </w:rPr>
      </w:pPr>
      <w:r>
        <w:rPr>
          <w:b/>
        </w:rPr>
        <w:t>PETITION OF SOUTHERN CALIFORNIA GAS COMPANY (U 904 G)</w:t>
      </w:r>
    </w:p>
    <w:p>
      <w:pPr>
        <w:pStyle w:val="BodyText2"/>
        <w:rPr/>
      </w:pPr>
      <w:r>
        <w:rPr/>
        <w:t>TO SET ASIDE SUBMISSION AND RECEIVE AMENDMENT OF SETTLEMENT AGREEMENT, AND MOTION TO SHORTEN TIME FOR COMMENTS ON AMENDMENT OF SETTLEMENT AGREEMENT</w:t>
      </w:r>
    </w:p>
    <w:p>
      <w:pPr>
        <w:pStyle w:val="Normal"/>
        <w:jc w:val="center"/>
        <w:rPr/>
      </w:pPr>
      <w:r>
        <w:rPr/>
      </w:r>
    </w:p>
    <w:p>
      <w:pPr>
        <w:pStyle w:val="Normal"/>
        <w:jc w:val="center"/>
        <w:rPr/>
      </w:pPr>
      <w:r>
        <w:rPr/>
      </w:r>
    </w:p>
    <w:p>
      <w:pPr>
        <w:pStyle w:val="Normal"/>
        <w:spacing w:lineRule="auto" w:line="360"/>
        <w:rPr/>
      </w:pPr>
      <w:r>
        <w:rPr/>
        <w:tab/>
        <w:t>Pursuant to Rule 84 and Rules 51 to 51.10 of the Commission’s Rules of Practice and Procedure, Southern California Gas Company ("SoCalGas") hereby requests that the Commission set aside submission of that portion of I.99-07-003 addressing regulatory changes applicable to SoCalGas and SDG&amp;E in order to receive in the record an amendment to the Comprehensive Settlement that was originally filed April 17, 2000, and the attached declaration of Robert Betonte relating to that amendment.  SoCalGas also moves that the time for responses to this petition and to the modification of the Comprehensive Settlement be shortened to October 5, 2000 (15 days from the filing of this Petition and Motion).</w:t>
      </w:r>
    </w:p>
    <w:p>
      <w:pPr>
        <w:pStyle w:val="Normal"/>
        <w:spacing w:lineRule="auto" w:line="360"/>
        <w:ind w:firstLine="720" w:end="0"/>
        <w:rPr/>
      </w:pPr>
      <w:r>
        <w:rPr/>
        <w:t xml:space="preserve">The Comprehensive Settlement provides in Part II, Sections 3.3.2, 3.3.3, and 6.3 for SoCalGas to contract with an affiliate of Altra Energy Technologies, Inc. (“Altra”) to provide through at least December 31, 2002, an electronic trading platform for OFO day imbalance “chip” trading, monthly imbalance trading, backbone transmission rights trading, and storage rights trading.  Altra is also named as the provider of similar services on the gas system of Pacific Gas and Electric Company (“PG&amp;E”) in its settlement submitted on January 28, 2000, that was approved in D.00-05-049. </w:t>
      </w:r>
    </w:p>
    <w:p>
      <w:pPr>
        <w:pStyle w:val="Normal"/>
        <w:spacing w:lineRule="auto" w:line="360"/>
        <w:ind w:firstLine="720" w:end="0"/>
        <w:rPr/>
      </w:pPr>
      <w:r>
        <w:rPr/>
        <w:t xml:space="preserve">As stated in the attached declaration of Robert Betonte, Altra informed SoCalGas (and PG&amp;E) last month that it was not willing to proceed to contract to provide the services that the Comprehensive Settlement and the PG&amp;E settlement state that it, by name, would provide.  Subsequent efforts to see if there were any reasonable conditions under which Altra would reconsider its refusal failed to produce results.  An amendment to the Comprehensive Settlement then became necessary. </w:t>
      </w:r>
    </w:p>
    <w:p>
      <w:pPr>
        <w:pStyle w:val="Normal"/>
        <w:spacing w:lineRule="auto" w:line="360"/>
        <w:ind w:firstLine="720" w:end="0"/>
        <w:rPr/>
      </w:pPr>
      <w:r>
        <w:rPr/>
        <w:t>It would be impossible to comply literally with the Comprehensive Settlement as submitted on April 17, 2000, because Altra will not agree to provide the services it was named to provide.  Furthermore, SoCalGas believes that the withdrawal of Altra at this point will probably make it impossible for SoCalGas to find an alternative third party service provider (“TPSP”) in time to have that provider’s service available on April 1, 2001, as anticipated under the CSA.</w:t>
      </w:r>
      <w:r>
        <w:rPr>
          <w:rStyle w:val="FootnoteCharacters"/>
          <w:rStyle w:val="FootnoteReference"/>
        </w:rPr>
        <w:footnoteReference w:id="2"/>
      </w:r>
      <w:r>
        <w:br w:type="page"/>
      </w:r>
    </w:p>
    <w:p>
      <w:pPr>
        <w:pStyle w:val="Normal"/>
        <w:spacing w:lineRule="auto" w:line="360"/>
        <w:ind w:firstLine="720" w:end="0"/>
        <w:rPr/>
      </w:pPr>
      <w:r>
        <w:rPr/>
        <w:t>The attached amendment to the Comprehensive Settlement makes the following changes:</w:t>
      </w:r>
    </w:p>
    <w:p>
      <w:pPr>
        <w:pStyle w:val="Normal"/>
        <w:spacing w:lineRule="auto" w:line="360"/>
        <w:ind w:firstLine="720" w:end="0"/>
        <w:rPr/>
      </w:pPr>
      <w:r>
        <w:rPr/>
        <w:t>First, the third-party provider of the four trading services would no longer be specifically named.  Rather, the amendment simply says that SoCalGas will make best efforts to contract for the services of a third-party service provider, without specifying exactly who that provider would be.  Second, the amendment recognizes that it may not be possible for SoCalGas to have the services from a TPSP available on April 1, 2001.  Rather, provides that SoCalGas shall make its best efforts to find a TPSP who could provide service starting no later than October 1, 2001.  Furthermore, it provides for SoCalGas itself to provide a trading platform, albeit less elaborate than intended the TPSP would provide, effective April 1, 2001, for OFO chip trading, monthly imbalance trading, and storage rights trading.  It also provides that even if SoCalGas cannot find a TPSP who can provide service by October 1, 2001, SoCalGas will continue to look for a TPSP for the remainder of the term of the settlement.  Meanwhile, for as long as no TPSP can be found, SoCalGas will continue to provide the platforms described above for trading OFO day chips, monthly imbalances, and storage rights, plus effective October 1, 2001, backbone transmission rights. Also, the amendment changes the specific date of December 31, 2002, at which the TPSP role would be put out for competitive bid, to a date 24 months after the initial TPSP commences service (unless the initial TPSP commences service with less than 24 months left in the term of the settlement).</w:t>
      </w:r>
    </w:p>
    <w:p>
      <w:pPr>
        <w:pStyle w:val="Normal"/>
        <w:spacing w:lineRule="auto" w:line="360"/>
        <w:ind w:firstLine="720" w:end="0"/>
        <w:rPr/>
      </w:pPr>
      <w:r>
        <w:rPr/>
        <w:t>These modifications are reasonable, and the Comprehensive Settlement as a whole remains in the public interest with these modifications incorporated.  The modifications were the most reasonable possible way to respond to the withdrawal of Altra, and will make trading platforms available from the outset of the effectiveness of relevant changes under the Comprehensive Settlement and for the full term of that settlement.</w:t>
      </w:r>
    </w:p>
    <w:p>
      <w:pPr>
        <w:pStyle w:val="Normal"/>
        <w:spacing w:lineRule="auto" w:line="360"/>
        <w:ind w:firstLine="720" w:end="0"/>
        <w:rPr/>
      </w:pPr>
      <w:r>
        <w:rPr/>
        <w:t>On September 18, 2000, SoCalGas provided a copy of the revisions as attached hereto to all signatories of the Comprehensive Settlement agreement and asked that they inform SoCalGas by noon on September 20, 2000, if they had any objection.  No signatory to the CSA has informed SoCalGas that it objects to the revision.  This filing is made after noon on September 20, 2000.</w:t>
      </w:r>
    </w:p>
    <w:p>
      <w:pPr>
        <w:pStyle w:val="BodyTextIndent"/>
        <w:rPr/>
      </w:pPr>
      <w:r>
        <w:rPr/>
        <w:t>SoCalGas has set forth the full text of the sections that are revised, but not the full text of the entire Comprehensive Settlement with the revisions incorporated.  For the convenience of the Commission and parties, SoCalGas has also submitted a “redlined” version of the sections with revisions, with deletions struck through and additions underlined.  Because the Comprehensive Settlement in full is approximately 76 pages (single spaced and not including attachments), it did not seem efficient to submit the whole document with the revisions.  However, SoCalGas would be happy to provide the entirety of the Comprehensive Settlement agreement with the revisions incorporated should the Commission so request.</w:t>
      </w:r>
    </w:p>
    <w:p>
      <w:pPr>
        <w:pStyle w:val="Normal"/>
        <w:spacing w:lineRule="auto" w:line="360"/>
        <w:ind w:firstLine="720" w:end="0"/>
        <w:rPr/>
      </w:pPr>
      <w:r>
        <w:rPr/>
        <w:t>SoCalGas requests that the Commission set a deadline of October 5, 2000 (15 days from the filing of this petition and modification) for parties to file responses to this petition and motion.  The scope of the responses due that date would be not only whether the record should be reopened and the amendment to the settlement and supporting declaration received, but also comments pursuant to Rules 51.4 and 51.5 on the substance of the amendment to the settlement.</w:t>
      </w:r>
    </w:p>
    <w:p>
      <w:pPr>
        <w:pStyle w:val="Normal"/>
        <w:spacing w:lineRule="auto" w:line="360"/>
        <w:ind w:firstLine="720" w:end="0"/>
        <w:rPr/>
      </w:pPr>
      <w:r>
        <w:rPr/>
        <w:t xml:space="preserve">A deadline of 15 days from the date of this Petition and Motion is reasonable because:  the development necessitating a change has been known to all parties since September 5, 2000 when SoCalGas and PG&amp;E informed all parties of Altra’s withdrawal; the general terms of the amendment proposed herein has been known to all parties since a draft of the amendment was sent to all parties on September 13, 2000; the change in the settlement that the amendment makes is modest; and a longer period for responses could delay implementation of a settlement that the Commission should find is in the public interest. </w:t>
      </w:r>
    </w:p>
    <w:p>
      <w:pPr>
        <w:pStyle w:val="Normal"/>
        <w:spacing w:lineRule="auto" w:line="360"/>
        <w:ind w:firstLine="720" w:end="0"/>
        <w:rPr/>
      </w:pPr>
      <w:r>
        <w:rPr/>
        <w:t>SoCalGas submits that further evidentiary hearings are not required as a result of this modification.  The changes are modest and they do not raise any issues of disputed material fact.</w:t>
      </w:r>
    </w:p>
    <w:p>
      <w:pPr>
        <w:pStyle w:val="Normal"/>
        <w:spacing w:lineRule="auto" w:line="360"/>
        <w:ind w:firstLine="720" w:end="0"/>
        <w:rPr/>
      </w:pPr>
      <w:r>
        <w:rPr/>
        <w:t xml:space="preserve">As stated in the Declaration of Robert Betonte attached hereto, SoCalGas gave 7 days written notice to all parties to I.00-07-003 of a settlement conference to be held on Wednesday, September 13, to discuss modification of the Comprehensive Settlement with respect to Altra’s withdrawal.  SoCalGas held that conference.  Therefore, the modification of the settlement provided herein has been submitted in conformance with the process set forth in Rule 51.1 for settlements in chief, although it is not clear </w:t>
      </w:r>
    </w:p>
    <w:p>
      <w:pPr>
        <w:pStyle w:val="Normal"/>
        <w:spacing w:lineRule="auto" w:line="360"/>
        <w:ind w:firstLine="720" w:end="0"/>
        <w:rPr/>
      </w:pPr>
      <w:r>
        <w:rPr/>
      </w:r>
    </w:p>
    <w:p>
      <w:pPr>
        <w:pStyle w:val="Normal"/>
        <w:spacing w:lineRule="auto" w:line="360"/>
        <w:ind w:firstLine="720" w:end="0"/>
        <w:rPr/>
      </w:pPr>
      <w:r>
        <w:rPr/>
      </w:r>
    </w:p>
    <w:p>
      <w:pPr>
        <w:pStyle w:val="Normal"/>
        <w:spacing w:lineRule="auto" w:line="360"/>
        <w:ind w:firstLine="720" w:end="0"/>
        <w:rPr/>
      </w:pPr>
      <w:r>
        <w:rPr/>
      </w:r>
    </w:p>
    <w:p>
      <w:pPr>
        <w:pStyle w:val="Normal"/>
        <w:spacing w:lineRule="auto" w:line="360"/>
        <w:ind w:firstLine="720" w:end="0"/>
        <w:rPr/>
      </w:pPr>
      <w:r>
        <w:rPr/>
      </w:r>
    </w:p>
    <w:p>
      <w:pPr>
        <w:pStyle w:val="Normal"/>
        <w:spacing w:lineRule="auto" w:line="360"/>
        <w:rPr/>
      </w:pPr>
      <w:r>
        <w:rPr/>
        <w:t>that any modifications necessitated by changed circumstances while a settlement is pending falls under this section.</w:t>
      </w:r>
    </w:p>
    <w:p>
      <w:pPr>
        <w:pStyle w:val="Normal"/>
        <w:spacing w:lineRule="auto" w:line="360"/>
        <w:ind w:firstLine="720" w:end="0"/>
        <w:rPr/>
      </w:pPr>
      <w:r>
        <w:rPr/>
      </w:r>
    </w:p>
    <w:p>
      <w:pPr>
        <w:pStyle w:val="Normal"/>
        <w:ind w:firstLine="720" w:end="0"/>
        <w:rPr/>
      </w:pPr>
      <w:r>
        <w:rPr/>
      </w:r>
    </w:p>
    <w:p>
      <w:pPr>
        <w:pStyle w:val="Normal"/>
        <w:ind w:firstLine="720" w:end="0"/>
        <w:rPr/>
      </w:pPr>
      <w:r>
        <w:rPr/>
      </w:r>
    </w:p>
    <w:p>
      <w:pPr>
        <w:pStyle w:val="Normal"/>
        <w:ind w:firstLine="720" w:end="0"/>
        <w:rPr/>
      </w:pPr>
      <w:r>
        <w:rPr/>
        <w:tab/>
        <w:tab/>
        <w:tab/>
        <w:tab/>
        <w:t>Respectfully submitted,</w:t>
      </w:r>
    </w:p>
    <w:p>
      <w:pPr>
        <w:pStyle w:val="Normal"/>
        <w:ind w:firstLine="720" w:end="0"/>
        <w:rPr/>
      </w:pPr>
      <w:r>
        <w:rPr/>
      </w:r>
    </w:p>
    <w:p>
      <w:pPr>
        <w:pStyle w:val="Footer"/>
        <w:tabs>
          <w:tab w:val="clear" w:pos="4320"/>
          <w:tab w:val="clear" w:pos="8640"/>
        </w:tabs>
        <w:spacing w:lineRule="auto" w:line="360"/>
        <w:rPr/>
      </w:pPr>
      <w:r>
        <w:rPr/>
        <w:tab/>
        <w:tab/>
        <w:tab/>
        <w:tab/>
        <w:tab/>
        <w:t>SOUTHERN CALIFORNIA GAS COMPANY</w:t>
      </w:r>
    </w:p>
    <w:p>
      <w:pPr>
        <w:pStyle w:val="Footer"/>
        <w:tabs>
          <w:tab w:val="clear" w:pos="4320"/>
          <w:tab w:val="clear" w:pos="8640"/>
        </w:tabs>
        <w:spacing w:lineRule="auto" w:line="360"/>
        <w:rPr/>
      </w:pPr>
      <w:r>
        <w:rPr/>
        <w:tab/>
        <w:tab/>
        <w:tab/>
        <w:tab/>
        <w:tab/>
      </w:r>
    </w:p>
    <w:p>
      <w:pPr>
        <w:pStyle w:val="Footer"/>
        <w:tabs>
          <w:tab w:val="clear" w:pos="4320"/>
          <w:tab w:val="clear" w:pos="8640"/>
        </w:tabs>
        <w:spacing w:lineRule="auto" w:line="360"/>
        <w:rPr/>
      </w:pPr>
      <w:r>
        <w:rPr/>
        <w:t xml:space="preserve">September 20, 2000 </w:t>
        <w:tab/>
        <w:tab/>
        <w:t>By:______________________________</w:t>
      </w:r>
    </w:p>
    <w:p>
      <w:pPr>
        <w:pStyle w:val="Footer"/>
        <w:tabs>
          <w:tab w:val="clear" w:pos="4320"/>
          <w:tab w:val="clear" w:pos="8640"/>
        </w:tabs>
        <w:spacing w:lineRule="auto" w:line="360"/>
        <w:rPr/>
      </w:pPr>
      <w:r>
        <w:rPr/>
        <w:tab/>
        <w:tab/>
        <w:tab/>
        <w:tab/>
        <w:tab/>
        <w:tab/>
        <w:t xml:space="preserve">  Glen J. Sullivan</w:t>
      </w:r>
    </w:p>
    <w:p>
      <w:pPr>
        <w:pStyle w:val="Footer"/>
        <w:tabs>
          <w:tab w:val="clear" w:pos="4320"/>
          <w:tab w:val="clear" w:pos="8640"/>
        </w:tabs>
        <w:spacing w:lineRule="auto" w:line="360"/>
        <w:rPr/>
      </w:pPr>
      <w:r>
        <w:rPr/>
      </w:r>
    </w:p>
    <w:p>
      <w:pPr>
        <w:pStyle w:val="Footer"/>
        <w:tabs>
          <w:tab w:val="clear" w:pos="4320"/>
          <w:tab w:val="clear" w:pos="8640"/>
        </w:tabs>
        <w:rPr/>
      </w:pPr>
      <w:r>
        <w:rPr/>
        <w:tab/>
        <w:tab/>
        <w:tab/>
        <w:tab/>
        <w:tab/>
        <w:t>Glen J. Sullivan</w:t>
      </w:r>
    </w:p>
    <w:p>
      <w:pPr>
        <w:pStyle w:val="Footer"/>
        <w:tabs>
          <w:tab w:val="clear" w:pos="4320"/>
          <w:tab w:val="clear" w:pos="8640"/>
        </w:tabs>
        <w:rPr/>
      </w:pPr>
      <w:r>
        <w:rPr/>
        <w:tab/>
        <w:tab/>
        <w:tab/>
        <w:tab/>
        <w:tab/>
        <w:t>Sempra Energy Law Department</w:t>
      </w:r>
    </w:p>
    <w:p>
      <w:pPr>
        <w:pStyle w:val="Footer"/>
        <w:tabs>
          <w:tab w:val="clear" w:pos="4320"/>
          <w:tab w:val="clear" w:pos="8640"/>
        </w:tabs>
        <w:rPr/>
      </w:pPr>
      <w:r>
        <w:rPr/>
        <w:tab/>
        <w:tab/>
        <w:tab/>
        <w:tab/>
        <w:tab/>
        <w:t>101 Ash Street</w:t>
      </w:r>
    </w:p>
    <w:p>
      <w:pPr>
        <w:pStyle w:val="Footer"/>
        <w:tabs>
          <w:tab w:val="clear" w:pos="4320"/>
          <w:tab w:val="clear" w:pos="8640"/>
        </w:tabs>
        <w:rPr/>
      </w:pPr>
      <w:r>
        <w:rPr/>
        <w:tab/>
        <w:tab/>
        <w:tab/>
        <w:tab/>
        <w:tab/>
        <w:t>San Diego, California  92101</w:t>
      </w:r>
    </w:p>
    <w:p>
      <w:pPr>
        <w:pStyle w:val="Footer"/>
        <w:tabs>
          <w:tab w:val="clear" w:pos="4320"/>
          <w:tab w:val="clear" w:pos="8640"/>
        </w:tabs>
        <w:rPr/>
      </w:pPr>
      <w:r>
        <w:rPr/>
        <w:tab/>
        <w:tab/>
        <w:tab/>
        <w:tab/>
        <w:tab/>
        <w:t>Telephone:  (619) 699-5162</w:t>
      </w:r>
    </w:p>
    <w:p>
      <w:pPr>
        <w:pStyle w:val="Footer"/>
        <w:tabs>
          <w:tab w:val="clear" w:pos="4320"/>
          <w:tab w:val="clear" w:pos="8640"/>
        </w:tabs>
        <w:rPr/>
      </w:pPr>
      <w:r>
        <w:rPr/>
        <w:tab/>
        <w:tab/>
        <w:tab/>
        <w:tab/>
        <w:tab/>
        <w:t>Fax:  (619) 699-5027</w:t>
      </w:r>
    </w:p>
    <w:p>
      <w:pPr>
        <w:pStyle w:val="Footer"/>
        <w:tabs>
          <w:tab w:val="clear" w:pos="4320"/>
          <w:tab w:val="clear" w:pos="8640"/>
        </w:tabs>
        <w:rPr/>
      </w:pPr>
      <w:r>
        <w:rPr/>
        <w:tab/>
        <w:tab/>
        <w:tab/>
        <w:tab/>
        <w:tab/>
        <w:t>E-mail: gsullivan@sempra.com</w:t>
      </w:r>
    </w:p>
    <w:p>
      <w:pPr>
        <w:pStyle w:val="Footer"/>
        <w:tabs>
          <w:tab w:val="clear" w:pos="4320"/>
          <w:tab w:val="clear" w:pos="8640"/>
        </w:tabs>
        <w:rPr/>
      </w:pPr>
      <w:r>
        <w:rPr/>
      </w:r>
    </w:p>
    <w:p>
      <w:pPr>
        <w:pStyle w:val="Footer"/>
        <w:tabs>
          <w:tab w:val="clear" w:pos="4320"/>
          <w:tab w:val="clear" w:pos="8640"/>
        </w:tabs>
        <w:rPr/>
      </w:pPr>
      <w:r>
        <w:rPr/>
        <w:tab/>
        <w:tab/>
        <w:tab/>
        <w:tab/>
        <w:tab/>
        <w:t>Attorney for</w:t>
      </w:r>
    </w:p>
    <w:p>
      <w:pPr>
        <w:pStyle w:val="Footer"/>
        <w:tabs>
          <w:tab w:val="clear" w:pos="4320"/>
          <w:tab w:val="clear" w:pos="8640"/>
        </w:tabs>
        <w:rPr/>
      </w:pPr>
      <w:r>
        <w:rPr/>
        <w:tab/>
        <w:tab/>
        <w:tab/>
        <w:tab/>
        <w:tab/>
        <w:t xml:space="preserve">Southern California Gas Company </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rFonts w:eastAsia="Courier New"/>
        </w:rPr>
      </w:pPr>
      <w:r>
        <w:rPr>
          <w:rFonts w:eastAsia="Courier New"/>
        </w:rPr>
        <w:t xml:space="preserve"> </w:t>
      </w:r>
    </w:p>
    <w:p>
      <w:pPr>
        <w:pStyle w:val="Normal"/>
        <w:ind w:firstLine="720" w:end="0"/>
        <w:rPr/>
      </w:pPr>
      <w:r>
        <w:rPr/>
      </w:r>
    </w:p>
    <w:sectPr>
      <w:footerReference w:type="default" r:id="rId2"/>
      <w:footerReference w:type="first" r:id="rId3"/>
      <w:footnotePr>
        <w:numFmt w:val="decimal"/>
      </w:footnotePr>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92075" cy="172720"/>
              <wp:effectExtent l="0" t="0" r="0" b="0"/>
              <wp:wrapSquare wrapText="bothSides"/>
              <wp:docPr id="1" name="Frame1"/>
              <a:graphic xmlns:a="http://schemas.openxmlformats.org/drawingml/2006/main">
                <a:graphicData uri="http://schemas.microsoft.com/office/word/2010/wordprocessingShape">
                  <wps:wsp>
                    <wps:cNvSpPr txBox="1"/>
                    <wps:spPr>
                      <a:xfrm>
                        <a:off x="0" y="0"/>
                        <a:ext cx="92075" cy="17272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25pt;height:13.6pt;mso-wrap-distance-left:0pt;mso-wrap-distance-right:0pt;mso-wrap-distance-top:0pt;mso-wrap-distance-bottom:0pt;margin-top:0.05pt;mso-position-vertical-relative:text;margin-left:212.4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Altra platforms for OFO day chips, monthly imbalances, and storage rights were to be in service on April 1, 2001.  Backbone transmission rights do not go into effect until October 1, 2001, and so trading of those rights is not anticipated until then. </w:t>
      </w:r>
    </w:p>
  </w:footnote>
</w:footnotes>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ourier New" w:hAnsi="Courier New" w:eastAsia="Times New Roman" w:cs="Courier New"/>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rPr>
  </w:style>
  <w:style w:type="paragraph" w:styleId="BodyText">
    <w:name w:val="Body Text"/>
    <w:basedOn w:val="Normal"/>
    <w:pPr>
      <w:spacing w:lineRule="exact" w:line="447"/>
    </w:pPr>
    <w:rPr>
      <w:rFonts w:ascii="Book Antiqua" w:hAnsi="Book Antiqua" w:cs="Book Antiqua"/>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2">
    <w:name w:val="Body Text 2"/>
    <w:basedOn w:val="Normal"/>
    <w:qFormat/>
    <w:pPr>
      <w:jc w:val="center"/>
    </w:pPr>
    <w:rPr>
      <w:b/>
    </w:rPr>
  </w:style>
  <w:style w:type="paragraph" w:styleId="BodyTextIndent">
    <w:name w:val="Body Text Indent"/>
    <w:basedOn w:val="Normal"/>
    <w:pPr>
      <w:spacing w:lineRule="auto" w:line="360"/>
      <w:ind w:firstLine="720" w:start="0" w:end="0"/>
    </w:pPr>
    <w:rPr/>
  </w:style>
  <w:style w:type="paragraph" w:styleId="FootnoteText">
    <w:name w:val="footnote text"/>
    <w:basedOn w:val="Normal"/>
    <w:pPr/>
    <w:rPr>
      <w:sz w:val="20"/>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2000-09-14T18:27:00Z</dcterms:created>
  <dc:creator>Sempra Energy</dc:creator>
  <dc:description/>
  <dc:language>en-CA</dc:language>
  <cp:lastModifiedBy>SEMPRA ENERGY</cp:lastModifiedBy>
  <cp:lastPrinted>2000-09-20T08:50:00Z</cp:lastPrinted>
  <dcterms:modified xsi:type="dcterms:W3CDTF">2000-09-20T13:21:00Z</dcterms:modified>
  <cp:revision>4</cp:revision>
  <dc:subject/>
  <dc:title>DRAFT – 9/14</dc:title>
</cp:coreProperties>
</file>