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APPENDIX F</w:t>
      </w:r>
    </w:p>
    <w:p>
      <w:pPr>
        <w:pStyle w:val="Normal"/>
        <w:jc w:val="center"/>
        <w:rPr>
          <w:b/>
          <w:sz w:val="24"/>
          <w:u w:val="single"/>
        </w:rPr>
      </w:pPr>
      <w:r>
        <w:rPr>
          <w:b/>
          <w:sz w:val="24"/>
          <w:u w:val="single"/>
        </w:rPr>
      </w:r>
    </w:p>
    <w:p>
      <w:pPr>
        <w:pStyle w:val="Normal"/>
        <w:jc w:val="center"/>
        <w:rPr>
          <w:b/>
          <w:sz w:val="24"/>
          <w:u w:val="single"/>
        </w:rPr>
      </w:pPr>
      <w:r>
        <w:rPr>
          <w:b/>
          <w:sz w:val="24"/>
          <w:u w:val="single"/>
        </w:rPr>
        <w:t>SOCALGAS’ DAILY LOAD FORECASTING MODEL</w:t>
      </w:r>
    </w:p>
    <w:p>
      <w:pPr>
        <w:pStyle w:val="Normal"/>
        <w:jc w:val="center"/>
        <w:rPr>
          <w:b/>
          <w:sz w:val="24"/>
          <w:u w:val="single"/>
        </w:rPr>
      </w:pPr>
      <w:r>
        <w:rPr>
          <w:b/>
          <w:sz w:val="24"/>
          <w:u w:val="single"/>
        </w:rPr>
      </w:r>
    </w:p>
    <w:p>
      <w:pPr>
        <w:pStyle w:val="BodyText"/>
        <w:ind w:end="0"/>
        <w:rPr>
          <w:b/>
          <w:u w:val="single"/>
        </w:rPr>
      </w:pPr>
      <w:r>
        <w:rPr>
          <w:b/>
          <w:u w:val="single"/>
        </w:rPr>
        <w:t>General Model Structure</w:t>
      </w:r>
    </w:p>
    <w:p>
      <w:pPr>
        <w:pStyle w:val="BodyText"/>
        <w:rPr>
          <w:b/>
          <w:u w:val="single"/>
        </w:rPr>
      </w:pPr>
      <w:r>
        <w:rPr>
          <w:b/>
          <w:u w:val="single"/>
        </w:rPr>
      </w:r>
    </w:p>
    <w:p>
      <w:pPr>
        <w:pStyle w:val="BodyText"/>
        <w:rPr/>
      </w:pPr>
      <w:r>
        <w:rPr/>
        <w:t>The Daily Load Forecasting Model (DLFM) has two components:</w:t>
      </w:r>
    </w:p>
    <w:p>
      <w:pPr>
        <w:pStyle w:val="BodyText"/>
        <w:numPr>
          <w:ilvl w:val="0"/>
          <w:numId w:val="2"/>
        </w:numPr>
        <w:rPr/>
      </w:pPr>
      <w:r>
        <w:rPr/>
        <w:t>Total Core Demand model (TCDM).</w:t>
      </w:r>
    </w:p>
    <w:p>
      <w:pPr>
        <w:pStyle w:val="BodyText"/>
        <w:numPr>
          <w:ilvl w:val="0"/>
          <w:numId w:val="2"/>
        </w:numPr>
        <w:rPr/>
      </w:pPr>
      <w:r>
        <w:rPr/>
        <w:t>Supplier Demand model (SDM).</w:t>
      </w:r>
    </w:p>
    <w:p>
      <w:pPr>
        <w:pStyle w:val="BodyText"/>
        <w:ind w:end="0"/>
        <w:rPr/>
      </w:pPr>
      <w:r>
        <w:rPr/>
        <w:t>The first component is estimated based on historical Daily Indirect Core Estimate  (DICE) data.  The second component is historical monthly corrected billing data for each supplier’s customer group.</w:t>
      </w:r>
    </w:p>
    <w:p>
      <w:pPr>
        <w:pStyle w:val="BodyText"/>
        <w:rPr/>
      </w:pPr>
      <w:r>
        <w:rPr/>
      </w:r>
    </w:p>
    <w:p>
      <w:pPr>
        <w:pStyle w:val="BodyText"/>
        <w:rPr>
          <w:b/>
          <w:u w:val="single"/>
        </w:rPr>
      </w:pPr>
      <w:r>
        <w:rPr>
          <w:b/>
          <w:u w:val="single"/>
        </w:rPr>
        <w:t xml:space="preserve">Source Data  </w:t>
      </w:r>
    </w:p>
    <w:p>
      <w:pPr>
        <w:pStyle w:val="BodyText"/>
        <w:rPr>
          <w:b/>
          <w:u w:val="single"/>
        </w:rPr>
      </w:pPr>
      <w:r>
        <w:rPr>
          <w:b/>
          <w:u w:val="single"/>
        </w:rPr>
      </w:r>
    </w:p>
    <w:p>
      <w:pPr>
        <w:pStyle w:val="BodyText"/>
        <w:ind w:end="0"/>
        <w:rPr/>
      </w:pPr>
      <w:r>
        <w:rPr/>
        <w:t>The DICE data for 1998 and 1999 is based on the PDOS(Preliminary Daily Operating Sheet) data which contains daily volume data on the total receipts of gas, storage withdrawals, net pipeline draft, which are summed to “total system receipts.”  This data is then corrected after the fact for any known measurement errors in receipts.  The DICE data also contains daily information on storage injection, and daily measurements of noncore usage. Noncore usage is directly measured by GEMS (Gas Energy Measurement System) which are automated metering devices attached to customer’s meters.  The DICE data also corrects for any known measurement errors after the fact.  The resulting residual between total receipts and storage injection plus noncore usage consists of core usage, company use, unaccounted for, and core subscription customer use.  It also contains unknown measurement errors in receipts, net draft, storage withdrawals and injections, and noncore sendout.</w:t>
      </w:r>
    </w:p>
    <w:p>
      <w:pPr>
        <w:pStyle w:val="BodyText"/>
        <w:rPr/>
      </w:pPr>
      <w:r>
        <w:rPr/>
      </w:r>
    </w:p>
    <w:p>
      <w:pPr>
        <w:pStyle w:val="BodyText"/>
        <w:rPr/>
      </w:pPr>
      <w:r>
        <w:rPr/>
        <w:t xml:space="preserve">In order to isolate core gas usage, estimated daily company use, unaccounted-for gas, and core subscription customer use has been removed from the DICE data. Daily company use and daily core subscription customer use are the daily averages of monthly volumes, respectively; while unaccounted-for is the daily average of annual volume. </w:t>
      </w:r>
    </w:p>
    <w:p>
      <w:pPr>
        <w:pStyle w:val="BodyText"/>
        <w:rPr/>
      </w:pPr>
      <w:r>
        <w:rPr/>
      </w:r>
    </w:p>
    <w:p>
      <w:pPr>
        <w:pStyle w:val="BodyText"/>
        <w:rPr>
          <w:b/>
          <w:u w:val="single"/>
        </w:rPr>
      </w:pPr>
      <w:r>
        <w:rPr>
          <w:b/>
          <w:u w:val="single"/>
        </w:rPr>
        <w:t>Weather Data</w:t>
      </w:r>
    </w:p>
    <w:p>
      <w:pPr>
        <w:pStyle w:val="BodyText"/>
        <w:rPr>
          <w:b/>
          <w:u w:val="single"/>
        </w:rPr>
      </w:pPr>
      <w:r>
        <w:rPr>
          <w:b/>
          <w:u w:val="single"/>
        </w:rPr>
      </w:r>
    </w:p>
    <w:p>
      <w:pPr>
        <w:pStyle w:val="WW-BodyText2"/>
        <w:rPr/>
      </w:pPr>
      <w:r>
        <w:rPr/>
        <w:t xml:space="preserve">Since core gas use is significantly affected by temperature, SoCalGas proposes to use the WeatherBank forecasting service (information on the company is available at their website, www.weatherbank.com) to provide service area weather forecasts that would be used to forecast core use a day ahead. </w:t>
      </w:r>
      <w:r>
        <w:rPr>
          <w:i/>
        </w:rPr>
        <w:t>(Note:  forecasts will be made available for 1, 2, 3,and 4 days ahead)</w:t>
      </w:r>
      <w:r>
        <w:rPr/>
        <w:t xml:space="preserve">  This independent company provides weather forecasts throughout the nation and specifically provides forecasts for eight weather stations in the SoCalGas service area: Santa Barbara, Long Beach, LA Civic Center, Burbank, Riverside, Twenty-nine Palms, Lancaster, and Fresno.  To develop an accurate representation of weather in the entire SoCalGas service area, a statistical analysis was performed relating WeatherBank station temperatures to the average temperature for the SoCalGas climate zones.  The climate zones were then weighted by population in the climate zone to create the service area average temperature, service area heating degree days (HDD), and service area cooling degree days (CDD).   </w:t>
      </w:r>
    </w:p>
    <w:p>
      <w:pPr>
        <w:pStyle w:val="BodyText"/>
        <w:rPr>
          <w:b/>
          <w:u w:val="single"/>
        </w:rPr>
      </w:pPr>
      <w:r>
        <w:rPr>
          <w:b/>
          <w:u w:val="single"/>
        </w:rPr>
      </w:r>
    </w:p>
    <w:p>
      <w:pPr>
        <w:pStyle w:val="BodyText"/>
        <w:ind w:end="0"/>
        <w:rPr>
          <w:b/>
          <w:u w:val="single"/>
        </w:rPr>
      </w:pPr>
      <w:r>
        <w:rPr>
          <w:b/>
          <w:u w:val="single"/>
        </w:rPr>
        <w:t>Total Core Demand Model</w:t>
      </w:r>
    </w:p>
    <w:p>
      <w:pPr>
        <w:pStyle w:val="BodyText"/>
        <w:ind w:end="0"/>
        <w:rPr>
          <w:b/>
          <w:u w:val="single"/>
        </w:rPr>
      </w:pPr>
      <w:r>
        <w:rPr>
          <w:b/>
          <w:u w:val="single"/>
        </w:rPr>
      </w:r>
    </w:p>
    <w:p>
      <w:pPr>
        <w:pStyle w:val="BodyText"/>
        <w:ind w:end="0"/>
        <w:rPr/>
      </w:pPr>
      <w:r>
        <w:rPr/>
        <w:t>The forecasting model for total core load is a single equation of the form:</w:t>
      </w:r>
    </w:p>
    <w:p>
      <w:pPr>
        <w:pStyle w:val="BodyText"/>
        <w:widowControl w:val="false"/>
        <w:ind w:firstLine="720" w:start="720" w:end="0"/>
        <w:rPr/>
      </w:pPr>
      <w:r>
        <w:rPr/>
      </w:r>
    </w:p>
    <w:p>
      <w:pPr>
        <w:pStyle w:val="BodyText"/>
        <w:widowControl w:val="false"/>
        <w:ind w:firstLine="720" w:start="720" w:end="0"/>
        <w:rPr/>
      </w:pPr>
      <w:r>
        <w:rPr/>
        <w:t>CV = a + b</w:t>
      </w:r>
      <w:r>
        <w:rPr>
          <w:vertAlign w:val="subscript"/>
        </w:rPr>
        <w:t>i</w:t>
      </w:r>
      <w:r>
        <w:rPr/>
        <w:t>·D</w:t>
      </w:r>
      <w:r>
        <w:rPr>
          <w:vertAlign w:val="subscript"/>
        </w:rPr>
        <w:t xml:space="preserve"> i</w:t>
      </w:r>
      <w:r>
        <w:rPr/>
        <w:t xml:space="preserve"> + c</w:t>
      </w:r>
      <w:r>
        <w:rPr>
          <w:vertAlign w:val="subscript"/>
        </w:rPr>
        <w:t>j</w:t>
      </w:r>
      <w:r>
        <w:rPr/>
        <w:t>·M</w:t>
      </w:r>
      <w:r>
        <w:rPr>
          <w:vertAlign w:val="subscript"/>
        </w:rPr>
        <w:t>j</w:t>
      </w:r>
      <w:r>
        <w:rPr/>
        <w:t xml:space="preserve"> + d</w:t>
      </w:r>
      <w:r>
        <w:rPr>
          <w:position w:val="-6"/>
          <w:sz w:val="16"/>
        </w:rPr>
        <w:t>1</w:t>
      </w:r>
      <w:r>
        <w:rPr/>
        <w:t>·HDD + d</w:t>
      </w:r>
      <w:r>
        <w:rPr>
          <w:position w:val="-6"/>
          <w:sz w:val="16"/>
        </w:rPr>
        <w:t>2</w:t>
      </w:r>
      <w:r>
        <w:rPr/>
        <w:t>· HDD</w:t>
      </w:r>
      <w:r>
        <w:rPr>
          <w:vertAlign w:val="superscript"/>
        </w:rPr>
        <w:t>2</w:t>
      </w:r>
      <w:r>
        <w:rPr/>
        <w:t xml:space="preserve"> + e·CDD + f·AC</w:t>
      </w:r>
    </w:p>
    <w:p>
      <w:pPr>
        <w:pStyle w:val="BodyText"/>
        <w:widowControl w:val="false"/>
        <w:ind w:firstLine="720" w:start="720" w:end="0"/>
        <w:rPr>
          <w:sz w:val="22"/>
        </w:rPr>
      </w:pPr>
      <w:r>
        <w:rPr>
          <w:sz w:val="22"/>
        </w:rPr>
      </w:r>
    </w:p>
    <w:p>
      <w:pPr>
        <w:pStyle w:val="BodyText"/>
        <w:widowControl w:val="false"/>
        <w:ind w:firstLine="720" w:start="720" w:end="0"/>
        <w:rPr>
          <w:sz w:val="22"/>
        </w:rPr>
      </w:pPr>
      <w:r>
        <w:rPr>
          <w:sz w:val="22"/>
        </w:rPr>
        <w:t>where    CV  =  daily core volume in Mdth</w:t>
      </w:r>
    </w:p>
    <w:p>
      <w:pPr>
        <w:pStyle w:val="BodyText"/>
        <w:ind w:firstLine="720" w:start="720" w:end="0"/>
        <w:rPr/>
      </w:pPr>
      <w:r>
        <w:rPr>
          <w:sz w:val="22"/>
        </w:rPr>
        <w:tab/>
        <w:t xml:space="preserve">   D</w:t>
      </w:r>
      <w:r>
        <w:rPr>
          <w:vertAlign w:val="subscript"/>
        </w:rPr>
        <w:t>i</w:t>
      </w:r>
      <w:r>
        <w:rPr>
          <w:sz w:val="22"/>
        </w:rPr>
        <w:t xml:space="preserve">  =  day of the week indicator </w:t>
      </w:r>
    </w:p>
    <w:p>
      <w:pPr>
        <w:pStyle w:val="BodyText"/>
        <w:ind w:start="2880" w:end="0"/>
        <w:rPr>
          <w:sz w:val="22"/>
        </w:rPr>
      </w:pPr>
      <w:r>
        <w:rPr>
          <w:sz w:val="22"/>
        </w:rPr>
        <w:t>(These variables measure the impact on core load of these days compared to Monday )</w:t>
      </w:r>
    </w:p>
    <w:p>
      <w:pPr>
        <w:pStyle w:val="BodyText"/>
        <w:ind w:end="0"/>
        <w:rPr/>
      </w:pPr>
      <w:r>
        <w:rPr>
          <w:sz w:val="22"/>
        </w:rPr>
        <w:tab/>
        <w:tab/>
        <w:tab/>
        <w:t xml:space="preserve">   M</w:t>
      </w:r>
      <w:r>
        <w:rPr>
          <w:vertAlign w:val="subscript"/>
        </w:rPr>
        <w:t>j</w:t>
      </w:r>
      <w:r>
        <w:rPr>
          <w:sz w:val="22"/>
        </w:rPr>
        <w:t xml:space="preserve"> =  month of the year indicator for January - June, Oct.- Dec.</w:t>
      </w:r>
    </w:p>
    <w:p>
      <w:pPr>
        <w:pStyle w:val="BodyText"/>
        <w:ind w:start="2880" w:end="0"/>
        <w:rPr>
          <w:sz w:val="22"/>
        </w:rPr>
      </w:pPr>
      <w:r>
        <w:rPr>
          <w:sz w:val="22"/>
        </w:rPr>
        <w:t>(These variables compare the core load in these months relative to July- September)</w:t>
      </w:r>
    </w:p>
    <w:p>
      <w:pPr>
        <w:pStyle w:val="BodyText"/>
        <w:ind w:hanging="810" w:start="2880" w:end="0"/>
        <w:rPr>
          <w:sz w:val="22"/>
        </w:rPr>
      </w:pPr>
      <w:r>
        <w:rPr>
          <w:sz w:val="22"/>
        </w:rPr>
        <w:t>HDD  =  forecast service area heating degrees  (average daily degrees that the forecast is below 65 degrees)</w:t>
      </w:r>
    </w:p>
    <w:p>
      <w:pPr>
        <w:pStyle w:val="BodyText"/>
        <w:ind w:hanging="810" w:start="2880" w:end="0"/>
        <w:rPr/>
      </w:pPr>
      <w:r>
        <w:rPr>
          <w:sz w:val="22"/>
        </w:rPr>
        <w:t>HDD</w:t>
      </w:r>
      <w:r>
        <w:rPr>
          <w:sz w:val="22"/>
          <w:vertAlign w:val="superscript"/>
        </w:rPr>
        <w:t>2</w:t>
      </w:r>
      <w:r>
        <w:rPr>
          <w:sz w:val="22"/>
        </w:rPr>
        <w:t xml:space="preserve"> = HDD * HDD</w:t>
      </w:r>
    </w:p>
    <w:p>
      <w:pPr>
        <w:pStyle w:val="BodyText"/>
        <w:ind w:hanging="810" w:start="2970" w:end="0"/>
        <w:rPr>
          <w:sz w:val="22"/>
        </w:rPr>
      </w:pPr>
      <w:r>
        <w:rPr>
          <w:sz w:val="22"/>
        </w:rPr>
        <w:t>CDD =  forecast service area cooling degrees (average daily degrees that the forecast is above 65 degrees)</w:t>
      </w:r>
    </w:p>
    <w:p>
      <w:pPr>
        <w:pStyle w:val="BodyText"/>
        <w:ind w:end="0"/>
        <w:rPr>
          <w:sz w:val="22"/>
        </w:rPr>
      </w:pPr>
      <w:r>
        <w:rPr>
          <w:sz w:val="22"/>
        </w:rPr>
        <w:tab/>
        <w:tab/>
        <w:t xml:space="preserve">               AC  =  forecast average number of customers</w:t>
      </w:r>
    </w:p>
    <w:p>
      <w:pPr>
        <w:pStyle w:val="BodyText"/>
        <w:rPr/>
      </w:pPr>
      <w:r>
        <w:rPr/>
        <w:tab/>
        <w:tab/>
        <w:t xml:space="preserve">  a,b,c,d</w:t>
      </w:r>
      <w:r>
        <w:rPr>
          <w:position w:val="-6"/>
          <w:sz w:val="16"/>
        </w:rPr>
        <w:t>1</w:t>
      </w:r>
      <w:r>
        <w:rPr/>
        <w:t>,d</w:t>
      </w:r>
      <w:r>
        <w:rPr>
          <w:position w:val="-6"/>
          <w:sz w:val="16"/>
        </w:rPr>
        <w:t>2</w:t>
      </w:r>
      <w:r>
        <w:rPr/>
        <w:t>,e,f   =  estimated coefficients</w:t>
      </w:r>
    </w:p>
    <w:p>
      <w:pPr>
        <w:pStyle w:val="BodyText"/>
        <w:rPr/>
      </w:pPr>
      <w:r>
        <w:rPr/>
      </w:r>
    </w:p>
    <w:p>
      <w:pPr>
        <w:pStyle w:val="BodyText"/>
        <w:rPr>
          <w:b/>
          <w:u w:val="single"/>
        </w:rPr>
      </w:pPr>
      <w:r>
        <w:rPr>
          <w:b/>
          <w:u w:val="single"/>
        </w:rPr>
        <w:t>Analysis of the TCDM</w:t>
      </w:r>
    </w:p>
    <w:p>
      <w:pPr>
        <w:pStyle w:val="BodyText"/>
        <w:rPr>
          <w:b/>
          <w:u w:val="single"/>
        </w:rPr>
      </w:pPr>
      <w:r>
        <w:rPr>
          <w:b/>
          <w:u w:val="single"/>
        </w:rPr>
      </w:r>
    </w:p>
    <w:p>
      <w:pPr>
        <w:pStyle w:val="BodyText"/>
        <w:rPr/>
      </w:pPr>
      <w:r>
        <w:rPr/>
        <w:t>The total core demand model is estimated using 699</w:t>
      </w:r>
      <w:r>
        <w:rPr>
          <w:rStyle w:val="CommentReference"/>
          <w:vanish w:val="false"/>
        </w:rPr>
        <w:commentReference w:id="0"/>
      </w:r>
      <w:r>
        <w:rPr/>
        <w:t xml:space="preserve"> observations on the DICE data for 1998 and 1999 through November.  </w:t>
      </w:r>
    </w:p>
    <w:p>
      <w:pPr>
        <w:pStyle w:val="BodyText"/>
        <w:rPr/>
      </w:pPr>
      <w:r>
        <w:rPr/>
        <w:t xml:space="preserve">The resulting projected daily core use is first compared to the DICE data. The key findings include the following:  </w:t>
      </w:r>
    </w:p>
    <w:p>
      <w:pPr>
        <w:pStyle w:val="Normal"/>
        <w:numPr>
          <w:ilvl w:val="0"/>
          <w:numId w:val="3"/>
        </w:numPr>
        <w:ind w:hanging="450" w:start="1170" w:end="0"/>
        <w:rPr>
          <w:color w:val="000000"/>
          <w:sz w:val="24"/>
        </w:rPr>
      </w:pPr>
      <w:r>
        <w:rPr>
          <w:color w:val="000000"/>
          <w:sz w:val="24"/>
        </w:rPr>
        <w:t>No correlation in the error term</w:t>
      </w:r>
    </w:p>
    <w:p>
      <w:pPr>
        <w:pStyle w:val="Normal"/>
        <w:numPr>
          <w:ilvl w:val="0"/>
          <w:numId w:val="3"/>
        </w:numPr>
        <w:ind w:hanging="450" w:start="1170" w:end="0"/>
        <w:rPr>
          <w:color w:val="000000"/>
          <w:sz w:val="24"/>
        </w:rPr>
      </w:pPr>
      <w:r>
        <w:rPr>
          <w:color w:val="000000"/>
          <w:sz w:val="24"/>
        </w:rPr>
        <w:t>RMSE - 89 Mdth</w:t>
      </w:r>
    </w:p>
    <w:p>
      <w:pPr>
        <w:pStyle w:val="Normal"/>
        <w:numPr>
          <w:ilvl w:val="0"/>
          <w:numId w:val="3"/>
        </w:numPr>
        <w:ind w:hanging="450" w:start="1170" w:end="0"/>
        <w:rPr>
          <w:color w:val="000000"/>
          <w:sz w:val="24"/>
        </w:rPr>
      </w:pPr>
      <w:r>
        <w:rPr>
          <w:color w:val="000000"/>
          <w:sz w:val="24"/>
        </w:rPr>
        <w:t>Coeff. of Variation - 8.8%</w:t>
      </w:r>
    </w:p>
    <w:p>
      <w:pPr>
        <w:pStyle w:val="Normal"/>
        <w:numPr>
          <w:ilvl w:val="0"/>
          <w:numId w:val="3"/>
        </w:numPr>
        <w:ind w:hanging="450" w:start="1170" w:end="0"/>
        <w:rPr>
          <w:color w:val="000000"/>
          <w:sz w:val="24"/>
        </w:rPr>
      </w:pPr>
      <w:r>
        <w:rPr>
          <w:color w:val="000000"/>
          <w:sz w:val="24"/>
        </w:rPr>
        <w:t>Maximum in-sample error with known weather  - 410 Mdth</w:t>
      </w:r>
    </w:p>
    <w:p>
      <w:pPr>
        <w:pStyle w:val="Normal"/>
        <w:numPr>
          <w:ilvl w:val="0"/>
          <w:numId w:val="3"/>
        </w:numPr>
        <w:ind w:hanging="450" w:start="1170" w:end="0"/>
        <w:rPr>
          <w:color w:val="000000"/>
          <w:sz w:val="24"/>
        </w:rPr>
      </w:pPr>
      <w:r>
        <w:rPr>
          <w:color w:val="000000"/>
          <w:sz w:val="24"/>
        </w:rPr>
        <w:t>Large errors more likely residual data problems (nearby offsetting values)</w:t>
      </w:r>
    </w:p>
    <w:p>
      <w:pPr>
        <w:pStyle w:val="BodyText"/>
        <w:rPr>
          <w:color w:val="000000"/>
          <w:sz w:val="24"/>
        </w:rPr>
      </w:pPr>
      <w:r>
        <w:rPr>
          <w:color w:val="000000"/>
          <w:sz w:val="24"/>
        </w:rPr>
      </w:r>
    </w:p>
    <w:p>
      <w:pPr>
        <w:pStyle w:val="BodyText"/>
        <w:rPr/>
      </w:pPr>
      <w:r>
        <w:rPr/>
      </w:r>
    </w:p>
    <w:p>
      <w:pPr>
        <w:pStyle w:val="BodyText"/>
        <w:rPr/>
      </w:pPr>
      <w:r>
        <w:rPr/>
        <w:t>The predicted values from the TCDM in MDth are then compared to the Daily Indirect Core Estimates to look at the distribution of differences.  The two graphs below show summer separately from winter because the magnitude of the errors differs between the seasons.  The parallel lines show the confidence interval at 2 standard deviations.</w:t>
      </w:r>
    </w:p>
    <w:p>
      <w:pPr>
        <w:pStyle w:val="BodyText"/>
        <w:jc w:val="center"/>
        <w:rPr>
          <w:sz w:val="20"/>
        </w:rPr>
      </w:pPr>
      <w:r>
        <w:rPr>
          <w:sz w:val="20"/>
        </w:rPr>
        <w:drawing>
          <wp:inline distT="0" distB="0" distL="0" distR="0">
            <wp:extent cx="3476625" cy="23831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15" r="-10" b="-15"/>
                    <a:stretch>
                      <a:fillRect/>
                    </a:stretch>
                  </pic:blipFill>
                  <pic:spPr bwMode="auto">
                    <a:xfrm>
                      <a:off x="0" y="0"/>
                      <a:ext cx="3476625" cy="2383155"/>
                    </a:xfrm>
                    <a:prstGeom prst="rect">
                      <a:avLst/>
                    </a:prstGeom>
                    <a:noFill/>
                  </pic:spPr>
                </pic:pic>
              </a:graphicData>
            </a:graphic>
          </wp:inline>
        </w:drawing>
      </w:r>
    </w:p>
    <w:p>
      <w:pPr>
        <w:pStyle w:val="BodyText"/>
        <w:jc w:val="center"/>
        <w:rPr/>
      </w:pPr>
      <w:r>
        <w:rPr/>
      </w:r>
    </w:p>
    <w:p>
      <w:pPr>
        <w:pStyle w:val="BodyText"/>
        <w:jc w:val="center"/>
        <w:rPr>
          <w:sz w:val="20"/>
        </w:rPr>
      </w:pPr>
      <w:r>
        <w:rPr>
          <w:sz w:val="20"/>
        </w:rPr>
        <w:drawing>
          <wp:inline distT="0" distB="0" distL="0" distR="0">
            <wp:extent cx="3811905" cy="245745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9" t="-15" r="-9" b="-15"/>
                    <a:stretch>
                      <a:fillRect/>
                    </a:stretch>
                  </pic:blipFill>
                  <pic:spPr bwMode="auto">
                    <a:xfrm>
                      <a:off x="0" y="0"/>
                      <a:ext cx="3811905" cy="2457450"/>
                    </a:xfrm>
                    <a:prstGeom prst="rect">
                      <a:avLst/>
                    </a:prstGeom>
                    <a:noFill/>
                  </pic:spPr>
                </pic:pic>
              </a:graphicData>
            </a:graphic>
          </wp:inline>
        </w:drawing>
      </w:r>
    </w:p>
    <w:p>
      <w:pPr>
        <w:pStyle w:val="BodyText"/>
        <w:jc w:val="center"/>
        <w:rPr/>
      </w:pPr>
      <w:r>
        <w:rPr/>
      </w:r>
    </w:p>
    <w:p>
      <w:pPr>
        <w:pStyle w:val="BodyText"/>
        <w:rPr/>
      </w:pPr>
      <w:r>
        <w:rPr/>
        <w:t>The TCDM daily estimates are then aggregated into monthly billing cycles using meter reading schedules, and compared with measured monthly core use from billing records.</w:t>
      </w:r>
    </w:p>
    <w:p>
      <w:pPr>
        <w:pStyle w:val="BodyText"/>
        <w:rPr/>
      </w:pPr>
      <w:r>
        <w:rPr/>
        <w:t>The analysis found that the DICE data approximates monthly core usage, and the TCDM has no significant bias in estimating monthly usage.  The chart below shows the relationship of the predicted monthly use to the billed monthly use.</w:t>
      </w:r>
    </w:p>
    <w:p>
      <w:pPr>
        <w:pStyle w:val="BodyText"/>
        <w:rPr>
          <w:sz w:val="20"/>
        </w:rPr>
      </w:pPr>
      <w:r>
        <w:rPr>
          <w:sz w:val="20"/>
        </w:rPr>
        <w:drawing>
          <wp:inline distT="0" distB="0" distL="0" distR="0">
            <wp:extent cx="5441950" cy="372173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9" r="-6" b="-9"/>
                    <a:stretch>
                      <a:fillRect/>
                    </a:stretch>
                  </pic:blipFill>
                  <pic:spPr bwMode="auto">
                    <a:xfrm>
                      <a:off x="0" y="0"/>
                      <a:ext cx="5441950" cy="3721735"/>
                    </a:xfrm>
                    <a:prstGeom prst="rect">
                      <a:avLst/>
                    </a:prstGeom>
                    <a:noFill/>
                  </pic:spPr>
                </pic:pic>
              </a:graphicData>
            </a:graphic>
          </wp:inline>
        </w:drawing>
      </w:r>
    </w:p>
    <w:p>
      <w:pPr>
        <w:pStyle w:val="BodyText"/>
        <w:rPr/>
      </w:pPr>
      <w:r>
        <w:rPr/>
      </w:r>
    </w:p>
    <w:p>
      <w:pPr>
        <w:pStyle w:val="BodyText"/>
        <w:rPr/>
      </w:pPr>
      <w:r>
        <w:rPr/>
      </w:r>
    </w:p>
    <w:p>
      <w:pPr>
        <w:pStyle w:val="BodyText"/>
        <w:rPr>
          <w:b/>
          <w:u w:val="single"/>
        </w:rPr>
      </w:pPr>
      <w:r>
        <w:rPr>
          <w:b/>
          <w:u w:val="single"/>
        </w:rPr>
        <w:t xml:space="preserve">Supplier Demand Model </w:t>
      </w:r>
    </w:p>
    <w:p>
      <w:pPr>
        <w:pStyle w:val="BodyText"/>
        <w:rPr>
          <w:b/>
          <w:u w:val="single"/>
        </w:rPr>
      </w:pPr>
      <w:r>
        <w:rPr>
          <w:b/>
          <w:u w:val="single"/>
        </w:rPr>
      </w:r>
    </w:p>
    <w:p>
      <w:pPr>
        <w:pStyle w:val="BodyText"/>
        <w:ind w:end="0"/>
        <w:rPr/>
      </w:pPr>
      <w:r>
        <w:rPr/>
        <w:t>Currently, there are 15 aggregators supplying gas to core customers.  Combined with SoCalGas’ Gas Acquisition Department (GAD), there are a total of 16 suppliers.  For each supplier, SoCalGas will create a 24-month series of monthly billing data, representing historical monthly billing cycle consumption of the suppliers’ current set of customers (</w:t>
      </w:r>
      <w:r>
        <w:rPr>
          <w:i/>
        </w:rPr>
        <w:t>Note:  This volume series represents the historical consumption of the group of customers’ currently served by a given supplier, regardless of how these customers were supplied in previous periods</w:t>
      </w:r>
      <w:r>
        <w:rPr/>
        <w:t>).</w:t>
      </w:r>
    </w:p>
    <w:p>
      <w:pPr>
        <w:pStyle w:val="BodyText"/>
        <w:ind w:end="0"/>
        <w:rPr/>
      </w:pPr>
      <w:r>
        <w:rPr/>
      </w:r>
    </w:p>
    <w:p>
      <w:pPr>
        <w:pStyle w:val="BodyText"/>
        <w:ind w:end="0"/>
        <w:rPr/>
      </w:pPr>
      <w:r>
        <w:rPr/>
        <w:t>For each of these suppliers, the following (monthly) equation is estimated:</w:t>
      </w:r>
    </w:p>
    <w:p>
      <w:pPr>
        <w:pStyle w:val="BodyText"/>
        <w:ind w:start="90" w:end="0"/>
        <w:rPr/>
      </w:pPr>
      <w:r>
        <w:rPr/>
        <w:tab/>
      </w:r>
    </w:p>
    <w:p>
      <w:pPr>
        <w:pStyle w:val="BodyText"/>
        <w:ind w:firstLine="630" w:start="90" w:end="0"/>
        <w:rPr/>
      </w:pPr>
      <w:r>
        <w:rPr/>
        <w:t>MV</w:t>
      </w:r>
      <w:r>
        <w:rPr>
          <w:vertAlign w:val="subscript"/>
        </w:rPr>
        <w:t xml:space="preserve">s  </w:t>
      </w:r>
      <w:r>
        <w:rPr/>
        <w:t xml:space="preserve">  =   </w:t>
      </w:r>
      <w:r>
        <w:rPr>
          <w:rFonts w:cs="Symbol" w:ascii="Symbol" w:hAnsi="Symbol"/>
        </w:rPr>
        <w:sym w:font="Symbol" w:char="f061"/>
      </w:r>
      <w:r>
        <w:rPr>
          <w:vertAlign w:val="subscript"/>
        </w:rPr>
        <w:t>s</w:t>
      </w:r>
      <w:r>
        <w:rPr/>
        <w:t xml:space="preserve"> +  </w:t>
      </w:r>
      <w:r>
        <w:rPr>
          <w:rFonts w:cs="Symbol" w:ascii="Symbol" w:hAnsi="Symbol"/>
        </w:rPr>
        <w:sym w:font="Symbol" w:char="f064"/>
      </w:r>
      <w:r>
        <w:rPr>
          <w:vertAlign w:val="subscript"/>
        </w:rPr>
        <w:t>s,1</w:t>
      </w:r>
      <w:r>
        <w:rPr/>
        <w:t xml:space="preserve">·HDD  +  </w:t>
      </w:r>
      <w:r>
        <w:rPr>
          <w:rFonts w:cs="Symbol" w:ascii="Symbol" w:hAnsi="Symbol"/>
        </w:rPr>
        <w:sym w:font="Symbol" w:char="f064"/>
      </w:r>
      <w:r>
        <w:rPr>
          <w:vertAlign w:val="subscript"/>
        </w:rPr>
        <w:t>s,2</w:t>
      </w:r>
      <w:r>
        <w:rPr/>
        <w:t>·HDD</w:t>
      </w:r>
      <w:r>
        <w:rPr>
          <w:vertAlign w:val="superscript"/>
        </w:rPr>
        <w:t>2</w:t>
      </w:r>
      <w:r>
        <w:rPr/>
        <w:t xml:space="preserve"> +  </w:t>
      </w:r>
      <w:r>
        <w:rPr>
          <w:rFonts w:cs="Symbol" w:ascii="Symbol" w:hAnsi="Symbol"/>
        </w:rPr>
        <w:sym w:font="Symbol" w:char="f066"/>
      </w:r>
      <w:r>
        <w:rPr>
          <w:vertAlign w:val="subscript"/>
        </w:rPr>
        <w:t>s</w:t>
      </w:r>
      <w:r>
        <w:rPr/>
        <w:t>·CDD</w:t>
      </w:r>
    </w:p>
    <w:p>
      <w:pPr>
        <w:pStyle w:val="BodyText"/>
        <w:ind w:end="0"/>
        <w:rPr>
          <w:sz w:val="22"/>
        </w:rPr>
      </w:pPr>
      <w:r>
        <w:rPr>
          <w:sz w:val="22"/>
        </w:rPr>
      </w:r>
    </w:p>
    <w:p>
      <w:pPr>
        <w:pStyle w:val="BodyText"/>
        <w:ind w:end="0"/>
        <w:rPr/>
      </w:pPr>
      <w:r>
        <w:rPr>
          <w:sz w:val="22"/>
        </w:rPr>
        <w:t>where</w:t>
        <w:tab/>
        <w:t xml:space="preserve"> MV</w:t>
      </w:r>
      <w:r>
        <w:rPr>
          <w:sz w:val="22"/>
          <w:vertAlign w:val="subscript"/>
        </w:rPr>
        <w:t>s</w:t>
      </w:r>
      <w:r>
        <w:rPr>
          <w:sz w:val="22"/>
        </w:rPr>
        <w:tab/>
        <w:t>=</w:t>
        <w:tab/>
        <w:t>monthly billing cycle volume for customer group s</w:t>
      </w:r>
    </w:p>
    <w:p>
      <w:pPr>
        <w:pStyle w:val="BodyText"/>
        <w:ind w:end="0"/>
        <w:rPr>
          <w:sz w:val="22"/>
        </w:rPr>
      </w:pPr>
      <w:r>
        <w:rPr>
          <w:sz w:val="22"/>
        </w:rPr>
        <w:tab/>
        <w:t xml:space="preserve"> HDD</w:t>
        <w:tab/>
        <w:t>=</w:t>
        <w:tab/>
        <w:t>service area monthly billing cycle heating degree days</w:t>
      </w:r>
    </w:p>
    <w:p>
      <w:pPr>
        <w:pStyle w:val="BodyText"/>
        <w:ind w:end="0"/>
        <w:rPr/>
      </w:pPr>
      <w:r>
        <w:rPr>
          <w:sz w:val="22"/>
        </w:rPr>
        <w:tab/>
        <w:t xml:space="preserve"> HDD</w:t>
      </w:r>
      <w:r>
        <w:rPr>
          <w:vertAlign w:val="superscript"/>
        </w:rPr>
        <w:t>2</w:t>
      </w:r>
      <w:r>
        <w:rPr>
          <w:sz w:val="22"/>
        </w:rPr>
        <w:tab/>
        <w:t>=</w:t>
        <w:tab/>
        <w:t xml:space="preserve">service area monthly billing cycle </w:t>
      </w:r>
      <w:r>
        <w:rPr>
          <w:i/>
          <w:sz w:val="22"/>
        </w:rPr>
        <w:t>squared</w:t>
      </w:r>
      <w:r>
        <w:rPr>
          <w:sz w:val="22"/>
        </w:rPr>
        <w:t xml:space="preserve"> heating degree days</w:t>
      </w:r>
    </w:p>
    <w:p>
      <w:pPr>
        <w:pStyle w:val="BodyText"/>
        <w:ind w:firstLine="720" w:end="0"/>
        <w:rPr/>
      </w:pPr>
      <w:r>
        <w:rPr>
          <w:sz w:val="22"/>
        </w:rPr>
        <w:t xml:space="preserve"> </w:t>
      </w:r>
      <w:r>
        <w:rPr>
          <w:sz w:val="22"/>
        </w:rPr>
        <w:t>CDD</w:t>
        <w:tab/>
        <w:t>=</w:t>
        <w:tab/>
        <w:t>service area monthly billing cycle cooling degree days</w:t>
      </w:r>
    </w:p>
    <w:p>
      <w:pPr>
        <w:pStyle w:val="BodyText"/>
        <w:ind w:end="0"/>
        <w:rPr>
          <w:sz w:val="22"/>
        </w:rPr>
      </w:pPr>
      <w:r>
        <w:rPr>
          <w:sz w:val="22"/>
        </w:rPr>
      </w:r>
    </w:p>
    <w:p>
      <w:pPr>
        <w:pStyle w:val="BodyText"/>
        <w:ind w:end="0"/>
        <w:rPr/>
      </w:pPr>
      <w:r>
        <w:rPr/>
        <w:t xml:space="preserve">Estimated values of the coefficients </w:t>
      </w:r>
      <w:r>
        <w:rPr>
          <w:rFonts w:eastAsia="Symbol" w:cs="Symbol" w:ascii="Symbol" w:hAnsi="Symbol"/>
        </w:rPr>
        <w:sym w:font="Symbol" w:char="f061"/>
      </w:r>
      <w:r>
        <w:rPr>
          <w:vertAlign w:val="subscript"/>
        </w:rPr>
        <w:t>s</w:t>
      </w:r>
      <w:r>
        <w:rPr/>
        <w:t xml:space="preserve">, </w:t>
      </w:r>
      <w:r>
        <w:rPr>
          <w:rFonts w:eastAsia="Symbol" w:cs="Symbol" w:ascii="Symbol" w:hAnsi="Symbol"/>
        </w:rPr>
        <w:sym w:font="Symbol" w:char="f064"/>
      </w:r>
      <w:r>
        <w:rPr>
          <w:vertAlign w:val="subscript"/>
        </w:rPr>
        <w:t>s,1</w:t>
      </w:r>
      <w:r>
        <w:rPr/>
        <w:t xml:space="preserve">, </w:t>
      </w:r>
      <w:r>
        <w:rPr>
          <w:rFonts w:cs="Symbol" w:ascii="Symbol" w:hAnsi="Symbol"/>
        </w:rPr>
        <w:sym w:font="Symbol" w:char="f064"/>
      </w:r>
      <w:r>
        <w:rPr>
          <w:vertAlign w:val="subscript"/>
        </w:rPr>
        <w:t>s,2</w:t>
      </w:r>
      <w:r>
        <w:rPr/>
        <w:t xml:space="preserve"> and </w:t>
      </w:r>
      <w:r>
        <w:rPr>
          <w:rFonts w:cs="Symbol" w:ascii="Symbol" w:hAnsi="Symbol"/>
        </w:rPr>
        <w:sym w:font="Symbol" w:char="f066"/>
      </w:r>
      <w:r>
        <w:rPr>
          <w:vertAlign w:val="subscript"/>
        </w:rPr>
        <w:t>s</w:t>
      </w:r>
      <w:r>
        <w:rPr/>
        <w:t xml:space="preserve"> will be “normalized” so that the normalized values sum to one, e.g., </w:t>
      </w:r>
    </w:p>
    <w:p>
      <w:pPr>
        <w:pStyle w:val="BodyText"/>
        <w:ind w:end="0"/>
        <w:rPr/>
      </w:pPr>
      <w:r>
        <w:rPr/>
      </w:r>
    </w:p>
    <w:p>
      <w:pPr>
        <w:pStyle w:val="BodyText"/>
        <w:ind w:end="0"/>
        <w:rPr/>
      </w:pPr>
      <w:r>
        <w:rPr>
          <w:sz w:val="20"/>
        </w:rPr>
      </w:r>
      <m:oMath xmlns:m="http://schemas.openxmlformats.org/officeDocument/2006/math">
        <m:sSup>
          <m:e>
            <m:r>
              <m:t xml:space="preserve">α</m:t>
            </m:r>
          </m:e>
          <m:sup>
            <m:r>
              <m:t xml:space="preserve">'</m:t>
            </m:r>
          </m:sup>
        </m:sSup>
        <m:r>
          <m:t xml:space="preserve">s</m:t>
        </m:r>
        <m:r>
          <m:t xml:space="preserve">=</m:t>
        </m:r>
        <m:f>
          <m:num>
            <m:r>
              <m:t xml:space="preserve">α</m:t>
            </m:r>
            <m:r>
              <m:t xml:space="preserve">s</m:t>
            </m:r>
          </m:num>
          <m:den>
            <m:nary>
              <m:naryPr>
                <m:chr m:val="∑"/>
                <m:subHide m:val="1"/>
                <m:supHide m:val="1"/>
              </m:naryPr>
              <m:sub/>
              <m:sup/>
              <m:e>
                <m:r>
                  <m:t xml:space="preserve">α</m:t>
                </m:r>
                <m:r>
                  <m:t xml:space="preserve">s</m:t>
                </m:r>
              </m:e>
            </m:nary>
          </m:den>
        </m:f>
      </m:oMath>
      <w:r>
        <w:rPr/>
        <w:t xml:space="preserve"> </w:t>
      </w:r>
      <w:r>
        <w:rPr/>
        <w:t xml:space="preserve">where </w:t>
      </w:r>
      <w:r>
        <w:rPr>
          <w:rFonts w:eastAsia="Symbol" w:cs="Symbol" w:ascii="Symbol" w:hAnsi="Symbol"/>
        </w:rPr>
        <w:sym w:font="Symbol" w:char="f061"/>
        <w:sym w:font="Symbol" w:char="f0a2"/>
      </w:r>
      <w:r>
        <w:rPr>
          <w:vertAlign w:val="subscript"/>
        </w:rPr>
        <w:t xml:space="preserve">s </w:t>
      </w:r>
      <w:r>
        <w:rPr/>
        <w:t xml:space="preserve">equals the normalized estimate of </w:t>
      </w:r>
      <w:r>
        <w:rPr>
          <w:rFonts w:eastAsia="Symbol" w:cs="Symbol" w:ascii="Symbol" w:hAnsi="Symbol"/>
        </w:rPr>
        <w:sym w:font="Symbol" w:char="f061"/>
      </w:r>
      <w:r>
        <w:rPr>
          <w:vertAlign w:val="subscript"/>
        </w:rPr>
        <w:t>s</w:t>
      </w:r>
    </w:p>
    <w:p>
      <w:pPr>
        <w:pStyle w:val="BodyText"/>
        <w:ind w:end="0"/>
        <w:rPr>
          <w:vertAlign w:val="subscript"/>
        </w:rPr>
      </w:pPr>
      <w:r>
        <w:rPr>
          <w:vertAlign w:val="subscript"/>
        </w:rPr>
      </w:r>
    </w:p>
    <w:p>
      <w:pPr>
        <w:pStyle w:val="BodyText"/>
        <w:ind w:end="0"/>
        <w:rPr/>
      </w:pPr>
      <w:r>
        <w:rPr/>
        <w:t xml:space="preserve">The normalized coefficient is used to “share” the various components of the daily load forecast between individual suppliers.  These calculated “shares” are based on the characteristics of its own set of customers.  Thus, each supplier’s projected gas demand will consist of  a share of the non-temperature sensitive load and  shares of the temperature sensitive gas loads as calculated from the total core demand model’s forecast. </w:t>
      </w:r>
    </w:p>
    <w:p>
      <w:pPr>
        <w:pStyle w:val="BodyText"/>
        <w:ind w:end="0"/>
        <w:rPr/>
      </w:pPr>
      <w:r>
        <w:rPr/>
      </w:r>
    </w:p>
    <w:p>
      <w:pPr>
        <w:pStyle w:val="BodyText"/>
        <w:ind w:end="0"/>
        <w:rPr/>
      </w:pPr>
      <w:r>
        <w:rPr/>
        <w:t>Supplier-specific daily forecasting equations are as follows:</w:t>
        <w:br/>
      </w:r>
    </w:p>
    <w:p>
      <w:pPr>
        <w:pStyle w:val="BodyText"/>
        <w:ind w:firstLine="630" w:start="90" w:end="0"/>
        <w:rPr/>
      </w:pPr>
      <w:r>
        <w:rPr/>
        <w:t>CV</w:t>
      </w:r>
      <w:r>
        <w:rPr>
          <w:vertAlign w:val="subscript"/>
        </w:rPr>
        <w:t xml:space="preserve">s  </w:t>
      </w:r>
      <w:r>
        <w:rPr/>
        <w:t xml:space="preserve">  =   </w:t>
      </w:r>
      <w:r>
        <w:rPr>
          <w:rFonts w:cs="Symbol" w:ascii="Symbol" w:hAnsi="Symbol"/>
        </w:rPr>
        <w:sym w:font="Symbol" w:char="f061"/>
      </w:r>
      <w:r>
        <w:rPr>
          <w:rFonts w:eastAsia="Symbol" w:cs="Symbol" w:ascii="Symbol" w:hAnsi="Symbol"/>
        </w:rPr>
        <w:sym w:font="Symbol" w:char="f0a2"/>
      </w:r>
      <w:r>
        <w:rPr>
          <w:vertAlign w:val="subscript"/>
        </w:rPr>
        <w:t>s</w:t>
      </w:r>
      <w:r>
        <w:rPr/>
        <w:t xml:space="preserve"> (a + b·D</w:t>
      </w:r>
      <w:r>
        <w:rPr>
          <w:vertAlign w:val="subscript"/>
        </w:rPr>
        <w:t xml:space="preserve">i  </w:t>
      </w:r>
      <w:r>
        <w:rPr/>
        <w:t xml:space="preserve">+ f·AC) </w:t>
      </w:r>
    </w:p>
    <w:p>
      <w:pPr>
        <w:pStyle w:val="BodyText"/>
        <w:ind w:firstLine="630" w:start="1440" w:end="0"/>
        <w:rPr/>
      </w:pPr>
      <w:r>
        <w:rPr/>
        <w:t xml:space="preserve">+  </w:t>
      </w:r>
      <w:r>
        <w:rPr>
          <w:rFonts w:cs="Symbol" w:ascii="Symbol" w:hAnsi="Symbol"/>
        </w:rPr>
        <w:sym w:font="Symbol" w:char="f064"/>
      </w:r>
      <w:r>
        <w:rPr>
          <w:rFonts w:eastAsia="Symbol" w:cs="Symbol" w:ascii="Symbol" w:hAnsi="Symbol"/>
        </w:rPr>
        <w:sym w:font="Symbol" w:char="f0a2"/>
      </w:r>
      <w:r>
        <w:rPr>
          <w:vertAlign w:val="subscript"/>
        </w:rPr>
        <w:t>s,1</w:t>
      </w:r>
      <w:r>
        <w:rPr/>
        <w:t>·(c·M</w:t>
      </w:r>
      <w:r>
        <w:rPr>
          <w:vertAlign w:val="subscript"/>
        </w:rPr>
        <w:t>i</w:t>
      </w:r>
      <w:r>
        <w:rPr/>
        <w:t xml:space="preserve">  +  d</w:t>
      </w:r>
      <w:r>
        <w:rPr>
          <w:vertAlign w:val="subscript"/>
        </w:rPr>
        <w:t>1</w:t>
      </w:r>
      <w:r>
        <w:rPr/>
        <w:t xml:space="preserve">·HDD) +  </w:t>
      </w:r>
      <w:r>
        <w:rPr>
          <w:rFonts w:cs="Symbol" w:ascii="Symbol" w:hAnsi="Symbol"/>
        </w:rPr>
        <w:sym w:font="Symbol" w:char="f064"/>
      </w:r>
      <w:r>
        <w:rPr>
          <w:rFonts w:eastAsia="Symbol" w:cs="Symbol" w:ascii="Symbol" w:hAnsi="Symbol"/>
        </w:rPr>
        <w:sym w:font="Symbol" w:char="f0a2"/>
      </w:r>
      <w:r>
        <w:rPr>
          <w:vertAlign w:val="subscript"/>
        </w:rPr>
        <w:t>s,1</w:t>
      </w:r>
      <w:r>
        <w:rPr/>
        <w:t>· d</w:t>
      </w:r>
      <w:r>
        <w:rPr>
          <w:position w:val="-6"/>
          <w:sz w:val="16"/>
        </w:rPr>
        <w:t>2</w:t>
      </w:r>
      <w:r>
        <w:rPr/>
        <w:t>· HDD</w:t>
      </w:r>
      <w:r>
        <w:rPr>
          <w:vertAlign w:val="superscript"/>
        </w:rPr>
        <w:t>2</w:t>
      </w:r>
      <w:r>
        <w:rPr/>
        <w:t xml:space="preserve"> +  </w:t>
      </w:r>
      <w:r>
        <w:rPr>
          <w:rFonts w:cs="Symbol" w:ascii="Symbol" w:hAnsi="Symbol"/>
        </w:rPr>
        <w:sym w:font="Symbol" w:char="f066"/>
      </w:r>
      <w:r>
        <w:rPr>
          <w:rFonts w:eastAsia="Symbol" w:cs="Symbol" w:ascii="Symbol" w:hAnsi="Symbol"/>
        </w:rPr>
        <w:sym w:font="Symbol" w:char="f0a2"/>
      </w:r>
      <w:r>
        <w:rPr>
          <w:vertAlign w:val="subscript"/>
        </w:rPr>
        <w:t>s</w:t>
      </w:r>
      <w:r>
        <w:rPr/>
        <w:t>·e·CDD</w:t>
      </w:r>
    </w:p>
    <w:p>
      <w:pPr>
        <w:pStyle w:val="BodyText"/>
        <w:ind w:end="0"/>
        <w:rPr/>
      </w:pPr>
      <w:r>
        <w:rPr/>
      </w:r>
    </w:p>
    <w:p>
      <w:pPr>
        <w:pStyle w:val="Normal"/>
        <w:tabs>
          <w:tab w:val="clear" w:pos="720"/>
          <w:tab w:val="left" w:pos="1080" w:leader="none"/>
        </w:tabs>
        <w:rPr>
          <w:sz w:val="24"/>
        </w:rPr>
      </w:pPr>
      <w:r>
        <w:rPr>
          <w:sz w:val="24"/>
        </w:rPr>
        <w:t xml:space="preserve">The first term is the supplier’s non-temperature sensitive gas use, while the last three terms are the supplier’s gas usage related to changes in temperature. </w:t>
      </w:r>
    </w:p>
    <w:p>
      <w:pPr>
        <w:pStyle w:val="Normal"/>
        <w:tabs>
          <w:tab w:val="clear" w:pos="720"/>
          <w:tab w:val="left" w:pos="1080" w:leader="none"/>
        </w:tabs>
        <w:rPr>
          <w:sz w:val="24"/>
        </w:rPr>
      </w:pPr>
      <w:r>
        <w:rPr>
          <w:sz w:val="24"/>
        </w:rPr>
      </w:r>
    </w:p>
    <w:p>
      <w:pPr>
        <w:pStyle w:val="BodyText2"/>
        <w:rPr/>
      </w:pPr>
      <w:r>
        <w:rPr/>
        <w:t>Because month-to-month changes in the group of customers served by specific aggregators may be significant, it is anticipated that each supplier forecasting equation will need to be re-estimated monthly.  Specific adjustments will also be made for customers with little or no gas use history (e.g., newly established businesses).</w:t>
      </w:r>
    </w:p>
    <w:p>
      <w:pPr>
        <w:pStyle w:val="BodyText2"/>
        <w:rPr/>
      </w:pPr>
      <w:r>
        <w:rPr/>
      </w:r>
    </w:p>
    <w:p>
      <w:pPr>
        <w:pStyle w:val="Heading7"/>
        <w:ind w:hanging="0" w:start="0"/>
        <w:rPr/>
      </w:pPr>
      <w:r>
        <w:rPr/>
        <w:t>Model Calibration</w:t>
      </w:r>
    </w:p>
    <w:p>
      <w:pPr>
        <w:pStyle w:val="Normal"/>
        <w:tabs>
          <w:tab w:val="clear" w:pos="720"/>
          <w:tab w:val="left" w:pos="1080" w:leader="none"/>
        </w:tabs>
        <w:rPr>
          <w:sz w:val="24"/>
        </w:rPr>
      </w:pPr>
      <w:r>
        <w:rPr>
          <w:sz w:val="24"/>
        </w:rPr>
      </w:r>
    </w:p>
    <w:p>
      <w:pPr>
        <w:pStyle w:val="BodyText2"/>
        <w:spacing w:before="0" w:after="0"/>
        <w:rPr/>
      </w:pPr>
      <w:r>
        <w:rPr/>
        <w:t xml:space="preserve">It is reasonable to monitor the accuracy of the forecasts, and make model adjustments as necessary.  To retain confidence in the objectivity of the forecasts, such adjustments need to rely on discretion as little as possible and on rules as much as possible.  SoCalGas will develop a rule-based model re-calibration process based on significant mismatch between the summation of the “day-ahead” forecasts to yield a monthly cycle gas use, and the supplier’s </w:t>
      </w:r>
      <w:r>
        <w:rPr>
          <w:i/>
        </w:rPr>
        <w:t>actual</w:t>
      </w:r>
      <w:r>
        <w:rPr/>
        <w:t xml:space="preserve"> monthly cycle gas use as determined from billing records.</w:t>
      </w:r>
    </w:p>
    <w:p>
      <w:pPr>
        <w:pStyle w:val="Normal"/>
        <w:tabs>
          <w:tab w:val="clear" w:pos="720"/>
          <w:tab w:val="left" w:pos="1080" w:leader="none"/>
        </w:tabs>
        <w:rPr>
          <w:sz w:val="24"/>
        </w:rPr>
      </w:pPr>
      <w:r>
        <w:rPr>
          <w:sz w:val="24"/>
        </w:rPr>
      </w:r>
    </w:p>
    <w:p>
      <w:pPr>
        <w:pStyle w:val="Normal"/>
        <w:tabs>
          <w:tab w:val="clear" w:pos="720"/>
          <w:tab w:val="left" w:pos="1080" w:leader="none"/>
        </w:tabs>
        <w:rPr>
          <w:sz w:val="24"/>
        </w:rPr>
      </w:pPr>
      <w:r>
        <w:rPr>
          <w:sz w:val="24"/>
        </w:rPr>
      </w:r>
    </w:p>
    <w:p>
      <w:pPr>
        <w:pStyle w:val="Normal"/>
        <w:tabs>
          <w:tab w:val="clear" w:pos="720"/>
          <w:tab w:val="left" w:pos="1080" w:leader="none"/>
        </w:tabs>
        <w:rPr>
          <w:sz w:val="24"/>
        </w:rPr>
      </w:pPr>
      <w:r>
        <w:rPr>
          <w:sz w:val="24"/>
        </w:rPr>
      </w:r>
    </w:p>
    <w:sectPr>
      <w:footerReference w:type="defaul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im Ozenne" w:date="0-00-00T00:00:00Z" w:initials="too">
    <w:p>
      <w:pPr>
        <w:overflowPunct w:val="false"/>
        <w:bidi w:val="0"/>
        <w:rPr/>
      </w:pPr>
      <w:r>
        <w:annotationRef/>
      </w:r>
      <w:r>
        <w:rPr>
          <w:rFonts w:cs="DejaVu Sans" w:eastAsia="DejaVu Sans" w:ascii="Liberation Serif" w:hAnsi="Liberation Serif"/>
          <w:sz w:val="24"/>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numFmt w:val="bullet"/>
      <w:lvlText w:val="–"/>
      <w:lvlJc w:val="start"/>
      <w:pPr>
        <w:tabs>
          <w:tab w:val="num" w:pos="0"/>
        </w:tabs>
        <w:ind w:start="0" w:hanging="0"/>
      </w:pPr>
      <w:rPr>
        <w:rFonts w:ascii="Liberation Serif" w:hAnsi="Liberation Serif" w:cs="Liberation Serif" w:hint="default"/>
        <w:sz w:val="32"/>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usePrinterMetrics/>
    <w:compatSetting w:name="compatibilityMode" w:uri="http://schemas.microsoft.com/office/word" w:val="11"/>
  </w:compat>
  <w:docVars>
    <w:docVar w:name="ACTIVE" w:val="DTB_APPENDIX E(DCLF)_328.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7">
    <w:name w:val="heading 7"/>
    <w:basedOn w:val="Normal"/>
    <w:next w:val="Normal"/>
    <w:qFormat/>
    <w:pPr>
      <w:keepNext w:val="true"/>
      <w:numPr>
        <w:ilvl w:val="6"/>
        <w:numId w:val="1"/>
      </w:numPr>
      <w:tabs>
        <w:tab w:val="clear" w:pos="720"/>
        <w:tab w:val="left" w:pos="1080" w:leader="none"/>
      </w:tabs>
      <w:spacing w:before="60" w:after="60"/>
      <w:outlineLvl w:val="6"/>
    </w:pPr>
    <w:rPr>
      <w:b/>
      <w:sz w:val="24"/>
      <w:u w:val="single"/>
    </w:rPr>
  </w:style>
  <w:style w:type="character" w:styleId="WW8NumSt2z0">
    <w:name w:val="WW8NumSt2z0"/>
    <w:qFormat/>
    <w:rPr>
      <w:sz w:val="32"/>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spacing w:before="60" w:after="60"/>
      <w:ind w:hanging="0" w:start="0" w:end="-54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1080" w:leader="none"/>
      </w:tabs>
      <w:spacing w:before="60" w:after="60"/>
    </w:pPr>
    <w:rPr>
      <w:sz w:val="24"/>
    </w:rPr>
  </w:style>
  <w:style w:type="paragraph" w:styleId="WW-BodyText2">
    <w:name w:val="WW-Body Text 2"/>
    <w:basedOn w:val="Normal"/>
    <w:qFormat/>
    <w:pPr>
      <w:ind w:firstLine="720" w:start="0" w:end="0"/>
    </w:pPr>
    <w:rPr>
      <w:sz w:val="24"/>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2000-04-17T21:40:00Z</dcterms:created>
  <dc:creator>ETS-Customer Services</dc:creator>
  <dc:description/>
  <dc:language>en-CA</dc:language>
  <cp:lastModifiedBy>Sempra Energy</cp:lastModifiedBy>
  <cp:lastPrinted>2000-04-13T08:56:00Z</cp:lastPrinted>
  <dcterms:modified xsi:type="dcterms:W3CDTF">2000-04-17T21:40:00Z</dcterms:modified>
  <cp:revision>2</cp:revision>
  <dc:subject/>
  <dc:title>APPENDIX E</dc:title>
</cp:coreProperties>
</file>