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720"/>
        <w:jc w:val="center"/>
        <w:rPr/>
      </w:pPr>
      <w:r>
        <w:rPr/>
        <w:t>BEFORE THE PUBLIC UTILITIES COMMISSION</w:t>
        <w:br/>
        <w:t>OF THE STATE OF CALIFORNIA</w:t>
      </w:r>
    </w:p>
    <w:tbl>
      <w:tblPr>
        <w:tblW w:w="9738" w:type="dxa"/>
        <w:jc w:val="start"/>
        <w:tblInd w:w="0" w:type="dxa"/>
        <w:tblLayout w:type="fixed"/>
        <w:tblCellMar>
          <w:top w:w="0" w:type="dxa"/>
          <w:start w:w="108" w:type="dxa"/>
          <w:bottom w:w="0" w:type="dxa"/>
          <w:end w:w="108" w:type="dxa"/>
        </w:tblCellMar>
      </w:tblPr>
      <w:tblGrid>
        <w:gridCol w:w="6768"/>
        <w:gridCol w:w="270"/>
        <w:gridCol w:w="2700"/>
      </w:tblGrid>
      <w:tr>
        <w:trPr/>
        <w:tc>
          <w:tcPr>
            <w:tcW w:w="6768" w:type="dxa"/>
            <w:tcBorders/>
          </w:tcPr>
          <w:p>
            <w:pPr>
              <w:pStyle w:val="zCaption"/>
              <w:rPr>
                <w:sz w:val="21"/>
              </w:rPr>
            </w:pPr>
            <w:r>
              <w:rPr>
                <w:sz w:val="21"/>
              </w:rPr>
              <w:t>Application of Pacific Gas and Electric Company Submitting Electric Rate Proposal for Direct Access Services Described in Decision 97-10-087.</w:t>
            </w:r>
          </w:p>
        </w:tc>
        <w:tc>
          <w:tcPr>
            <w:tcW w:w="270" w:type="dxa"/>
            <w:tcBorders/>
          </w:tcPr>
          <w:p>
            <w:pPr>
              <w:pStyle w:val="Normal"/>
              <w:spacing w:lineRule="atLeast" w:line="240"/>
              <w:ind w:end="72"/>
              <w:rPr>
                <w:sz w:val="21"/>
              </w:rPr>
            </w:pPr>
            <w:r>
              <w:rPr>
                <w:sz w:val="21"/>
              </w:rPr>
              <w:t>))))</w:t>
            </w:r>
          </w:p>
        </w:tc>
        <w:tc>
          <w:tcPr>
            <w:tcW w:w="2700" w:type="dxa"/>
            <w:tcBorders/>
          </w:tcPr>
          <w:p>
            <w:pPr>
              <w:pStyle w:val="zAppNo"/>
              <w:spacing w:before="240" w:after="0"/>
              <w:rPr>
                <w:sz w:val="21"/>
              </w:rPr>
            </w:pPr>
            <w:r>
              <w:rPr>
                <w:sz w:val="21"/>
              </w:rPr>
              <w:t>Application 99-06-033</w:t>
            </w:r>
          </w:p>
        </w:tc>
      </w:tr>
      <w:tr>
        <w:trPr/>
        <w:tc>
          <w:tcPr>
            <w:tcW w:w="6768" w:type="dxa"/>
            <w:tcBorders>
              <w:top w:val="single" w:sz="4" w:space="0" w:color="000000"/>
            </w:tcBorders>
          </w:tcPr>
          <w:p>
            <w:pPr>
              <w:pStyle w:val="zCaption"/>
              <w:rPr>
                <w:sz w:val="21"/>
              </w:rPr>
            </w:pPr>
            <w:r>
              <w:rPr>
                <w:sz w:val="21"/>
              </w:rPr>
              <w:t>Application of Southern California Edison Company for Authority to Establish Direct Access Service Fees for Competitive and Regulated Services.</w:t>
            </w:r>
          </w:p>
        </w:tc>
        <w:tc>
          <w:tcPr>
            <w:tcW w:w="270" w:type="dxa"/>
            <w:tcBorders/>
          </w:tcPr>
          <w:p>
            <w:pPr>
              <w:pStyle w:val="Normal"/>
              <w:spacing w:lineRule="atLeast" w:line="240"/>
              <w:ind w:end="72"/>
              <w:rPr>
                <w:sz w:val="21"/>
              </w:rPr>
            </w:pPr>
            <w:r>
              <w:rPr>
                <w:sz w:val="21"/>
              </w:rPr>
              <w:t>))))</w:t>
            </w:r>
          </w:p>
        </w:tc>
        <w:tc>
          <w:tcPr>
            <w:tcW w:w="2700" w:type="dxa"/>
            <w:tcBorders/>
          </w:tcPr>
          <w:p>
            <w:pPr>
              <w:pStyle w:val="zAppNo"/>
              <w:spacing w:before="240" w:after="0"/>
              <w:rPr>
                <w:sz w:val="21"/>
              </w:rPr>
            </w:pPr>
            <w:r>
              <w:rPr>
                <w:sz w:val="21"/>
              </w:rPr>
              <w:t>Application 99-06-040</w:t>
            </w:r>
          </w:p>
        </w:tc>
      </w:tr>
      <w:tr>
        <w:trPr/>
        <w:tc>
          <w:tcPr>
            <w:tcW w:w="6768" w:type="dxa"/>
            <w:tcBorders>
              <w:top w:val="single" w:sz="4" w:space="0" w:color="000000"/>
            </w:tcBorders>
          </w:tcPr>
          <w:p>
            <w:pPr>
              <w:pStyle w:val="zCaption"/>
              <w:rPr>
                <w:sz w:val="21"/>
              </w:rPr>
            </w:pPr>
            <w:r>
              <w:rPr>
                <w:sz w:val="21"/>
              </w:rPr>
              <w:t>Application of San Diego Gas &amp; Electric Company for Authority to Implement Discretionary, Non-Discretionary, and Exception Service Fees.</w:t>
            </w:r>
          </w:p>
        </w:tc>
        <w:tc>
          <w:tcPr>
            <w:tcW w:w="270" w:type="dxa"/>
            <w:tcBorders/>
          </w:tcPr>
          <w:p>
            <w:pPr>
              <w:pStyle w:val="Normal"/>
              <w:spacing w:lineRule="atLeast" w:line="240"/>
              <w:ind w:end="72"/>
              <w:rPr>
                <w:sz w:val="21"/>
              </w:rPr>
            </w:pPr>
            <w:r>
              <w:rPr>
                <w:sz w:val="21"/>
              </w:rPr>
              <w:t>))))</w:t>
            </w:r>
          </w:p>
        </w:tc>
        <w:tc>
          <w:tcPr>
            <w:tcW w:w="2700" w:type="dxa"/>
            <w:tcBorders/>
          </w:tcPr>
          <w:p>
            <w:pPr>
              <w:pStyle w:val="zAppNo"/>
              <w:spacing w:before="240" w:after="0"/>
              <w:rPr>
                <w:sz w:val="21"/>
              </w:rPr>
            </w:pPr>
            <w:r>
              <w:rPr>
                <w:sz w:val="21"/>
              </w:rPr>
              <w:t>Application 99-06-041</w:t>
            </w:r>
          </w:p>
        </w:tc>
      </w:tr>
      <w:tr>
        <w:trPr/>
        <w:tc>
          <w:tcPr>
            <w:tcW w:w="6768" w:type="dxa"/>
            <w:tcBorders>
              <w:top w:val="single" w:sz="4" w:space="0" w:color="000000"/>
            </w:tcBorders>
          </w:tcPr>
          <w:p>
            <w:pPr>
              <w:pStyle w:val="zCaption"/>
              <w:rPr>
                <w:sz w:val="21"/>
              </w:rPr>
            </w:pPr>
            <w:r>
              <w:rPr>
                <w:sz w:val="21"/>
              </w:rPr>
              <w:t>Application of Pacific Gas and Electric Company Submitting Electric Revenue Cycle Services Cost and Rate Proposals in Compliance with Decision 98-09-070.</w:t>
            </w:r>
          </w:p>
        </w:tc>
        <w:tc>
          <w:tcPr>
            <w:tcW w:w="270" w:type="dxa"/>
            <w:tcBorders/>
          </w:tcPr>
          <w:p>
            <w:pPr>
              <w:pStyle w:val="Normal"/>
              <w:spacing w:lineRule="atLeast" w:line="240"/>
              <w:ind w:end="72"/>
              <w:rPr>
                <w:sz w:val="21"/>
              </w:rPr>
            </w:pPr>
            <w:r>
              <w:rPr>
                <w:sz w:val="21"/>
              </w:rPr>
              <w:t>))))</w:t>
            </w:r>
          </w:p>
        </w:tc>
        <w:tc>
          <w:tcPr>
            <w:tcW w:w="2700" w:type="dxa"/>
            <w:tcBorders/>
          </w:tcPr>
          <w:p>
            <w:pPr>
              <w:pStyle w:val="zAppNo"/>
              <w:spacing w:before="240" w:after="0"/>
              <w:rPr>
                <w:sz w:val="21"/>
              </w:rPr>
            </w:pPr>
            <w:r>
              <w:rPr>
                <w:sz w:val="21"/>
              </w:rPr>
              <w:t>Application 99-03-013</w:t>
            </w:r>
          </w:p>
        </w:tc>
      </w:tr>
      <w:tr>
        <w:trPr/>
        <w:tc>
          <w:tcPr>
            <w:tcW w:w="6768" w:type="dxa"/>
            <w:tcBorders>
              <w:top w:val="single" w:sz="4" w:space="0" w:color="000000"/>
              <w:bottom w:val="single" w:sz="4" w:space="0" w:color="000000"/>
            </w:tcBorders>
          </w:tcPr>
          <w:p>
            <w:pPr>
              <w:pStyle w:val="zCaption"/>
              <w:rPr>
                <w:sz w:val="21"/>
              </w:rPr>
            </w:pPr>
            <w:r>
              <w:rPr>
                <w:sz w:val="21"/>
              </w:rPr>
              <w:t>Application for Commission Consideration of Post-Transition Proposals for Long-Run Marginal Cost Pricing and Geographic De-Averaging of Revenue Cycle Services.</w:t>
            </w:r>
          </w:p>
        </w:tc>
        <w:tc>
          <w:tcPr>
            <w:tcW w:w="270" w:type="dxa"/>
            <w:tcBorders/>
          </w:tcPr>
          <w:p>
            <w:pPr>
              <w:pStyle w:val="Normal"/>
              <w:spacing w:lineRule="atLeast" w:line="240"/>
              <w:ind w:end="72"/>
              <w:rPr>
                <w:sz w:val="21"/>
              </w:rPr>
            </w:pPr>
            <w:r>
              <w:rPr>
                <w:sz w:val="21"/>
              </w:rPr>
              <w:t>))))</w:t>
            </w:r>
          </w:p>
        </w:tc>
        <w:tc>
          <w:tcPr>
            <w:tcW w:w="2700" w:type="dxa"/>
            <w:tcBorders/>
          </w:tcPr>
          <w:p>
            <w:pPr>
              <w:pStyle w:val="zAppNo"/>
              <w:spacing w:before="240" w:after="0"/>
              <w:rPr>
                <w:sz w:val="21"/>
              </w:rPr>
            </w:pPr>
            <w:r>
              <w:rPr>
                <w:sz w:val="21"/>
              </w:rPr>
              <w:t>Application 99-03-019</w:t>
            </w:r>
          </w:p>
        </w:tc>
      </w:tr>
      <w:tr>
        <w:trPr/>
        <w:tc>
          <w:tcPr>
            <w:tcW w:w="6768" w:type="dxa"/>
            <w:tcBorders>
              <w:bottom w:val="single" w:sz="6" w:space="0" w:color="000000"/>
            </w:tcBorders>
          </w:tcPr>
          <w:p>
            <w:pPr>
              <w:pStyle w:val="zCaption"/>
              <w:rPr>
                <w:sz w:val="21"/>
              </w:rPr>
            </w:pPr>
            <w:r>
              <w:rPr>
                <w:sz w:val="21"/>
              </w:rPr>
              <w:t>Application of Southern California Edison Company (U 338-E) Relating to Long-Run Marginal Costs for Unbundled Metering and Billing Services.</w:t>
            </w:r>
          </w:p>
        </w:tc>
        <w:tc>
          <w:tcPr>
            <w:tcW w:w="270" w:type="dxa"/>
            <w:tcBorders/>
          </w:tcPr>
          <w:p>
            <w:pPr>
              <w:pStyle w:val="Normal"/>
              <w:spacing w:lineRule="atLeast" w:line="240"/>
              <w:ind w:end="72"/>
              <w:rPr>
                <w:sz w:val="21"/>
              </w:rPr>
            </w:pPr>
            <w:r>
              <w:rPr>
                <w:sz w:val="21"/>
              </w:rPr>
              <w:t>))))</w:t>
            </w:r>
          </w:p>
        </w:tc>
        <w:tc>
          <w:tcPr>
            <w:tcW w:w="2700" w:type="dxa"/>
            <w:tcBorders/>
          </w:tcPr>
          <w:p>
            <w:pPr>
              <w:pStyle w:val="zAppNo"/>
              <w:spacing w:before="240" w:after="0"/>
              <w:rPr>
                <w:sz w:val="21"/>
              </w:rPr>
            </w:pPr>
            <w:r>
              <w:rPr>
                <w:sz w:val="21"/>
              </w:rPr>
              <w:t>Application 99-03-024</w:t>
            </w:r>
          </w:p>
        </w:tc>
      </w:tr>
    </w:tbl>
    <w:p>
      <w:pPr>
        <w:pStyle w:val="Normal"/>
        <w:jc w:val="center"/>
        <w:rPr>
          <w:b/>
        </w:rPr>
      </w:pPr>
      <w:r>
        <w:rPr>
          <w:b/>
        </w:rPr>
      </w:r>
    </w:p>
    <w:p>
      <w:pPr>
        <w:pStyle w:val="Normal"/>
        <w:jc w:val="center"/>
        <w:rPr>
          <w:b/>
        </w:rPr>
      </w:pPr>
      <w:r>
        <w:rPr>
          <w:b/>
        </w:rPr>
        <w:t>JOINT MOTION OF THE</w:t>
      </w:r>
    </w:p>
    <w:p>
      <w:pPr>
        <w:pStyle w:val="Normal"/>
        <w:jc w:val="center"/>
        <w:rPr>
          <w:b/>
        </w:rPr>
      </w:pPr>
      <w:r>
        <w:rPr>
          <w:b/>
        </w:rPr>
        <w:t xml:space="preserve">CALIFORNIA DEPARTMENT OF GENERAL SERVICES, </w:t>
      </w:r>
    </w:p>
    <w:p>
      <w:pPr>
        <w:pStyle w:val="Normal"/>
        <w:jc w:val="center"/>
        <w:rPr>
          <w:b/>
        </w:rPr>
      </w:pPr>
      <w:r>
        <w:rPr>
          <w:b/>
        </w:rPr>
        <w:t xml:space="preserve"> </w:t>
      </w:r>
      <w:r>
        <w:rPr>
          <w:b/>
        </w:rPr>
        <w:t xml:space="preserve">SAN DIEGO GAS &amp; ELECTRIC COMPANY, </w:t>
      </w:r>
    </w:p>
    <w:p>
      <w:pPr>
        <w:pStyle w:val="Normal"/>
        <w:jc w:val="center"/>
        <w:rPr>
          <w:b/>
        </w:rPr>
      </w:pPr>
      <w:r>
        <w:rPr>
          <w:b/>
        </w:rPr>
        <w:t xml:space="preserve">THE ALLIANCE FOR RETAIL MARKETS, </w:t>
      </w:r>
    </w:p>
    <w:p>
      <w:pPr>
        <w:pStyle w:val="Normal"/>
        <w:jc w:val="center"/>
        <w:rPr>
          <w:b/>
        </w:rPr>
      </w:pPr>
      <w:r>
        <w:rPr>
          <w:b/>
        </w:rPr>
        <w:t xml:space="preserve">THE GOLDEN STATE POWER COOPORATIVE, AND </w:t>
      </w:r>
    </w:p>
    <w:p>
      <w:pPr>
        <w:pStyle w:val="Normal"/>
        <w:jc w:val="center"/>
        <w:rPr>
          <w:b/>
        </w:rPr>
      </w:pPr>
      <w:r>
        <w:rPr>
          <w:b/>
        </w:rPr>
        <w:t>THE OFFICE OF RATEPAYER ADVOCATES</w:t>
      </w:r>
    </w:p>
    <w:p>
      <w:pPr>
        <w:pStyle w:val="Normal"/>
        <w:jc w:val="center"/>
        <w:rPr>
          <w:b/>
        </w:rPr>
      </w:pPr>
      <w:r>
        <w:rPr>
          <w:b/>
        </w:rPr>
        <w:t xml:space="preserve">FOR ADOPTION OF SETTLEMENT </w:t>
      </w:r>
    </w:p>
    <w:p>
      <w:pPr>
        <w:pStyle w:val="Normal"/>
        <w:jc w:val="center"/>
        <w:rPr>
          <w:b/>
        </w:rPr>
      </w:pPr>
      <w:r>
        <w:rPr>
          <w:b/>
        </w:rPr>
      </w:r>
    </w:p>
    <w:p>
      <w:pPr>
        <w:pStyle w:val="Normal"/>
        <w:jc w:val="center"/>
        <w:rPr>
          <w:b/>
        </w:rPr>
      </w:pPr>
      <w:r>
        <w:rPr>
          <w:b/>
        </w:rPr>
        <w:t xml:space="preserve"> </w:t>
      </w:r>
    </w:p>
    <w:tbl>
      <w:tblPr>
        <w:tblW w:w="10170" w:type="dxa"/>
        <w:jc w:val="start"/>
        <w:tblInd w:w="0" w:type="dxa"/>
        <w:tblLayout w:type="fixed"/>
        <w:tblCellMar>
          <w:top w:w="0" w:type="dxa"/>
          <w:start w:w="0" w:type="dxa"/>
          <w:bottom w:w="0" w:type="dxa"/>
          <w:end w:w="0" w:type="dxa"/>
        </w:tblCellMar>
      </w:tblPr>
      <w:tblGrid>
        <w:gridCol w:w="5130"/>
        <w:gridCol w:w="5040"/>
      </w:tblGrid>
      <w:tr>
        <w:trPr/>
        <w:tc>
          <w:tcPr>
            <w:tcW w:w="5130" w:type="dxa"/>
            <w:tcBorders/>
            <w:vAlign w:val="bottom"/>
          </w:tcPr>
          <w:p>
            <w:pPr>
              <w:pStyle w:val="Normal"/>
              <w:spacing w:before="120" w:after="0"/>
              <w:rPr/>
            </w:pPr>
            <w:r>
              <w:rPr/>
              <w:t>Date: September 14, 2000</w:t>
            </w:r>
          </w:p>
        </w:tc>
        <w:tc>
          <w:tcPr>
            <w:tcW w:w="5040" w:type="dxa"/>
            <w:tcBorders/>
            <w:vAlign w:val="bottom"/>
          </w:tcPr>
          <w:p>
            <w:pPr>
              <w:pStyle w:val="Normal"/>
              <w:rPr/>
            </w:pPr>
            <w:r>
              <w:rPr/>
              <w:t>GOODIN, MACBRIDE, SQUERI,</w:t>
              <w:br/>
              <w:t>RITCHIE &amp; DAY, LLP</w:t>
            </w:r>
          </w:p>
          <w:p>
            <w:pPr>
              <w:pStyle w:val="Normal"/>
              <w:rPr/>
            </w:pPr>
            <w:r>
              <w:rPr/>
              <w:t>Jeanne M. Bennett</w:t>
            </w:r>
          </w:p>
          <w:p>
            <w:pPr>
              <w:pStyle w:val="Normal"/>
              <w:rPr/>
            </w:pPr>
            <w:r>
              <w:rPr/>
              <w:t>505 Sansome Street, Suite 900</w:t>
              <w:br/>
              <w:t>San Francisco, CA  94111</w:t>
              <w:br/>
              <w:t>Telephone:</w:t>
              <w:tab/>
              <w:t>(415) 392-7900</w:t>
              <w:br/>
              <w:t>Facsimile:</w:t>
              <w:tab/>
              <w:t>(415) 398-4321</w:t>
            </w:r>
          </w:p>
          <w:p>
            <w:pPr>
              <w:pStyle w:val="Normal"/>
              <w:spacing w:before="240" w:after="0"/>
              <w:rPr/>
            </w:pPr>
            <w:r>
              <w:rPr/>
              <w:t>Attorneys for  the Alliance for Retail Markets</w:t>
            </w:r>
          </w:p>
        </w:tc>
      </w:tr>
    </w:tbl>
    <w:p>
      <w:pPr>
        <w:sectPr>
          <w:headerReference w:type="default" r:id="rId2"/>
          <w:headerReference w:type="first" r:id="rId3"/>
          <w:footerReference w:type="default" r:id="rId4"/>
          <w:footerReference w:type="first" r:id="rId5"/>
          <w:type w:val="nextPage"/>
          <w:pgSz w:w="12240" w:h="15840"/>
          <w:pgMar w:left="1440" w:right="1440" w:gutter="0" w:header="432" w:top="1440" w:footer="360" w:bottom="1440"/>
          <w:pgNumType w:fmt="decimal"/>
          <w:formProt w:val="false"/>
          <w:titlePg/>
          <w:textDirection w:val="lrTb"/>
          <w:docGrid w:type="default" w:linePitch="360" w:charSpace="0"/>
        </w:sectPr>
      </w:pPr>
    </w:p>
    <w:p>
      <w:pPr>
        <w:pStyle w:val="Normal"/>
        <w:jc w:val="center"/>
        <w:rPr>
          <w:b/>
        </w:rPr>
      </w:pPr>
      <w:r>
        <w:rPr>
          <w:b/>
        </w:rPr>
        <w:t>BEFORE THE PUBLIC UTILITIES COMMISSION</w:t>
      </w:r>
    </w:p>
    <w:p>
      <w:pPr>
        <w:pStyle w:val="Normal"/>
        <w:spacing w:before="0" w:after="120"/>
        <w:jc w:val="center"/>
        <w:rPr>
          <w:b/>
        </w:rPr>
      </w:pPr>
      <w:r>
        <w:rPr>
          <w:b/>
        </w:rPr>
        <w:t>OF THE STATE OF CALIFORNIA</w:t>
      </w:r>
    </w:p>
    <w:p>
      <w:pPr>
        <w:pStyle w:val="Normal"/>
        <w:spacing w:before="0" w:after="120"/>
        <w:jc w:val="center"/>
        <w:rPr>
          <w:b/>
        </w:rPr>
      </w:pPr>
      <w:r>
        <w:rPr>
          <w:b/>
        </w:rPr>
      </w:r>
    </w:p>
    <w:tbl>
      <w:tblPr>
        <w:tblW w:w="9738" w:type="dxa"/>
        <w:jc w:val="start"/>
        <w:tblInd w:w="0" w:type="dxa"/>
        <w:tblLayout w:type="fixed"/>
        <w:tblCellMar>
          <w:top w:w="0" w:type="dxa"/>
          <w:start w:w="108" w:type="dxa"/>
          <w:bottom w:w="0" w:type="dxa"/>
          <w:end w:w="108" w:type="dxa"/>
        </w:tblCellMar>
      </w:tblPr>
      <w:tblGrid>
        <w:gridCol w:w="6768"/>
        <w:gridCol w:w="270"/>
        <w:gridCol w:w="2700"/>
      </w:tblGrid>
      <w:tr>
        <w:trPr/>
        <w:tc>
          <w:tcPr>
            <w:tcW w:w="6768" w:type="dxa"/>
            <w:tcBorders/>
          </w:tcPr>
          <w:p>
            <w:pPr>
              <w:pStyle w:val="zCaption"/>
              <w:rPr>
                <w:sz w:val="21"/>
              </w:rPr>
            </w:pPr>
            <w:r>
              <w:rPr>
                <w:sz w:val="21"/>
              </w:rPr>
              <w:t>Application of Pacific Gas and Electric Company Submitting Electric Rate Proposal for Direct Access Services Described in Decision 97-10-087.</w:t>
            </w:r>
          </w:p>
        </w:tc>
        <w:tc>
          <w:tcPr>
            <w:tcW w:w="270" w:type="dxa"/>
            <w:tcBorders/>
          </w:tcPr>
          <w:p>
            <w:pPr>
              <w:pStyle w:val="Normal"/>
              <w:spacing w:lineRule="atLeast" w:line="240"/>
              <w:ind w:end="72"/>
              <w:rPr>
                <w:sz w:val="21"/>
              </w:rPr>
            </w:pPr>
            <w:r>
              <w:rPr>
                <w:sz w:val="21"/>
              </w:rPr>
              <w:t>))))</w:t>
            </w:r>
          </w:p>
        </w:tc>
        <w:tc>
          <w:tcPr>
            <w:tcW w:w="2700" w:type="dxa"/>
            <w:tcBorders/>
          </w:tcPr>
          <w:p>
            <w:pPr>
              <w:pStyle w:val="zAppNo"/>
              <w:spacing w:before="240" w:after="0"/>
              <w:rPr>
                <w:sz w:val="21"/>
              </w:rPr>
            </w:pPr>
            <w:r>
              <w:rPr>
                <w:sz w:val="21"/>
              </w:rPr>
              <w:t>Application 99-06-033</w:t>
            </w:r>
          </w:p>
        </w:tc>
      </w:tr>
      <w:tr>
        <w:trPr/>
        <w:tc>
          <w:tcPr>
            <w:tcW w:w="6768" w:type="dxa"/>
            <w:tcBorders>
              <w:top w:val="single" w:sz="4" w:space="0" w:color="000000"/>
            </w:tcBorders>
          </w:tcPr>
          <w:p>
            <w:pPr>
              <w:pStyle w:val="zCaption"/>
              <w:rPr>
                <w:sz w:val="21"/>
              </w:rPr>
            </w:pPr>
            <w:r>
              <w:rPr>
                <w:sz w:val="21"/>
              </w:rPr>
              <w:t>Application of Southern California Edison Company for Authority to Establish Direct Access Service Fees for Competitive and Regulated Services.</w:t>
            </w:r>
          </w:p>
        </w:tc>
        <w:tc>
          <w:tcPr>
            <w:tcW w:w="270" w:type="dxa"/>
            <w:tcBorders/>
          </w:tcPr>
          <w:p>
            <w:pPr>
              <w:pStyle w:val="Normal"/>
              <w:spacing w:lineRule="atLeast" w:line="240"/>
              <w:ind w:end="72"/>
              <w:rPr>
                <w:sz w:val="21"/>
              </w:rPr>
            </w:pPr>
            <w:r>
              <w:rPr>
                <w:sz w:val="21"/>
              </w:rPr>
              <w:t>))))</w:t>
            </w:r>
          </w:p>
        </w:tc>
        <w:tc>
          <w:tcPr>
            <w:tcW w:w="2700" w:type="dxa"/>
            <w:tcBorders/>
          </w:tcPr>
          <w:p>
            <w:pPr>
              <w:pStyle w:val="zAppNo"/>
              <w:spacing w:before="240" w:after="0"/>
              <w:rPr>
                <w:sz w:val="21"/>
              </w:rPr>
            </w:pPr>
            <w:r>
              <w:rPr>
                <w:sz w:val="21"/>
              </w:rPr>
              <w:t>Application 99-06-040</w:t>
            </w:r>
          </w:p>
        </w:tc>
      </w:tr>
      <w:tr>
        <w:trPr/>
        <w:tc>
          <w:tcPr>
            <w:tcW w:w="6768" w:type="dxa"/>
            <w:tcBorders>
              <w:top w:val="single" w:sz="4" w:space="0" w:color="000000"/>
            </w:tcBorders>
          </w:tcPr>
          <w:p>
            <w:pPr>
              <w:pStyle w:val="zCaption"/>
              <w:rPr>
                <w:sz w:val="21"/>
              </w:rPr>
            </w:pPr>
            <w:r>
              <w:rPr>
                <w:sz w:val="21"/>
              </w:rPr>
              <w:t>Application of San Diego Gas &amp; Electric Company for Authority to Implement Discretionary, Non-Discretionary, and Exception Service Fees.</w:t>
            </w:r>
          </w:p>
        </w:tc>
        <w:tc>
          <w:tcPr>
            <w:tcW w:w="270" w:type="dxa"/>
            <w:tcBorders/>
          </w:tcPr>
          <w:p>
            <w:pPr>
              <w:pStyle w:val="Normal"/>
              <w:spacing w:lineRule="atLeast" w:line="240"/>
              <w:ind w:end="72"/>
              <w:rPr>
                <w:sz w:val="21"/>
              </w:rPr>
            </w:pPr>
            <w:r>
              <w:rPr>
                <w:sz w:val="21"/>
              </w:rPr>
              <w:t>))))</w:t>
            </w:r>
          </w:p>
        </w:tc>
        <w:tc>
          <w:tcPr>
            <w:tcW w:w="2700" w:type="dxa"/>
            <w:tcBorders/>
          </w:tcPr>
          <w:p>
            <w:pPr>
              <w:pStyle w:val="zAppNo"/>
              <w:spacing w:before="240" w:after="0"/>
              <w:rPr>
                <w:sz w:val="21"/>
              </w:rPr>
            </w:pPr>
            <w:r>
              <w:rPr>
                <w:sz w:val="21"/>
              </w:rPr>
              <w:t>Application 99-06-041</w:t>
            </w:r>
          </w:p>
        </w:tc>
      </w:tr>
      <w:tr>
        <w:trPr/>
        <w:tc>
          <w:tcPr>
            <w:tcW w:w="6768" w:type="dxa"/>
            <w:tcBorders>
              <w:top w:val="single" w:sz="4" w:space="0" w:color="000000"/>
            </w:tcBorders>
          </w:tcPr>
          <w:p>
            <w:pPr>
              <w:pStyle w:val="zCaption"/>
              <w:rPr>
                <w:sz w:val="21"/>
              </w:rPr>
            </w:pPr>
            <w:r>
              <w:rPr>
                <w:sz w:val="21"/>
              </w:rPr>
              <w:t>Application of Pacific Gas and Electric Company Submitting Electric Revenue Cycle Services Cost and Rate Proposals in Compliance with Decision 98-09-070.</w:t>
            </w:r>
          </w:p>
        </w:tc>
        <w:tc>
          <w:tcPr>
            <w:tcW w:w="270" w:type="dxa"/>
            <w:tcBorders/>
          </w:tcPr>
          <w:p>
            <w:pPr>
              <w:pStyle w:val="Normal"/>
              <w:spacing w:lineRule="atLeast" w:line="240"/>
              <w:ind w:end="72"/>
              <w:rPr>
                <w:sz w:val="21"/>
              </w:rPr>
            </w:pPr>
            <w:r>
              <w:rPr>
                <w:sz w:val="21"/>
              </w:rPr>
              <w:t>))))</w:t>
            </w:r>
          </w:p>
        </w:tc>
        <w:tc>
          <w:tcPr>
            <w:tcW w:w="2700" w:type="dxa"/>
            <w:tcBorders/>
          </w:tcPr>
          <w:p>
            <w:pPr>
              <w:pStyle w:val="zAppNo"/>
              <w:spacing w:before="240" w:after="0"/>
              <w:rPr>
                <w:sz w:val="21"/>
              </w:rPr>
            </w:pPr>
            <w:r>
              <w:rPr>
                <w:sz w:val="21"/>
              </w:rPr>
              <w:t>Application 99-03-013</w:t>
            </w:r>
          </w:p>
        </w:tc>
      </w:tr>
      <w:tr>
        <w:trPr/>
        <w:tc>
          <w:tcPr>
            <w:tcW w:w="6768" w:type="dxa"/>
            <w:tcBorders>
              <w:top w:val="single" w:sz="4" w:space="0" w:color="000000"/>
              <w:bottom w:val="single" w:sz="4" w:space="0" w:color="000000"/>
            </w:tcBorders>
          </w:tcPr>
          <w:p>
            <w:pPr>
              <w:pStyle w:val="zCaption"/>
              <w:rPr>
                <w:sz w:val="21"/>
              </w:rPr>
            </w:pPr>
            <w:r>
              <w:rPr>
                <w:sz w:val="21"/>
              </w:rPr>
              <w:t>Application for Commission Consideration of Post-Transition Proposals for Long-Run Marginal Cost Pricing and Geographic De-Averaging of Revenue Cycle Services.</w:t>
            </w:r>
          </w:p>
        </w:tc>
        <w:tc>
          <w:tcPr>
            <w:tcW w:w="270" w:type="dxa"/>
            <w:tcBorders/>
          </w:tcPr>
          <w:p>
            <w:pPr>
              <w:pStyle w:val="Normal"/>
              <w:spacing w:lineRule="atLeast" w:line="240"/>
              <w:ind w:end="72"/>
              <w:rPr>
                <w:sz w:val="21"/>
              </w:rPr>
            </w:pPr>
            <w:r>
              <w:rPr>
                <w:sz w:val="21"/>
              </w:rPr>
              <w:t>))))</w:t>
            </w:r>
          </w:p>
        </w:tc>
        <w:tc>
          <w:tcPr>
            <w:tcW w:w="2700" w:type="dxa"/>
            <w:tcBorders/>
          </w:tcPr>
          <w:p>
            <w:pPr>
              <w:pStyle w:val="zAppNo"/>
              <w:spacing w:before="240" w:after="0"/>
              <w:rPr>
                <w:sz w:val="21"/>
              </w:rPr>
            </w:pPr>
            <w:r>
              <w:rPr>
                <w:sz w:val="21"/>
              </w:rPr>
              <w:t>Application 99-03-019</w:t>
            </w:r>
          </w:p>
        </w:tc>
      </w:tr>
      <w:tr>
        <w:trPr/>
        <w:tc>
          <w:tcPr>
            <w:tcW w:w="6768" w:type="dxa"/>
            <w:tcBorders>
              <w:bottom w:val="single" w:sz="6" w:space="0" w:color="000000"/>
            </w:tcBorders>
          </w:tcPr>
          <w:p>
            <w:pPr>
              <w:pStyle w:val="zCaption"/>
              <w:rPr>
                <w:sz w:val="21"/>
              </w:rPr>
            </w:pPr>
            <w:r>
              <w:rPr>
                <w:sz w:val="21"/>
              </w:rPr>
              <w:t>Application of Southern California Edison Company (U 338-E) Relating to Long-Run Marginal Costs for Unbundled Metering and Billing Services.</w:t>
            </w:r>
          </w:p>
        </w:tc>
        <w:tc>
          <w:tcPr>
            <w:tcW w:w="270" w:type="dxa"/>
            <w:tcBorders/>
          </w:tcPr>
          <w:p>
            <w:pPr>
              <w:pStyle w:val="Normal"/>
              <w:spacing w:lineRule="atLeast" w:line="240"/>
              <w:ind w:end="72"/>
              <w:rPr>
                <w:sz w:val="21"/>
              </w:rPr>
            </w:pPr>
            <w:r>
              <w:rPr>
                <w:sz w:val="21"/>
              </w:rPr>
              <w:t>))))</w:t>
            </w:r>
          </w:p>
        </w:tc>
        <w:tc>
          <w:tcPr>
            <w:tcW w:w="2700" w:type="dxa"/>
            <w:tcBorders/>
          </w:tcPr>
          <w:p>
            <w:pPr>
              <w:pStyle w:val="zAppNo"/>
              <w:spacing w:before="240" w:after="0"/>
              <w:rPr>
                <w:sz w:val="21"/>
              </w:rPr>
            </w:pPr>
            <w:r>
              <w:rPr>
                <w:sz w:val="21"/>
              </w:rPr>
              <w:t>Application 99-03-024</w:t>
            </w:r>
          </w:p>
        </w:tc>
      </w:tr>
    </w:tbl>
    <w:p>
      <w:pPr>
        <w:pStyle w:val="Normal"/>
        <w:jc w:val="center"/>
        <w:rPr>
          <w:b/>
        </w:rPr>
      </w:pPr>
      <w:r>
        <w:rPr>
          <w:b/>
        </w:rPr>
      </w:r>
      <w:bookmarkStart w:id="0" w:name="zBriefTitle"/>
      <w:bookmarkStart w:id="1" w:name="zBriefTitle"/>
      <w:bookmarkEnd w:id="1"/>
    </w:p>
    <w:p>
      <w:pPr>
        <w:pStyle w:val="Normal"/>
        <w:jc w:val="center"/>
        <w:rPr>
          <w:b/>
        </w:rPr>
      </w:pPr>
      <w:r>
        <w:rPr>
          <w:b/>
        </w:rPr>
        <w:t>JOINT MOTION OF THE</w:t>
      </w:r>
    </w:p>
    <w:p>
      <w:pPr>
        <w:pStyle w:val="Normal"/>
        <w:jc w:val="center"/>
        <w:rPr>
          <w:b/>
        </w:rPr>
      </w:pPr>
      <w:r>
        <w:rPr>
          <w:b/>
        </w:rPr>
        <w:t xml:space="preserve">CALIFORNIA DEPARTMENT OF GENERAL SERVICES, </w:t>
      </w:r>
    </w:p>
    <w:p>
      <w:pPr>
        <w:pStyle w:val="Normal"/>
        <w:jc w:val="center"/>
        <w:rPr>
          <w:b/>
        </w:rPr>
      </w:pPr>
      <w:r>
        <w:rPr>
          <w:b/>
        </w:rPr>
        <w:t xml:space="preserve"> </w:t>
      </w:r>
      <w:r>
        <w:rPr>
          <w:b/>
        </w:rPr>
        <w:t xml:space="preserve">SAN DIEGO GAS &amp; ELECTRIC COMPANY, </w:t>
      </w:r>
    </w:p>
    <w:p>
      <w:pPr>
        <w:pStyle w:val="Normal"/>
        <w:jc w:val="center"/>
        <w:rPr>
          <w:b/>
        </w:rPr>
      </w:pPr>
      <w:r>
        <w:rPr>
          <w:b/>
        </w:rPr>
        <w:t xml:space="preserve">THE ALLIANCE FOR RETAIL MARKETS, </w:t>
      </w:r>
    </w:p>
    <w:p>
      <w:pPr>
        <w:pStyle w:val="Normal"/>
        <w:jc w:val="center"/>
        <w:rPr>
          <w:b/>
        </w:rPr>
      </w:pPr>
      <w:r>
        <w:rPr>
          <w:b/>
        </w:rPr>
        <w:t xml:space="preserve">THE GOLDEN STATE POWER COOPORATIVE, AND </w:t>
      </w:r>
    </w:p>
    <w:p>
      <w:pPr>
        <w:pStyle w:val="Normal"/>
        <w:jc w:val="center"/>
        <w:rPr>
          <w:b/>
        </w:rPr>
      </w:pPr>
      <w:r>
        <w:rPr>
          <w:b/>
        </w:rPr>
        <w:t>THE OFFICE OF RATEPAYER ADVOCATES</w:t>
      </w:r>
    </w:p>
    <w:p>
      <w:pPr>
        <w:pStyle w:val="Normal"/>
        <w:jc w:val="center"/>
        <w:rPr>
          <w:b/>
        </w:rPr>
      </w:pPr>
      <w:r>
        <w:rPr>
          <w:b/>
        </w:rPr>
        <w:t xml:space="preserve">FOR ADOPTION OF SETTLEMENT </w:t>
      </w:r>
    </w:p>
    <w:p>
      <w:pPr>
        <w:pStyle w:val="Normal"/>
        <w:jc w:val="center"/>
        <w:rPr>
          <w:b/>
        </w:rPr>
      </w:pPr>
      <w:r>
        <w:rPr>
          <w:b/>
        </w:rPr>
      </w:r>
    </w:p>
    <w:p>
      <w:pPr>
        <w:pStyle w:val="Normal"/>
        <w:jc w:val="center"/>
        <w:rPr>
          <w:b/>
        </w:rPr>
      </w:pPr>
      <w:r>
        <w:rPr>
          <w:b/>
        </w:rPr>
      </w:r>
    </w:p>
    <w:p>
      <w:pPr>
        <w:pStyle w:val="Normal"/>
        <w:spacing w:lineRule="auto" w:line="480"/>
        <w:jc w:val="both"/>
        <w:rPr/>
      </w:pPr>
      <w:r>
        <w:rPr/>
        <w:tab/>
        <w:t>Pursuant to Rule 51.1(c) of the Rules of Practice and Procedure of the California Public Utilities Commission, California Department of General Services (“DGS”), San Diego Gas &amp; Electric Company (“SDG&amp;E”), the Alliance for Retail Markets (“ARM”), the Golden State Power Cooperative (“GSPC”) and the Office of Ratepayer Advocates (“ORA”) (collectively, the “Settling Parties”), move for adoption of a partial settlement of SDG&amp;E’s direct access service fee application (A. 99-06-041) in this consolidated proceeding.  The Settling Parties believe the Settlement Agreement, which is attached hereto and incorporated by reference, to be “reasonable in light of the whole record, consistent with law, and in the public interest,” as required by Commission Rule 51.1(e).   Accordingly, the Settling Parties ask the Commission to adopt the Settlement Agreement without modification.</w:t>
      </w:r>
    </w:p>
    <w:p>
      <w:pPr>
        <w:pStyle w:val="Normal"/>
        <w:spacing w:lineRule="auto" w:line="480"/>
        <w:jc w:val="center"/>
        <w:rPr>
          <w:b/>
        </w:rPr>
      </w:pPr>
      <w:r>
        <w:rPr>
          <w:b/>
        </w:rPr>
        <w:t>I.</w:t>
      </w:r>
    </w:p>
    <w:p>
      <w:pPr>
        <w:pStyle w:val="Normal"/>
        <w:spacing w:lineRule="auto" w:line="480"/>
        <w:jc w:val="center"/>
        <w:rPr>
          <w:b/>
        </w:rPr>
      </w:pPr>
      <w:r>
        <w:rPr>
          <w:b/>
        </w:rPr>
        <w:t>BACKGROUND</w:t>
      </w:r>
    </w:p>
    <w:p>
      <w:pPr>
        <w:pStyle w:val="Normal"/>
        <w:spacing w:lineRule="auto" w:line="480"/>
        <w:ind w:firstLine="720" w:end="0"/>
        <w:jc w:val="both"/>
        <w:rPr/>
      </w:pPr>
      <w:r>
        <w:rPr/>
        <w:t>On June 17, 1999, SDG&amp;E, in compliance with a February 5, 1999 Assigned Commissioner’s Ruling, submitted an application addressing “the fees, costs, and offsetting credits that are associated with the discretionary and non-discretionary services authorized in [Commission] Decision 97-10-087.”</w:t>
      </w:r>
      <w:r>
        <w:rPr>
          <w:rStyle w:val="FootnoteCharacters"/>
          <w:rStyle w:val="FootnoteReference"/>
        </w:rPr>
        <w:footnoteReference w:id="2"/>
      </w:r>
      <w:r>
        <w:rPr/>
        <w:t xml:space="preserve">   This application was consolidated for Commission review with the parallel applications of Pacific Gas and Electric Company (A. 99-06-033) and Southern California Edison Company (A. 99-06-040).   In addition, subsequent to the convening of a prehearing conference on September 22, 1999, the Commission further consolidated the three applications with those submitted by the three utility distribution companies on March 5, 1999 with respect to unbundling revenue cycle services at the utility distribution companies’ (“UDC”) long run marginal costs. </w:t>
      </w:r>
    </w:p>
    <w:p>
      <w:pPr>
        <w:pStyle w:val="Normal"/>
        <w:spacing w:lineRule="auto" w:line="480"/>
        <w:ind w:firstLine="720" w:end="0"/>
        <w:jc w:val="both"/>
        <w:rPr/>
      </w:pPr>
      <w:r>
        <w:rPr/>
        <w:t>Pursuant to an established procedural schedule, ORA submitted testimony in the consolidated proceeding on January 5, 2000. Intervenor testimony was submitted on February 9, 2000, with rebuttal testimony served by the UDCs on April 11, 2000.  Hearings were held on the consolidated applications on April 25, 2000 through May 10, 2000.</w:t>
      </w:r>
    </w:p>
    <w:p>
      <w:pPr>
        <w:pStyle w:val="Normal"/>
        <w:spacing w:lineRule="auto" w:line="480"/>
        <w:ind w:firstLine="720" w:end="0"/>
        <w:jc w:val="both"/>
        <w:rPr/>
      </w:pPr>
      <w:r>
        <w:rPr/>
        <w:t xml:space="preserve"> </w:t>
      </w:r>
      <w:r>
        <w:rPr/>
        <w:t>With respect to the subject area of direct access service fees, the testimony narrowed the issues down to the appropriate categorization of the services (and their terms and conditions) proposed by the UDCs and the appropriate means of cost recovery and/or pricing flexibility with respect to those services. In this respect, ORA, through its January 5, 2000 submission and subsequently through further discussions with the UDCs, attempted to devise a standardized set of direct access services that would be applicable to all three UDCs.  In addition, ORA proposed cost recovery/ pricing mechanisms for each category of services that, again, would be consistent across all three UDC service territories. ORA’s efforts, to the extent that they had progressed prior to the end of hearings, are captured in Record Exhibit 57.  In its rebuttal testimony, SDG&amp;E modified its initial position in order to conform to certain of the proposals advanced by ORA.</w:t>
      </w:r>
      <w:r>
        <w:rPr>
          <w:rStyle w:val="FootnoteCharacters"/>
        </w:rPr>
        <w:t xml:space="preserve"> </w:t>
      </w:r>
      <w:r>
        <w:rPr>
          <w:rStyle w:val="FootnoteCharacters"/>
          <w:rStyle w:val="FootnoteReference"/>
        </w:rPr>
        <w:footnoteReference w:id="3"/>
      </w:r>
    </w:p>
    <w:p>
      <w:pPr>
        <w:pStyle w:val="Normal"/>
        <w:spacing w:lineRule="auto" w:line="480"/>
        <w:ind w:firstLine="720" w:end="0"/>
        <w:jc w:val="both"/>
        <w:rPr/>
      </w:pPr>
      <w:r>
        <w:rPr/>
        <w:t xml:space="preserve">   </w:t>
      </w:r>
      <w:r>
        <w:rPr/>
        <w:t>Moreover, subsequent to its review of the UDCs’ rebuttal testimony, and a clearer understanding of the application of the service fees proposed by the UDCs, ARM modified the position taken in its written testimony, thereby bringing its position closer in line to those of the UDCs.  ARM presented its revised position during hearings.</w:t>
      </w:r>
      <w:r>
        <w:rPr>
          <w:rStyle w:val="FootnoteCharacters"/>
          <w:rStyle w:val="FootnoteReference"/>
        </w:rPr>
        <w:footnoteReference w:id="4"/>
      </w:r>
    </w:p>
    <w:p>
      <w:pPr>
        <w:pStyle w:val="Normal"/>
        <w:spacing w:lineRule="auto" w:line="480"/>
        <w:ind w:firstLine="720" w:end="0"/>
        <w:jc w:val="both"/>
        <w:rPr>
          <w:b/>
        </w:rPr>
      </w:pPr>
      <w:r>
        <w:rPr/>
        <w:t xml:space="preserve">Subsequent to the conclusion of hearings, SDG&amp;E, ARM, and ORA continued to explore the progress made during the litigation phase of the proceeding in an effort to reach settlement on the direct access service fee portion of the consolidated proceeding.  These discussions proved fruitful with respect to a number of the subject matters at issue.  On August 18, 2000, SDG&amp;E, ARM and ORA reached an understanding with respect to the principles upon which they would agree to settle certain aspects of the case, as well as agreeing on how certain services would be defined. </w:t>
      </w:r>
    </w:p>
    <w:p>
      <w:pPr>
        <w:pStyle w:val="Normal"/>
        <w:spacing w:lineRule="auto" w:line="480"/>
        <w:ind w:firstLine="720" w:end="0"/>
        <w:jc w:val="both"/>
        <w:rPr/>
      </w:pPr>
      <w:r>
        <w:rPr/>
        <w:t>On August 22, 2000, SDG&amp;E, ARM and ORA jointly noticed a settlement conference. A draft of the Settlement Agreement was appended to that notice.  The settlement conference was held on August 31, 2000.  DGS and GSPC participated in that settlement conference.  Following the conference and after many discussions, both DGS and GSPC became proponents of the Settlement Agreement.</w:t>
      </w:r>
    </w:p>
    <w:p>
      <w:pPr>
        <w:pStyle w:val="Normal"/>
        <w:spacing w:lineRule="auto" w:line="480"/>
        <w:jc w:val="center"/>
        <w:rPr>
          <w:b/>
        </w:rPr>
      </w:pPr>
      <w:r>
        <w:rPr>
          <w:b/>
        </w:rPr>
        <w:t>II.</w:t>
      </w:r>
    </w:p>
    <w:p>
      <w:pPr>
        <w:pStyle w:val="Normal"/>
        <w:spacing w:lineRule="auto" w:line="480"/>
        <w:jc w:val="center"/>
        <w:rPr>
          <w:b/>
        </w:rPr>
      </w:pPr>
      <w:r>
        <w:rPr>
          <w:b/>
        </w:rPr>
        <w:t>SUMMARY OF SETTLEMENT AGREEMENT</w:t>
      </w:r>
    </w:p>
    <w:p>
      <w:pPr>
        <w:pStyle w:val="Normal"/>
        <w:spacing w:lineRule="auto" w:line="480"/>
        <w:jc w:val="both"/>
        <w:rPr/>
      </w:pPr>
      <w:r>
        <w:rPr/>
        <w:tab/>
        <w:t>The Settlement Agreement resolves or otherwise disposes of a large portion of the issues raised in connection with SDG&amp;E’s Application (A. 99-06-041) seeking Commission authority for the assessment of fees for services which facilitate and/or accommodate the direct access market.  The Settlement Agreement provides for three categories of services, with associated cost recovery mechanisms.</w:t>
      </w:r>
      <w:r>
        <w:rPr>
          <w:rStyle w:val="FootnoteCharacters"/>
          <w:rStyle w:val="FootnoteReference"/>
        </w:rPr>
        <w:footnoteReference w:id="5"/>
      </w:r>
      <w:r>
        <w:rPr/>
        <w:t xml:space="preserve">  The specific services included within each category are defined in Tables 1 through 3 of the Settlement.</w:t>
      </w:r>
    </w:p>
    <w:p>
      <w:pPr>
        <w:pStyle w:val="Normal"/>
        <w:spacing w:lineRule="auto" w:line="480"/>
        <w:ind w:firstLine="720" w:end="0"/>
        <w:jc w:val="both"/>
        <w:rPr/>
      </w:pPr>
      <w:r>
        <w:rPr/>
        <w:t xml:space="preserve"> </w:t>
      </w:r>
      <w:r>
        <w:rPr/>
        <w:t>The first category of services, designated as Non-Discretionary Standard Services, are defined as those services that can be provided solely by the utility distribution company and for which a fee will not be assessed.  The Settlement provides for the costs of such services to be recovered from all ratepayers during the Settlement Period.</w:t>
      </w:r>
      <w:r>
        <w:rPr>
          <w:rStyle w:val="FootnoteCharacters"/>
          <w:rStyle w:val="FootnoteReference"/>
        </w:rPr>
        <w:footnoteReference w:id="6"/>
      </w:r>
      <w:r>
        <w:rPr/>
        <w:t xml:space="preserve">  The second category, Non-Discretionary Non-Standard Services, are defined as those services that can be provided solely by the UDC, but for which a fee will be assessed.  These services, the costs of which will be borne by the ESP, will only be provided by SDG&amp;E upon the request of the ESP under agreed upon terms and conditions.  The fees to be charged for these services are set forth in Table 2.  The final category, designated as Non-Discretionary Exception Services, are those performed by the UDC as a result of an alternate provider’s failure to perform in accordance with agreed upon standards.  Again the costs of these services will be borne by ESPs, although the settlement provides for parties to make every effort to resolve these problems so as to avoid assessment of the fees.  The fees to be assessed for these services are set forth in Table 3.  With respect to all three categories, the Settlement Agreement provides for limited additions and modifications to the direct access services set forth in Tables 1 through 3 during the Settlement Period and an agreed upon procedure for effecting such changes.   </w:t>
      </w:r>
    </w:p>
    <w:p>
      <w:pPr>
        <w:pStyle w:val="Normal"/>
        <w:spacing w:lineRule="auto" w:line="480"/>
        <w:jc w:val="center"/>
        <w:rPr>
          <w:b/>
        </w:rPr>
      </w:pPr>
      <w:r>
        <w:rPr>
          <w:b/>
        </w:rPr>
        <w:t>III.</w:t>
      </w:r>
    </w:p>
    <w:p>
      <w:pPr>
        <w:pStyle w:val="Normal"/>
        <w:spacing w:lineRule="auto" w:line="480"/>
        <w:jc w:val="center"/>
        <w:rPr>
          <w:b/>
        </w:rPr>
      </w:pPr>
      <w:r>
        <w:rPr>
          <w:b/>
        </w:rPr>
        <w:t>REASONABLENESS OF SETTLEMENT AGREEMENT</w:t>
      </w:r>
    </w:p>
    <w:p>
      <w:pPr>
        <w:pStyle w:val="Normal"/>
        <w:spacing w:lineRule="auto" w:line="480"/>
        <w:jc w:val="both"/>
        <w:rPr/>
      </w:pPr>
      <w:r>
        <w:rPr/>
        <w:tab/>
        <w:t>The Settlement Agreement effects a fair resolution of a large number of the issues implicated by SDG&amp;E’s Application No. 99-06-041 and does so in a manner which, as required by Rule 51.1(e), is “reasonable in light of the whole record, consistent with law, and in the public interest.”  The Settling Parties believe the Settlement Agreement to be a reasonable compromise of their respective positions. In this respect, the parties to the Agreement represent five varying interests – general ratepayers (ORA), large customers (DGS), customers who purchase as aggregated loads (GSPC), energy service providers (ARM) and utility distribution companies (SDG&amp;E).  This convergence of varying interests resulted in a settlement that truly reflects the current status of the competitive market by allocating the costs of services that are necessary for the market to exist to all ratepayers. Furthermore, the Settlement resolve numerous technical issues surrounding both the terms and conditions of the direct access services to be provided/offered by SDG&amp;E and the corresponding fees to be assessed.  The Settling Parties believe that the Settlement, through its clear definition of the activities to be performed under each service, not only provides certainty as to the service to be purchased, but also represents a compromise of the needs of the UDC and ESP, all in conformance with the Commission’s direct access policy pronouncements.</w:t>
      </w:r>
    </w:p>
    <w:p>
      <w:pPr>
        <w:pStyle w:val="Normal"/>
        <w:spacing w:lineRule="auto" w:line="480"/>
        <w:jc w:val="both"/>
        <w:rPr/>
      </w:pPr>
      <w:r>
        <w:rPr/>
        <w:tab/>
        <w:t xml:space="preserve">The Settling Parties would note that each portion of the Settlement Agreement is interrelated; no single issue should be evaluated in isolation from the rest.  Changes to one portion of the Settlement Agreement would alter the balance of interests and the mutually agreed upon compromises and outcome embodied in the Settlement.  As such, the Settlement should be adopted as a whole   </w:t>
      </w:r>
    </w:p>
    <w:p>
      <w:pPr>
        <w:pStyle w:val="Normal"/>
        <w:spacing w:lineRule="auto" w:line="480"/>
        <w:jc w:val="center"/>
        <w:rPr>
          <w:b/>
        </w:rPr>
      </w:pPr>
      <w:r>
        <w:rPr>
          <w:b/>
        </w:rPr>
        <w:t>IV.</w:t>
      </w:r>
    </w:p>
    <w:p>
      <w:pPr>
        <w:pStyle w:val="Normal"/>
        <w:spacing w:lineRule="auto" w:line="480"/>
        <w:jc w:val="center"/>
        <w:rPr>
          <w:b/>
        </w:rPr>
      </w:pPr>
      <w:r>
        <w:rPr>
          <w:b/>
        </w:rPr>
        <w:t>CONCLUSION</w:t>
      </w:r>
    </w:p>
    <w:p>
      <w:pPr>
        <w:pStyle w:val="Normal"/>
        <w:spacing w:lineRule="auto" w:line="480"/>
        <w:jc w:val="both"/>
        <w:rPr/>
      </w:pPr>
      <w:r>
        <w:rPr/>
        <w:tab/>
        <w:t>WHEREFORE, the Settling Parties respectfully request that the Commission grant this Joint Motion and:</w:t>
      </w:r>
    </w:p>
    <w:p>
      <w:pPr>
        <w:pStyle w:val="Normal"/>
        <w:spacing w:lineRule="auto" w:line="480"/>
        <w:jc w:val="both"/>
        <w:rPr/>
      </w:pPr>
      <w:r>
        <w:rPr/>
        <w:tab/>
        <w:tab/>
        <w:t>1.</w:t>
        <w:tab/>
        <w:t>Adopt the Settlement Agreement as reasonable in light of the whole record, consistent with the law and in the public interest;</w:t>
      </w:r>
    </w:p>
    <w:p>
      <w:pPr>
        <w:pStyle w:val="Normal"/>
        <w:spacing w:lineRule="auto" w:line="480"/>
        <w:jc w:val="both"/>
        <w:rPr/>
      </w:pPr>
      <w:r>
        <w:rPr/>
        <w:tab/>
        <w:tab/>
        <w:t>2.</w:t>
        <w:tab/>
        <w:t>Authorize SDG&amp;E to recover the costs of providing Non-Discretionary Standard Services through the cost recovery provisions of its Section 376 Settlement, as approved by the Commission in D. 99-05-030;</w:t>
      </w:r>
    </w:p>
    <w:p>
      <w:pPr>
        <w:pStyle w:val="Normal"/>
        <w:spacing w:lineRule="auto" w:line="480"/>
        <w:jc w:val="both"/>
        <w:rPr/>
      </w:pPr>
      <w:r>
        <w:rPr/>
        <w:tab/>
        <w:tab/>
        <w:t>3.</w:t>
        <w:tab/>
        <w:t>Approve the fees for the direct access services set forth in Tables 2 and 3 of the Settlement Agreement; and</w:t>
      </w:r>
    </w:p>
    <w:p>
      <w:pPr>
        <w:pStyle w:val="Normal"/>
        <w:spacing w:lineRule="auto" w:line="480"/>
        <w:jc w:val="both"/>
        <w:rPr/>
      </w:pPr>
      <w:r>
        <w:rPr/>
        <w:t>/</w:t>
      </w:r>
    </w:p>
    <w:p>
      <w:pPr>
        <w:pStyle w:val="Normal"/>
        <w:spacing w:lineRule="auto" w:line="480"/>
        <w:jc w:val="both"/>
        <w:rPr/>
      </w:pPr>
      <w:r>
        <w:rPr/>
        <w:t>/</w:t>
      </w:r>
    </w:p>
    <w:p>
      <w:pPr>
        <w:pStyle w:val="Normal"/>
        <w:spacing w:lineRule="auto" w:line="480"/>
        <w:jc w:val="both"/>
        <w:rPr/>
      </w:pPr>
      <w:r>
        <w:rPr/>
        <w:t>/</w:t>
      </w:r>
      <w:r>
        <w:br w:type="page"/>
      </w:r>
    </w:p>
    <w:p>
      <w:pPr>
        <w:pStyle w:val="Normal"/>
        <w:spacing w:lineRule="auto" w:line="480"/>
        <w:jc w:val="both"/>
        <w:rPr/>
      </w:pPr>
      <w:r>
        <w:rPr/>
        <w:tab/>
        <w:tab/>
        <w:t>4.</w:t>
        <w:tab/>
        <w:t xml:space="preserve">Grant such other and further relief as the Commission finds just and reasonable.   </w:t>
      </w:r>
    </w:p>
    <w:p>
      <w:pPr>
        <w:pStyle w:val="Normal"/>
        <w:spacing w:lineRule="auto" w:line="480"/>
        <w:jc w:val="center"/>
        <w:rPr>
          <w:sz w:val="20"/>
        </w:rPr>
      </w:pPr>
      <w:r>
        <w:rPr>
          <w:sz w:val="20"/>
        </w:rPr>
        <w:t>Respectfully submitted,</w:t>
      </w:r>
    </w:p>
    <w:tbl>
      <w:tblPr>
        <w:tblW w:w="9484" w:type="dxa"/>
        <w:jc w:val="start"/>
        <w:tblInd w:w="0" w:type="dxa"/>
        <w:tblLayout w:type="fixed"/>
        <w:tblCellMar>
          <w:top w:w="0" w:type="dxa"/>
          <w:start w:w="108" w:type="dxa"/>
          <w:bottom w:w="0" w:type="dxa"/>
          <w:end w:w="108" w:type="dxa"/>
        </w:tblCellMar>
      </w:tblPr>
      <w:tblGrid>
        <w:gridCol w:w="4915"/>
        <w:gridCol w:w="4569"/>
      </w:tblGrid>
      <w:tr>
        <w:trPr/>
        <w:tc>
          <w:tcPr>
            <w:tcW w:w="4915" w:type="dxa"/>
            <w:tcBorders/>
          </w:tcPr>
          <w:p>
            <w:pPr>
              <w:pStyle w:val="PleadingSignature"/>
              <w:tabs>
                <w:tab w:val="left" w:pos="0" w:leader="none"/>
                <w:tab w:val="left" w:pos="5040" w:leader="none"/>
                <w:tab w:val="right" w:pos="9360" w:leader="none"/>
              </w:tabs>
              <w:ind w:start="0" w:end="0"/>
              <w:rPr>
                <w:sz w:val="20"/>
              </w:rPr>
            </w:pPr>
            <w:r>
              <w:rPr>
                <w:sz w:val="20"/>
              </w:rPr>
              <w:t>SAN DIEGO GAS &amp; ELECTRIC</w:t>
            </w:r>
          </w:p>
          <w:p>
            <w:pPr>
              <w:pStyle w:val="PleadingSignature"/>
              <w:tabs>
                <w:tab w:val="left" w:pos="0" w:leader="none"/>
                <w:tab w:val="left" w:pos="5040" w:leader="none"/>
                <w:tab w:val="right" w:pos="9360" w:leader="none"/>
              </w:tabs>
              <w:ind w:start="0" w:end="0"/>
              <w:rPr>
                <w:sz w:val="20"/>
              </w:rPr>
            </w:pPr>
            <w:r>
              <w:rPr>
                <w:sz w:val="20"/>
              </w:rPr>
              <w:t>COMPANY</w:t>
            </w:r>
          </w:p>
          <w:p>
            <w:pPr>
              <w:pStyle w:val="PleadingSignature"/>
              <w:tabs>
                <w:tab w:val="left" w:pos="0" w:leader="none"/>
                <w:tab w:val="left" w:pos="5040" w:leader="none"/>
                <w:tab w:val="right" w:pos="9360" w:leader="none"/>
              </w:tabs>
              <w:ind w:start="0" w:end="0"/>
              <w:rPr>
                <w:sz w:val="20"/>
              </w:rPr>
            </w:pPr>
            <w:r>
              <w:rPr>
                <w:sz w:val="20"/>
              </w:rPr>
            </w:r>
          </w:p>
          <w:p>
            <w:pPr>
              <w:pStyle w:val="PleadingSignature"/>
              <w:tabs>
                <w:tab w:val="left" w:pos="0" w:leader="none"/>
                <w:tab w:val="left" w:pos="5040" w:leader="none"/>
                <w:tab w:val="right" w:pos="9360" w:leader="none"/>
              </w:tabs>
              <w:ind w:start="0" w:end="0"/>
              <w:rPr>
                <w:sz w:val="20"/>
              </w:rPr>
            </w:pPr>
            <w:r>
              <w:rPr>
                <w:sz w:val="20"/>
              </w:rPr>
              <w:t>Paul A. Szymanski</w:t>
            </w:r>
          </w:p>
          <w:p>
            <w:pPr>
              <w:pStyle w:val="PleadingSignature"/>
              <w:tabs>
                <w:tab w:val="left" w:pos="0" w:leader="none"/>
                <w:tab w:val="left" w:pos="5040" w:leader="none"/>
                <w:tab w:val="right" w:pos="9360" w:leader="none"/>
              </w:tabs>
              <w:ind w:start="0" w:end="0"/>
              <w:rPr>
                <w:sz w:val="20"/>
              </w:rPr>
            </w:pPr>
            <w:r>
              <w:rPr>
                <w:sz w:val="20"/>
              </w:rPr>
              <w:t>Vicki L. Thompson</w:t>
            </w:r>
          </w:p>
          <w:p>
            <w:pPr>
              <w:pStyle w:val="PleadingSignature"/>
              <w:tabs>
                <w:tab w:val="left" w:pos="0" w:leader="none"/>
                <w:tab w:val="left" w:pos="5040" w:leader="none"/>
                <w:tab w:val="right" w:pos="9360" w:leader="none"/>
              </w:tabs>
              <w:ind w:start="0" w:end="0"/>
              <w:rPr>
                <w:sz w:val="20"/>
              </w:rPr>
            </w:pPr>
            <w:r>
              <w:rPr>
                <w:sz w:val="20"/>
              </w:rPr>
              <w:t>101 Ash Street</w:t>
            </w:r>
          </w:p>
          <w:p>
            <w:pPr>
              <w:pStyle w:val="PleadingSignature"/>
              <w:tabs>
                <w:tab w:val="left" w:pos="0" w:leader="none"/>
                <w:tab w:val="left" w:pos="5040" w:leader="none"/>
                <w:tab w:val="right" w:pos="9360" w:leader="none"/>
              </w:tabs>
              <w:ind w:start="0" w:end="0"/>
              <w:rPr>
                <w:sz w:val="20"/>
              </w:rPr>
            </w:pPr>
            <w:r>
              <w:rPr>
                <w:sz w:val="20"/>
              </w:rPr>
              <w:t>San Diego, CA 92101</w:t>
            </w:r>
          </w:p>
          <w:p>
            <w:pPr>
              <w:pStyle w:val="PleadingSignature"/>
              <w:tabs>
                <w:tab w:val="left" w:pos="0" w:leader="none"/>
                <w:tab w:val="left" w:pos="5040" w:leader="none"/>
                <w:tab w:val="right" w:pos="9360" w:leader="none"/>
              </w:tabs>
              <w:ind w:start="0" w:end="0"/>
              <w:rPr>
                <w:sz w:val="20"/>
              </w:rPr>
            </w:pPr>
            <w:r>
              <w:rPr>
                <w:sz w:val="20"/>
              </w:rPr>
              <w:t>Telephone: (619) 699-5078</w:t>
            </w:r>
          </w:p>
          <w:p>
            <w:pPr>
              <w:pStyle w:val="PleadingSignature"/>
              <w:tabs>
                <w:tab w:val="left" w:pos="0" w:leader="none"/>
                <w:tab w:val="left" w:pos="5040" w:leader="none"/>
                <w:tab w:val="right" w:pos="9360" w:leader="none"/>
              </w:tabs>
              <w:ind w:start="0" w:end="0"/>
              <w:rPr>
                <w:sz w:val="20"/>
              </w:rPr>
            </w:pPr>
            <w:r>
              <w:rPr>
                <w:sz w:val="20"/>
              </w:rPr>
              <w:t xml:space="preserve">Facsimile: (619) 699-5027 </w:t>
            </w:r>
          </w:p>
          <w:p>
            <w:pPr>
              <w:pStyle w:val="PleadingSignature"/>
              <w:tabs>
                <w:tab w:val="left" w:pos="0" w:leader="none"/>
                <w:tab w:val="left" w:pos="5040" w:leader="none"/>
                <w:tab w:val="right" w:pos="9360" w:leader="none"/>
              </w:tabs>
              <w:ind w:start="0" w:end="0"/>
              <w:rPr>
                <w:sz w:val="20"/>
              </w:rPr>
            </w:pPr>
            <w:r>
              <w:rPr>
                <w:sz w:val="20"/>
              </w:rPr>
            </w:r>
          </w:p>
          <w:p>
            <w:pPr>
              <w:pStyle w:val="PleadingSignature"/>
              <w:tabs>
                <w:tab w:val="left" w:pos="0" w:leader="none"/>
                <w:tab w:val="left" w:pos="5040" w:leader="none"/>
                <w:tab w:val="right" w:pos="9360" w:leader="none"/>
              </w:tabs>
              <w:ind w:start="0" w:end="0"/>
              <w:rPr>
                <w:sz w:val="20"/>
              </w:rPr>
            </w:pPr>
            <w:r>
              <w:rPr>
                <w:sz w:val="20"/>
              </w:rPr>
              <w:t>By______________________</w:t>
            </w:r>
          </w:p>
          <w:p>
            <w:pPr>
              <w:pStyle w:val="PleadingSignature"/>
              <w:tabs>
                <w:tab w:val="left" w:pos="0" w:leader="none"/>
                <w:tab w:val="left" w:pos="5040" w:leader="none"/>
                <w:tab w:val="right" w:pos="9360" w:leader="none"/>
              </w:tabs>
              <w:ind w:start="0" w:end="0"/>
              <w:rPr>
                <w:sz w:val="20"/>
              </w:rPr>
            </w:pPr>
            <w:r>
              <w:rPr>
                <w:sz w:val="20"/>
              </w:rPr>
            </w:r>
          </w:p>
          <w:p>
            <w:pPr>
              <w:pStyle w:val="PleadingSignature"/>
              <w:tabs>
                <w:tab w:val="left" w:pos="0" w:leader="none"/>
                <w:tab w:val="left" w:pos="5040" w:leader="none"/>
                <w:tab w:val="right" w:pos="9360" w:leader="none"/>
              </w:tabs>
              <w:ind w:start="0" w:end="0"/>
              <w:rPr>
                <w:sz w:val="20"/>
              </w:rPr>
            </w:pPr>
            <w:r>
              <w:rPr>
                <w:sz w:val="20"/>
              </w:rPr>
              <w:t xml:space="preserve">Counsel for San Diego Gas &amp; Electric Co. </w:t>
            </w:r>
          </w:p>
        </w:tc>
        <w:tc>
          <w:tcPr>
            <w:tcW w:w="4569" w:type="dxa"/>
            <w:tcBorders/>
          </w:tcPr>
          <w:p>
            <w:pPr>
              <w:pStyle w:val="PleadingSignature"/>
              <w:tabs>
                <w:tab w:val="left" w:pos="0" w:leader="none"/>
                <w:tab w:val="left" w:pos="5040" w:leader="none"/>
                <w:tab w:val="right" w:pos="9360" w:leader="none"/>
              </w:tabs>
              <w:ind w:start="0" w:end="0"/>
              <w:rPr>
                <w:sz w:val="20"/>
              </w:rPr>
            </w:pPr>
            <w:r>
              <w:rPr>
                <w:sz w:val="20"/>
              </w:rPr>
              <w:t>GOODIN, MACBRIDE, SQUERI,</w:t>
            </w:r>
          </w:p>
          <w:p>
            <w:pPr>
              <w:pStyle w:val="PleadingSignature"/>
              <w:tabs>
                <w:tab w:val="left" w:pos="0" w:leader="none"/>
                <w:tab w:val="left" w:pos="5040" w:leader="none"/>
                <w:tab w:val="right" w:pos="9360" w:leader="none"/>
              </w:tabs>
              <w:ind w:start="0" w:end="0"/>
              <w:rPr>
                <w:sz w:val="20"/>
              </w:rPr>
            </w:pPr>
            <w:r>
              <w:rPr>
                <w:sz w:val="20"/>
              </w:rPr>
              <w:t>RITCHIE &amp; DAY, LLP</w:t>
            </w:r>
          </w:p>
          <w:p>
            <w:pPr>
              <w:pStyle w:val="PleadingSignature"/>
              <w:tabs>
                <w:tab w:val="left" w:pos="0" w:leader="none"/>
                <w:tab w:val="left" w:pos="5040" w:leader="none"/>
                <w:tab w:val="right" w:pos="9360" w:leader="none"/>
              </w:tabs>
              <w:spacing w:before="240" w:after="0"/>
              <w:ind w:start="0" w:end="0"/>
              <w:rPr>
                <w:sz w:val="20"/>
              </w:rPr>
            </w:pPr>
            <w:r>
              <w:rPr>
                <w:sz w:val="20"/>
              </w:rPr>
              <w:t>Jeanne M. Bennett</w:t>
            </w:r>
          </w:p>
          <w:p>
            <w:pPr>
              <w:pStyle w:val="PleadingSignature"/>
              <w:tabs>
                <w:tab w:val="left" w:pos="0" w:leader="none"/>
                <w:tab w:val="left" w:pos="5040" w:leader="none"/>
                <w:tab w:val="right" w:pos="9360" w:leader="none"/>
              </w:tabs>
              <w:ind w:start="0" w:end="0"/>
              <w:rPr>
                <w:sz w:val="20"/>
              </w:rPr>
            </w:pPr>
            <w:r>
              <w:rPr>
                <w:sz w:val="20"/>
              </w:rPr>
              <w:t>505 Sansome Street, Suite 900</w:t>
            </w:r>
          </w:p>
          <w:p>
            <w:pPr>
              <w:pStyle w:val="PleadingSignature"/>
              <w:tabs>
                <w:tab w:val="left" w:pos="0" w:leader="none"/>
                <w:tab w:val="left" w:pos="5040" w:leader="none"/>
                <w:tab w:val="right" w:pos="9360" w:leader="none"/>
              </w:tabs>
              <w:ind w:start="0" w:end="0"/>
              <w:rPr>
                <w:sz w:val="20"/>
              </w:rPr>
            </w:pPr>
            <w:r>
              <w:rPr>
                <w:sz w:val="20"/>
              </w:rPr>
              <w:t>San Francisco, CA 94111</w:t>
            </w:r>
          </w:p>
          <w:p>
            <w:pPr>
              <w:pStyle w:val="PleadingSignature"/>
              <w:tabs>
                <w:tab w:val="left" w:pos="0" w:leader="none"/>
                <w:tab w:val="left" w:pos="5040" w:leader="none"/>
                <w:tab w:val="right" w:pos="9360" w:leader="none"/>
              </w:tabs>
              <w:ind w:start="0" w:end="0"/>
              <w:rPr>
                <w:sz w:val="20"/>
              </w:rPr>
            </w:pPr>
            <w:r>
              <w:rPr>
                <w:sz w:val="20"/>
              </w:rPr>
              <w:t>Telephone: (415) 392-7900</w:t>
            </w:r>
          </w:p>
          <w:p>
            <w:pPr>
              <w:pStyle w:val="PleadingSignature"/>
              <w:tabs>
                <w:tab w:val="left" w:pos="0" w:leader="none"/>
                <w:tab w:val="left" w:pos="5040" w:leader="none"/>
                <w:tab w:val="right" w:pos="9360" w:leader="none"/>
              </w:tabs>
              <w:ind w:start="0" w:end="0"/>
              <w:rPr>
                <w:sz w:val="20"/>
              </w:rPr>
            </w:pPr>
            <w:r>
              <w:rPr>
                <w:sz w:val="20"/>
              </w:rPr>
              <w:t xml:space="preserve">Facsimile: (415) 398- 4321 </w:t>
            </w:r>
          </w:p>
          <w:p>
            <w:pPr>
              <w:pStyle w:val="PleadingSignature"/>
              <w:tabs>
                <w:tab w:val="left" w:pos="0" w:leader="none"/>
                <w:tab w:val="left" w:pos="5040" w:leader="none"/>
                <w:tab w:val="right" w:pos="9360" w:leader="none"/>
              </w:tabs>
              <w:ind w:start="0" w:end="0"/>
              <w:rPr>
                <w:sz w:val="20"/>
              </w:rPr>
            </w:pPr>
            <w:r>
              <w:rPr>
                <w:sz w:val="20"/>
              </w:rPr>
            </w:r>
          </w:p>
          <w:p>
            <w:pPr>
              <w:pStyle w:val="PleadingSignature"/>
              <w:tabs>
                <w:tab w:val="left" w:pos="0" w:leader="none"/>
                <w:tab w:val="left" w:pos="5040" w:leader="none"/>
                <w:tab w:val="right" w:pos="9360" w:leader="none"/>
              </w:tabs>
              <w:ind w:start="0" w:end="0"/>
              <w:rPr>
                <w:sz w:val="20"/>
              </w:rPr>
            </w:pPr>
            <w:r>
              <w:rPr>
                <w:sz w:val="20"/>
              </w:rPr>
            </w:r>
          </w:p>
          <w:p>
            <w:pPr>
              <w:pStyle w:val="PleadingSignature"/>
              <w:tabs>
                <w:tab w:val="left" w:pos="0" w:leader="none"/>
                <w:tab w:val="left" w:pos="5040" w:leader="none"/>
                <w:tab w:val="right" w:pos="9360" w:leader="none"/>
              </w:tabs>
              <w:ind w:start="0" w:end="0"/>
              <w:rPr>
                <w:sz w:val="20"/>
              </w:rPr>
            </w:pPr>
            <w:r>
              <w:rPr>
                <w:sz w:val="20"/>
              </w:rPr>
              <w:t>By_______________________</w:t>
            </w:r>
          </w:p>
          <w:p>
            <w:pPr>
              <w:pStyle w:val="PleadingSignature"/>
              <w:tabs>
                <w:tab w:val="left" w:pos="0" w:leader="none"/>
                <w:tab w:val="left" w:pos="5040" w:leader="none"/>
                <w:tab w:val="right" w:pos="9360" w:leader="none"/>
              </w:tabs>
              <w:ind w:start="0" w:end="0"/>
              <w:rPr>
                <w:sz w:val="20"/>
              </w:rPr>
            </w:pPr>
            <w:r>
              <w:rPr>
                <w:sz w:val="20"/>
              </w:rPr>
            </w:r>
          </w:p>
          <w:p>
            <w:pPr>
              <w:pStyle w:val="PleadingSignature"/>
              <w:tabs>
                <w:tab w:val="left" w:pos="0" w:leader="none"/>
                <w:tab w:val="left" w:pos="5040" w:leader="none"/>
                <w:tab w:val="right" w:pos="9360" w:leader="none"/>
              </w:tabs>
              <w:ind w:start="0" w:end="0"/>
              <w:rPr>
                <w:sz w:val="20"/>
              </w:rPr>
            </w:pPr>
            <w:r>
              <w:rPr>
                <w:sz w:val="20"/>
              </w:rPr>
              <w:t xml:space="preserve">Counsel for the Alliance for Retail Markets </w:t>
            </w:r>
          </w:p>
        </w:tc>
      </w:tr>
      <w:tr>
        <w:trPr/>
        <w:tc>
          <w:tcPr>
            <w:tcW w:w="4915" w:type="dxa"/>
            <w:tcBorders/>
          </w:tcPr>
          <w:p>
            <w:pPr>
              <w:pStyle w:val="PleadingSignature"/>
              <w:tabs>
                <w:tab w:val="left" w:pos="0" w:leader="none"/>
                <w:tab w:val="left" w:pos="5040" w:leader="none"/>
                <w:tab w:val="right" w:pos="9360" w:leader="none"/>
              </w:tabs>
              <w:spacing w:before="240" w:after="0"/>
              <w:ind w:start="0" w:end="0"/>
              <w:rPr>
                <w:sz w:val="20"/>
              </w:rPr>
            </w:pPr>
            <w:r>
              <w:rPr>
                <w:sz w:val="20"/>
              </w:rPr>
              <w:t>OFFICE OF RATEPAYER ADVOCATES</w:t>
            </w:r>
          </w:p>
          <w:p>
            <w:pPr>
              <w:pStyle w:val="PleadingSignature"/>
              <w:tabs>
                <w:tab w:val="left" w:pos="0" w:leader="none"/>
                <w:tab w:val="left" w:pos="5040" w:leader="none"/>
                <w:tab w:val="right" w:pos="9360" w:leader="none"/>
              </w:tabs>
              <w:spacing w:before="240" w:after="0"/>
              <w:ind w:start="0" w:end="0"/>
              <w:rPr>
                <w:sz w:val="20"/>
              </w:rPr>
            </w:pPr>
            <w:r>
              <w:rPr>
                <w:sz w:val="20"/>
              </w:rPr>
              <w:t>Darwin E. Farrar</w:t>
            </w:r>
          </w:p>
          <w:p>
            <w:pPr>
              <w:pStyle w:val="PleadingSignature"/>
              <w:tabs>
                <w:tab w:val="left" w:pos="0" w:leader="none"/>
                <w:tab w:val="left" w:pos="5040" w:leader="none"/>
                <w:tab w:val="right" w:pos="9360" w:leader="none"/>
              </w:tabs>
              <w:ind w:start="0" w:end="0"/>
              <w:rPr>
                <w:sz w:val="20"/>
              </w:rPr>
            </w:pPr>
            <w:r>
              <w:rPr>
                <w:sz w:val="20"/>
              </w:rPr>
              <w:t>505 Van Ness Ave</w:t>
            </w:r>
          </w:p>
          <w:p>
            <w:pPr>
              <w:pStyle w:val="PleadingSignature"/>
              <w:tabs>
                <w:tab w:val="left" w:pos="0" w:leader="none"/>
                <w:tab w:val="left" w:pos="5040" w:leader="none"/>
                <w:tab w:val="right" w:pos="9360" w:leader="none"/>
              </w:tabs>
              <w:ind w:start="0" w:end="0"/>
              <w:rPr>
                <w:sz w:val="20"/>
              </w:rPr>
            </w:pPr>
            <w:r>
              <w:rPr>
                <w:sz w:val="20"/>
              </w:rPr>
              <w:t>San Francisco, CA 94102</w:t>
            </w:r>
          </w:p>
          <w:p>
            <w:pPr>
              <w:pStyle w:val="PleadingSignature"/>
              <w:tabs>
                <w:tab w:val="left" w:pos="0" w:leader="none"/>
                <w:tab w:val="left" w:pos="5040" w:leader="none"/>
                <w:tab w:val="right" w:pos="9360" w:leader="none"/>
              </w:tabs>
              <w:ind w:start="0" w:end="0"/>
              <w:rPr>
                <w:sz w:val="20"/>
              </w:rPr>
            </w:pPr>
            <w:r>
              <w:rPr>
                <w:sz w:val="20"/>
              </w:rPr>
              <w:t>Telephone: (415) 703-1599</w:t>
            </w:r>
          </w:p>
          <w:p>
            <w:pPr>
              <w:pStyle w:val="PleadingSignature"/>
              <w:tabs>
                <w:tab w:val="left" w:pos="0" w:leader="none"/>
                <w:tab w:val="left" w:pos="5040" w:leader="none"/>
                <w:tab w:val="right" w:pos="9360" w:leader="none"/>
              </w:tabs>
              <w:ind w:start="0" w:end="0"/>
              <w:rPr>
                <w:sz w:val="20"/>
              </w:rPr>
            </w:pPr>
            <w:r>
              <w:rPr>
                <w:sz w:val="20"/>
              </w:rPr>
              <w:t xml:space="preserve">Facsimile: (415) 703-1981 </w:t>
            </w:r>
          </w:p>
          <w:p>
            <w:pPr>
              <w:pStyle w:val="PleadingSignature"/>
              <w:tabs>
                <w:tab w:val="left" w:pos="0" w:leader="none"/>
                <w:tab w:val="left" w:pos="5040" w:leader="none"/>
                <w:tab w:val="right" w:pos="9360" w:leader="none"/>
              </w:tabs>
              <w:spacing w:before="240" w:after="0"/>
              <w:ind w:start="0" w:end="0"/>
              <w:rPr>
                <w:sz w:val="20"/>
              </w:rPr>
            </w:pPr>
            <w:r>
              <w:rPr>
                <w:sz w:val="20"/>
              </w:rPr>
              <w:t>By ___________________</w:t>
            </w:r>
          </w:p>
          <w:p>
            <w:pPr>
              <w:pStyle w:val="PleadingSignature"/>
              <w:tabs>
                <w:tab w:val="left" w:pos="0" w:leader="none"/>
                <w:tab w:val="left" w:pos="5040" w:leader="none"/>
                <w:tab w:val="right" w:pos="9360" w:leader="none"/>
              </w:tabs>
              <w:spacing w:before="240" w:after="0"/>
              <w:ind w:start="0" w:end="0"/>
              <w:rPr>
                <w:sz w:val="20"/>
              </w:rPr>
            </w:pPr>
            <w:r>
              <w:rPr>
                <w:sz w:val="20"/>
              </w:rPr>
              <w:t>Counsel for the Office of Ratepayer Advocates</w:t>
            </w:r>
          </w:p>
          <w:p>
            <w:pPr>
              <w:pStyle w:val="PleadingSignature"/>
              <w:tabs>
                <w:tab w:val="left" w:pos="0" w:leader="none"/>
                <w:tab w:val="left" w:pos="5040" w:leader="none"/>
                <w:tab w:val="right" w:pos="9360" w:leader="none"/>
              </w:tabs>
              <w:spacing w:before="240" w:after="0"/>
              <w:ind w:start="0" w:end="0"/>
              <w:rPr>
                <w:sz w:val="20"/>
              </w:rPr>
            </w:pPr>
            <w:r>
              <w:rPr>
                <w:sz w:val="20"/>
              </w:rPr>
            </w:r>
          </w:p>
          <w:p>
            <w:pPr>
              <w:pStyle w:val="PleadingSignature"/>
              <w:tabs>
                <w:tab w:val="left" w:pos="0" w:leader="none"/>
                <w:tab w:val="left" w:pos="5040" w:leader="none"/>
                <w:tab w:val="right" w:pos="9360" w:leader="none"/>
              </w:tabs>
              <w:spacing w:before="240" w:after="0"/>
              <w:ind w:start="0" w:end="0"/>
              <w:rPr>
                <w:sz w:val="20"/>
              </w:rPr>
            </w:pPr>
            <w:r>
              <w:rPr>
                <w:sz w:val="20"/>
              </w:rPr>
            </w:r>
          </w:p>
        </w:tc>
        <w:tc>
          <w:tcPr>
            <w:tcW w:w="4569" w:type="dxa"/>
            <w:tcBorders/>
          </w:tcPr>
          <w:p>
            <w:pPr>
              <w:pStyle w:val="PleadingSignature"/>
              <w:tabs>
                <w:tab w:val="left" w:pos="0" w:leader="none"/>
                <w:tab w:val="left" w:pos="5040" w:leader="none"/>
                <w:tab w:val="right" w:pos="9360" w:leader="none"/>
              </w:tabs>
              <w:spacing w:before="240" w:after="0"/>
              <w:ind w:start="0" w:end="0"/>
              <w:rPr>
                <w:sz w:val="20"/>
              </w:rPr>
            </w:pPr>
            <w:r>
              <w:rPr>
                <w:sz w:val="20"/>
              </w:rPr>
              <w:t>CALIFORNIA DEPARTMENT OF GENEAL SERVICES</w:t>
            </w:r>
          </w:p>
          <w:p>
            <w:pPr>
              <w:pStyle w:val="PleadingSignature"/>
              <w:tabs>
                <w:tab w:val="left" w:pos="0" w:leader="none"/>
                <w:tab w:val="left" w:pos="5040" w:leader="none"/>
                <w:tab w:val="right" w:pos="9360" w:leader="none"/>
              </w:tabs>
              <w:ind w:start="0" w:end="0"/>
              <w:rPr>
                <w:sz w:val="20"/>
              </w:rPr>
            </w:pPr>
            <w:r>
              <w:rPr>
                <w:sz w:val="20"/>
              </w:rPr>
            </w:r>
          </w:p>
          <w:p>
            <w:pPr>
              <w:pStyle w:val="PleadingSignature"/>
              <w:tabs>
                <w:tab w:val="left" w:pos="0" w:leader="none"/>
                <w:tab w:val="left" w:pos="5040" w:leader="none"/>
                <w:tab w:val="right" w:pos="9360" w:leader="none"/>
              </w:tabs>
              <w:ind w:start="0" w:end="0"/>
              <w:rPr>
                <w:sz w:val="20"/>
              </w:rPr>
            </w:pPr>
            <w:r>
              <w:rPr>
                <w:sz w:val="20"/>
              </w:rPr>
              <w:t>Andrew B. Brown</w:t>
            </w:r>
          </w:p>
          <w:p>
            <w:pPr>
              <w:pStyle w:val="PleadingSignature"/>
              <w:tabs>
                <w:tab w:val="left" w:pos="0" w:leader="none"/>
                <w:tab w:val="left" w:pos="5040" w:leader="none"/>
                <w:tab w:val="right" w:pos="9360" w:leader="none"/>
              </w:tabs>
              <w:ind w:start="0" w:end="0"/>
              <w:rPr>
                <w:sz w:val="20"/>
              </w:rPr>
            </w:pPr>
            <w:r>
              <w:rPr>
                <w:sz w:val="20"/>
              </w:rPr>
              <w:t>Gregory L. Maxim</w:t>
            </w:r>
          </w:p>
          <w:p>
            <w:pPr>
              <w:pStyle w:val="PleadingSignature"/>
              <w:tabs>
                <w:tab w:val="left" w:pos="0" w:leader="none"/>
                <w:tab w:val="left" w:pos="5040" w:leader="none"/>
                <w:tab w:val="right" w:pos="9360" w:leader="none"/>
              </w:tabs>
              <w:ind w:start="0" w:end="0"/>
              <w:rPr>
                <w:sz w:val="20"/>
              </w:rPr>
            </w:pPr>
            <w:r>
              <w:rPr>
                <w:sz w:val="20"/>
              </w:rPr>
              <w:t>2015 H Street</w:t>
            </w:r>
          </w:p>
          <w:p>
            <w:pPr>
              <w:pStyle w:val="PleadingSignature"/>
              <w:tabs>
                <w:tab w:val="left" w:pos="0" w:leader="none"/>
                <w:tab w:val="left" w:pos="5040" w:leader="none"/>
                <w:tab w:val="right" w:pos="9360" w:leader="none"/>
              </w:tabs>
              <w:ind w:start="0" w:end="0"/>
              <w:rPr>
                <w:sz w:val="20"/>
              </w:rPr>
            </w:pPr>
            <w:r>
              <w:rPr>
                <w:sz w:val="20"/>
              </w:rPr>
              <w:t>Sacramento, CA 95814</w:t>
            </w:r>
          </w:p>
          <w:p>
            <w:pPr>
              <w:pStyle w:val="PleadingSignature"/>
              <w:tabs>
                <w:tab w:val="left" w:pos="0" w:leader="none"/>
                <w:tab w:val="left" w:pos="5040" w:leader="none"/>
                <w:tab w:val="right" w:pos="9360" w:leader="none"/>
              </w:tabs>
              <w:ind w:start="0" w:end="0"/>
              <w:rPr>
                <w:sz w:val="20"/>
              </w:rPr>
            </w:pPr>
            <w:r>
              <w:rPr>
                <w:sz w:val="20"/>
              </w:rPr>
              <w:t>Telephone:  (916) 447-2166</w:t>
            </w:r>
          </w:p>
          <w:p>
            <w:pPr>
              <w:pStyle w:val="PleadingSignature"/>
              <w:tabs>
                <w:tab w:val="left" w:pos="0" w:leader="none"/>
                <w:tab w:val="left" w:pos="5040" w:leader="none"/>
                <w:tab w:val="right" w:pos="9360" w:leader="none"/>
              </w:tabs>
              <w:ind w:start="0" w:end="0"/>
              <w:rPr>
                <w:sz w:val="20"/>
              </w:rPr>
            </w:pPr>
            <w:r>
              <w:rPr>
                <w:sz w:val="20"/>
              </w:rPr>
              <w:t>Facsimile: (916) 447-3512</w:t>
            </w:r>
          </w:p>
          <w:p>
            <w:pPr>
              <w:pStyle w:val="PleadingSignature"/>
              <w:tabs>
                <w:tab w:val="left" w:pos="0" w:leader="none"/>
                <w:tab w:val="left" w:pos="5040" w:leader="none"/>
                <w:tab w:val="right" w:pos="9360" w:leader="none"/>
              </w:tabs>
              <w:ind w:start="0" w:end="0"/>
              <w:rPr>
                <w:sz w:val="20"/>
              </w:rPr>
            </w:pPr>
            <w:r>
              <w:rPr>
                <w:sz w:val="20"/>
              </w:rPr>
            </w:r>
          </w:p>
          <w:p>
            <w:pPr>
              <w:pStyle w:val="PleadingSignature"/>
              <w:tabs>
                <w:tab w:val="left" w:pos="0" w:leader="none"/>
                <w:tab w:val="left" w:pos="5040" w:leader="none"/>
                <w:tab w:val="right" w:pos="9360" w:leader="none"/>
              </w:tabs>
              <w:ind w:start="0" w:end="0"/>
              <w:rPr>
                <w:sz w:val="20"/>
              </w:rPr>
            </w:pPr>
            <w:r>
              <w:rPr>
                <w:sz w:val="20"/>
              </w:rPr>
              <w:t>By_________________________________</w:t>
            </w:r>
          </w:p>
          <w:p>
            <w:pPr>
              <w:pStyle w:val="PleadingSignature"/>
              <w:tabs>
                <w:tab w:val="left" w:pos="0" w:leader="none"/>
                <w:tab w:val="left" w:pos="5040" w:leader="none"/>
                <w:tab w:val="right" w:pos="9360" w:leader="none"/>
              </w:tabs>
              <w:ind w:start="0" w:end="0"/>
              <w:rPr>
                <w:sz w:val="20"/>
              </w:rPr>
            </w:pPr>
            <w:r>
              <w:rPr>
                <w:sz w:val="20"/>
              </w:rPr>
            </w:r>
          </w:p>
          <w:p>
            <w:pPr>
              <w:pStyle w:val="PleadingSignature"/>
              <w:tabs>
                <w:tab w:val="left" w:pos="0" w:leader="none"/>
                <w:tab w:val="left" w:pos="5040" w:leader="none"/>
                <w:tab w:val="right" w:pos="9360" w:leader="none"/>
              </w:tabs>
              <w:ind w:start="0" w:end="0"/>
              <w:rPr>
                <w:sz w:val="20"/>
              </w:rPr>
            </w:pPr>
            <w:r>
              <w:rPr>
                <w:sz w:val="20"/>
              </w:rPr>
              <w:t>Counsel for California Department of General Services</w:t>
            </w:r>
          </w:p>
        </w:tc>
      </w:tr>
      <w:tr>
        <w:trPr/>
        <w:tc>
          <w:tcPr>
            <w:tcW w:w="4915" w:type="dxa"/>
            <w:tcBorders/>
          </w:tcPr>
          <w:p>
            <w:pPr>
              <w:pStyle w:val="PleadingSignature"/>
              <w:tabs>
                <w:tab w:val="left" w:pos="0" w:leader="none"/>
                <w:tab w:val="left" w:pos="5040" w:leader="none"/>
                <w:tab w:val="right" w:pos="9360" w:leader="none"/>
              </w:tabs>
              <w:spacing w:before="40" w:after="0"/>
              <w:ind w:start="0" w:end="0"/>
              <w:rPr>
                <w:sz w:val="20"/>
              </w:rPr>
            </w:pPr>
            <w:r>
              <w:rPr>
                <w:sz w:val="20"/>
              </w:rPr>
              <w:t>GOLDEN STATE POWER COOPERATIVE</w:t>
            </w:r>
          </w:p>
          <w:p>
            <w:pPr>
              <w:pStyle w:val="PleadingSignature"/>
              <w:tabs>
                <w:tab w:val="left" w:pos="0" w:leader="none"/>
                <w:tab w:val="left" w:pos="5040" w:leader="none"/>
                <w:tab w:val="right" w:pos="9360" w:leader="none"/>
              </w:tabs>
              <w:spacing w:before="40" w:after="0"/>
              <w:ind w:start="0" w:end="0"/>
              <w:rPr>
                <w:sz w:val="20"/>
              </w:rPr>
            </w:pPr>
            <w:r>
              <w:rPr>
                <w:sz w:val="20"/>
              </w:rPr>
            </w:r>
          </w:p>
          <w:p>
            <w:pPr>
              <w:pStyle w:val="PleadingSignature"/>
              <w:tabs>
                <w:tab w:val="left" w:pos="0" w:leader="none"/>
                <w:tab w:val="left" w:pos="5040" w:leader="none"/>
                <w:tab w:val="right" w:pos="9360" w:leader="none"/>
              </w:tabs>
              <w:spacing w:before="40" w:after="0"/>
              <w:ind w:start="0" w:end="0"/>
              <w:rPr>
                <w:sz w:val="20"/>
              </w:rPr>
            </w:pPr>
            <w:r>
              <w:rPr>
                <w:sz w:val="20"/>
              </w:rPr>
              <w:t>Natalie Hanson</w:t>
            </w:r>
          </w:p>
          <w:p>
            <w:pPr>
              <w:pStyle w:val="PleadingSignature"/>
              <w:tabs>
                <w:tab w:val="left" w:pos="0" w:leader="none"/>
                <w:tab w:val="left" w:pos="5040" w:leader="none"/>
                <w:tab w:val="right" w:pos="9360" w:leader="none"/>
              </w:tabs>
              <w:spacing w:before="40" w:after="0"/>
              <w:ind w:start="0" w:end="0"/>
              <w:rPr/>
            </w:pPr>
            <w:r>
              <w:rPr>
                <w:sz w:val="20"/>
              </w:rPr>
              <w:t>1127 11</w:t>
            </w:r>
            <w:r>
              <w:rPr>
                <w:sz w:val="20"/>
                <w:vertAlign w:val="superscript"/>
              </w:rPr>
              <w:t>th</w:t>
            </w:r>
            <w:r>
              <w:rPr>
                <w:sz w:val="20"/>
              </w:rPr>
              <w:t xml:space="preserve"> Street, Suite 276</w:t>
            </w:r>
          </w:p>
          <w:p>
            <w:pPr>
              <w:pStyle w:val="PleadingSignature"/>
              <w:tabs>
                <w:tab w:val="left" w:pos="0" w:leader="none"/>
                <w:tab w:val="left" w:pos="5040" w:leader="none"/>
                <w:tab w:val="right" w:pos="9360" w:leader="none"/>
              </w:tabs>
              <w:spacing w:before="40" w:after="0"/>
              <w:ind w:start="0" w:end="0"/>
              <w:rPr>
                <w:sz w:val="20"/>
              </w:rPr>
            </w:pPr>
            <w:r>
              <w:rPr>
                <w:sz w:val="20"/>
              </w:rPr>
              <w:t>Sacramento, CA 95814</w:t>
            </w:r>
          </w:p>
          <w:p>
            <w:pPr>
              <w:pStyle w:val="PleadingSignature"/>
              <w:tabs>
                <w:tab w:val="left" w:pos="0" w:leader="none"/>
                <w:tab w:val="left" w:pos="5040" w:leader="none"/>
                <w:tab w:val="right" w:pos="9360" w:leader="none"/>
              </w:tabs>
              <w:spacing w:before="40" w:after="0"/>
              <w:ind w:start="0" w:end="0"/>
              <w:rPr>
                <w:sz w:val="20"/>
              </w:rPr>
            </w:pPr>
            <w:r>
              <w:rPr>
                <w:sz w:val="20"/>
              </w:rPr>
              <w:t>(916) 492-9194</w:t>
            </w:r>
          </w:p>
          <w:p>
            <w:pPr>
              <w:pStyle w:val="PleadingSignature"/>
              <w:tabs>
                <w:tab w:val="left" w:pos="0" w:leader="none"/>
                <w:tab w:val="left" w:pos="5040" w:leader="none"/>
                <w:tab w:val="right" w:pos="9360" w:leader="none"/>
              </w:tabs>
              <w:spacing w:before="40" w:after="0"/>
              <w:ind w:start="0" w:end="0"/>
              <w:rPr>
                <w:sz w:val="20"/>
              </w:rPr>
            </w:pPr>
            <w:r>
              <w:rPr>
                <w:sz w:val="20"/>
              </w:rPr>
              <w:t>(916) 492-9196</w:t>
            </w:r>
          </w:p>
          <w:p>
            <w:pPr>
              <w:pStyle w:val="PleadingSignature"/>
              <w:tabs>
                <w:tab w:val="left" w:pos="0" w:leader="none"/>
                <w:tab w:val="left" w:pos="5040" w:leader="none"/>
                <w:tab w:val="right" w:pos="9360" w:leader="none"/>
              </w:tabs>
              <w:spacing w:before="40" w:after="0"/>
              <w:ind w:start="0" w:end="0"/>
              <w:rPr>
                <w:sz w:val="20"/>
              </w:rPr>
            </w:pPr>
            <w:r>
              <w:rPr>
                <w:sz w:val="20"/>
              </w:rPr>
            </w:r>
          </w:p>
          <w:p>
            <w:pPr>
              <w:pStyle w:val="PleadingSignature"/>
              <w:tabs>
                <w:tab w:val="left" w:pos="0" w:leader="none"/>
                <w:tab w:val="left" w:pos="5040" w:leader="none"/>
                <w:tab w:val="right" w:pos="9360" w:leader="none"/>
              </w:tabs>
              <w:spacing w:before="40" w:after="0"/>
              <w:ind w:start="0" w:end="0"/>
              <w:rPr>
                <w:sz w:val="20"/>
              </w:rPr>
            </w:pPr>
            <w:r>
              <w:rPr>
                <w:sz w:val="20"/>
              </w:rPr>
            </w:r>
          </w:p>
          <w:p>
            <w:pPr>
              <w:pStyle w:val="PleadingSignature"/>
              <w:tabs>
                <w:tab w:val="left" w:pos="0" w:leader="none"/>
                <w:tab w:val="left" w:pos="5040" w:leader="none"/>
                <w:tab w:val="right" w:pos="9360" w:leader="none"/>
              </w:tabs>
              <w:spacing w:before="40" w:after="0"/>
              <w:ind w:start="0" w:end="0"/>
              <w:rPr>
                <w:sz w:val="20"/>
              </w:rPr>
            </w:pPr>
            <w:r>
              <w:rPr>
                <w:sz w:val="20"/>
              </w:rPr>
              <w:t>By____________________________________</w:t>
            </w:r>
          </w:p>
          <w:p>
            <w:pPr>
              <w:pStyle w:val="PleadingSignature"/>
              <w:tabs>
                <w:tab w:val="left" w:pos="0" w:leader="none"/>
                <w:tab w:val="left" w:pos="5040" w:leader="none"/>
                <w:tab w:val="right" w:pos="9360" w:leader="none"/>
              </w:tabs>
              <w:spacing w:before="40" w:after="0"/>
              <w:ind w:start="0" w:end="0"/>
              <w:rPr>
                <w:sz w:val="20"/>
              </w:rPr>
            </w:pPr>
            <w:r>
              <w:rPr>
                <w:sz w:val="20"/>
              </w:rPr>
            </w:r>
          </w:p>
          <w:p>
            <w:pPr>
              <w:pStyle w:val="PleadingSignature"/>
              <w:tabs>
                <w:tab w:val="left" w:pos="0" w:leader="none"/>
                <w:tab w:val="left" w:pos="5040" w:leader="none"/>
                <w:tab w:val="right" w:pos="9360" w:leader="none"/>
              </w:tabs>
              <w:spacing w:before="40" w:after="0"/>
              <w:ind w:start="0" w:end="0"/>
              <w:rPr>
                <w:sz w:val="20"/>
              </w:rPr>
            </w:pPr>
            <w:r>
              <w:rPr>
                <w:sz w:val="20"/>
              </w:rPr>
              <w:t>Agent for Golden State Power Cooperative</w:t>
            </w:r>
          </w:p>
          <w:p>
            <w:pPr>
              <w:pStyle w:val="PleadingSignature"/>
              <w:tabs>
                <w:tab w:val="left" w:pos="0" w:leader="none"/>
                <w:tab w:val="left" w:pos="5040" w:leader="none"/>
                <w:tab w:val="right" w:pos="9360" w:leader="none"/>
              </w:tabs>
              <w:spacing w:before="240" w:after="0"/>
              <w:ind w:start="0" w:end="0"/>
              <w:rPr>
                <w:sz w:val="20"/>
              </w:rPr>
            </w:pPr>
            <w:r>
              <w:rPr>
                <w:sz w:val="20"/>
              </w:rPr>
              <w:t>September 14, 2000</w:t>
            </w:r>
          </w:p>
        </w:tc>
        <w:tc>
          <w:tcPr>
            <w:tcW w:w="4569" w:type="dxa"/>
            <w:tcBorders/>
          </w:tcPr>
          <w:p>
            <w:pPr>
              <w:pStyle w:val="PleadingSignature"/>
              <w:tabs>
                <w:tab w:val="left" w:pos="0" w:leader="none"/>
                <w:tab w:val="left" w:pos="5040" w:leader="none"/>
                <w:tab w:val="right" w:pos="9360" w:leader="none"/>
              </w:tabs>
              <w:snapToGrid w:val="false"/>
              <w:spacing w:before="240" w:after="0"/>
              <w:ind w:start="0" w:end="0"/>
              <w:rPr>
                <w:sz w:val="20"/>
              </w:rPr>
            </w:pPr>
            <w:r>
              <w:rPr>
                <w:sz w:val="20"/>
              </w:rPr>
            </w:r>
          </w:p>
        </w:tc>
      </w:tr>
    </w:tbl>
    <w:p>
      <w:pPr>
        <w:pStyle w:val="Caption"/>
        <w:rPr>
          <w:rStyle w:val="zzmpTrailerItem"/>
          <w:sz w:val="20"/>
        </w:rPr>
      </w:pPr>
      <w:r>
        <w:rPr>
          <w:b/>
        </w:rPr>
      </w:r>
    </w:p>
    <w:p>
      <w:pPr>
        <w:pStyle w:val="Normal"/>
        <w:spacing w:lineRule="exact" w:line="200" w:before="240" w:after="0"/>
        <w:rPr>
          <w:rStyle w:val="zzmpTrailerItem"/>
          <w:b/>
          <w:sz w:val="20"/>
        </w:rPr>
      </w:pPr>
      <w:r>
        <w:rPr>
          <w:b/>
        </w:rPr>
      </w:r>
    </w:p>
    <w:p>
      <w:pPr>
        <w:pStyle w:val="Normal"/>
        <w:spacing w:lineRule="exact" w:line="200" w:before="240" w:after="0"/>
        <w:rPr>
          <w:rStyle w:val="zzmpTrailerItem"/>
          <w:sz w:val="20"/>
        </w:rPr>
      </w:pPr>
      <w:r>
        <w:rPr/>
      </w:r>
    </w:p>
    <w:p>
      <w:pPr>
        <w:pStyle w:val="Normal"/>
        <w:spacing w:lineRule="exact" w:line="200" w:before="240" w:after="0"/>
        <w:rPr>
          <w:rStyle w:val="zzmpTrailerItem"/>
          <w:b/>
        </w:rPr>
      </w:pPr>
      <w:r>
        <w:rPr/>
      </w:r>
    </w:p>
    <w:p>
      <w:pPr>
        <w:pStyle w:val="Normal"/>
        <w:spacing w:lineRule="exact" w:line="200" w:before="240" w:after="0"/>
        <w:rPr>
          <w:rStyle w:val="zzmpTrailerItem"/>
          <w:b/>
        </w:rPr>
      </w:pPr>
      <w:r>
        <w:rPr/>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NewCenturySchlb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jc w:val="both"/>
        <w:rPr/>
      </w:pPr>
      <w:r>
        <w:rPr>
          <w:rStyle w:val="FootnoteCharacters"/>
        </w:rPr>
        <w:footnoteRef/>
      </w:r>
      <w:r>
        <w:rPr/>
        <w:t xml:space="preserve"> </w:t>
      </w:r>
      <w:r>
        <w:rPr/>
        <w:tab/>
        <w:t>“Assigned Commissioner’s Ruling Regarding Discretionary and Non-Discretionary Fees,” R. 94-04-031, at p. 4.</w:t>
      </w:r>
    </w:p>
  </w:footnote>
  <w:footnote w:id="3">
    <w:p>
      <w:pPr>
        <w:pStyle w:val="FootnoteText"/>
        <w:spacing w:before="0" w:after="240"/>
        <w:ind w:hanging="720" w:start="720" w:end="0"/>
        <w:jc w:val="both"/>
        <w:rPr/>
      </w:pPr>
      <w:r>
        <w:rPr>
          <w:rStyle w:val="FootnoteCharacters"/>
        </w:rPr>
        <w:footnoteRef/>
      </w:r>
      <w:r>
        <w:rPr/>
        <w:t xml:space="preserve"> </w:t>
      </w:r>
      <w:r>
        <w:rPr/>
        <w:tab/>
      </w:r>
      <w:r>
        <w:rPr>
          <w:i/>
        </w:rPr>
        <w:t>See</w:t>
      </w:r>
      <w:r>
        <w:rPr/>
        <w:t xml:space="preserve"> Exh. 48, Chptr. III, pp. 7-8. </w:t>
      </w:r>
    </w:p>
  </w:footnote>
  <w:footnote w:id="4">
    <w:p>
      <w:pPr>
        <w:pStyle w:val="FootnoteText"/>
        <w:spacing w:before="0" w:after="240"/>
        <w:ind w:hanging="720" w:start="720" w:end="0"/>
        <w:jc w:val="both"/>
        <w:rPr/>
      </w:pPr>
      <w:r>
        <w:rPr>
          <w:rStyle w:val="FootnoteCharacters"/>
        </w:rPr>
        <w:footnoteRef/>
      </w:r>
      <w:r>
        <w:rPr/>
        <w:t xml:space="preserve"> </w:t>
      </w:r>
      <w:r>
        <w:rPr/>
        <w:tab/>
        <w:t xml:space="preserve">Tr. Vol. 11 (ARM-Day), p. 1150, line 9 to p.1151, line 23. </w:t>
      </w:r>
    </w:p>
  </w:footnote>
  <w:footnote w:id="5">
    <w:p>
      <w:pPr>
        <w:pStyle w:val="FootnoteText"/>
        <w:spacing w:before="0" w:after="240"/>
        <w:ind w:hanging="720" w:start="720" w:end="0"/>
        <w:jc w:val="both"/>
        <w:rPr/>
      </w:pPr>
      <w:r>
        <w:rPr>
          <w:rStyle w:val="FootnoteCharacters"/>
        </w:rPr>
        <w:footnoteRef/>
      </w:r>
      <w:r>
        <w:rPr/>
        <w:t xml:space="preserve"> </w:t>
      </w:r>
      <w:r>
        <w:rPr/>
        <w:tab/>
        <w:t>The Settlement does not address the category of services that have been labeled in this proceeding as either “discretionary” or “partially competitive.”</w:t>
      </w:r>
    </w:p>
  </w:footnote>
  <w:footnote w:id="6">
    <w:p>
      <w:pPr>
        <w:pStyle w:val="FootnoteText"/>
        <w:spacing w:before="0" w:after="240"/>
        <w:ind w:hanging="720" w:start="720" w:end="0"/>
        <w:jc w:val="both"/>
        <w:rPr/>
      </w:pPr>
      <w:r>
        <w:rPr>
          <w:rStyle w:val="FootnoteCharacters"/>
        </w:rPr>
        <w:footnoteRef/>
      </w:r>
      <w:r>
        <w:rPr/>
        <w:t xml:space="preserve"> </w:t>
      </w:r>
      <w:r>
        <w:rPr/>
        <w:tab/>
        <w:t>Defined in the Settlement as the date the California Public Utilities Commission approves the Settlement through December 31, 2002.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26/X15354-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next w:val="Normal"/>
    <w:qFormat/>
    <w:pPr>
      <w:widowControl w:val="false"/>
      <w:spacing w:lineRule="exact" w:line="200" w:before="240" w:after="0"/>
    </w:pPr>
    <w:rPr>
      <w:b/>
      <w:sz w:val="4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zCaption">
    <w:name w:val="zCaption"/>
    <w:basedOn w:val="Normal"/>
    <w:qFormat/>
    <w:pPr/>
    <w:rPr>
      <w:rFonts w:ascii="NewCenturySchlbk" w:hAnsi="NewCenturySchlbk" w:cs="NewCenturySchlbk"/>
    </w:rPr>
  </w:style>
  <w:style w:type="paragraph" w:styleId="zAppNo">
    <w:name w:val="zAppNo"/>
    <w:basedOn w:val="Normal"/>
    <w:qFormat/>
    <w:pPr>
      <w:spacing w:lineRule="atLeast" w:line="240" w:before="240" w:after="0"/>
      <w:jc w:val="center"/>
    </w:pPr>
    <w:rPr>
      <w:rFonts w:ascii="NewCenturySchlbk" w:hAnsi="NewCenturySchlbk" w:cs="NewCenturySchlbk"/>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2000-09-08T13:29:00Z</dcterms:created>
  <dc:creator>JMB</dc:creator>
  <dc:description/>
  <dc:language>en-CA</dc:language>
  <cp:lastModifiedBy>SDGE</cp:lastModifiedBy>
  <cp:lastPrinted>2000-09-14T10:50:00Z</cp:lastPrinted>
  <dcterms:modified xsi:type="dcterms:W3CDTF">2000-09-14T15:25:00Z</dcterms:modified>
  <cp:revision>20</cp:revision>
  <dc:subject/>
  <dc:title>BEFORE THE PUBLIC UTILITIES COMMISSION</dc:title>
</cp:coreProperties>
</file>