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I.99-07-003</w:t>
      </w:r>
    </w:p>
    <w:p>
      <w:pPr>
        <w:pStyle w:val="Normal"/>
        <w:jc w:val="center"/>
        <w:rPr/>
      </w:pPr>
      <w:r>
        <w:rPr/>
      </w:r>
    </w:p>
    <w:p>
      <w:pPr>
        <w:pStyle w:val="Heading1"/>
        <w:ind w:hanging="0" w:start="0"/>
        <w:rPr/>
      </w:pPr>
      <w:r>
        <w:rPr/>
        <w:t>Declaration of Robert Betonte</w:t>
      </w:r>
    </w:p>
    <w:p>
      <w:pPr>
        <w:pStyle w:val="Normal"/>
        <w:jc w:val="center"/>
        <w:rPr/>
      </w:pPr>
      <w:r>
        <w:rPr/>
      </w:r>
    </w:p>
    <w:p>
      <w:pPr>
        <w:pStyle w:val="Normal"/>
        <w:jc w:val="center"/>
        <w:rPr/>
      </w:pPr>
      <w:r>
        <w:rPr/>
      </w:r>
    </w:p>
    <w:p>
      <w:pPr>
        <w:pStyle w:val="Normal"/>
        <w:spacing w:lineRule="auto" w:line="360"/>
        <w:rPr/>
      </w:pPr>
      <w:r>
        <w:rPr/>
        <w:tab/>
        <w:t>My name is Robert Betonte.  I am employed by Southern California Gas Company (“SoCalGas”) as Senior Pipeline Products Manager.  My business address is 555 W. Fifth Street, Los Angeles, California  90013.  My job duties include responsibility for implementation of the “capacity” portions of the Comprehensive Settlement in I.99-07-003, assuming it is approved by the Commission.</w:t>
      </w:r>
    </w:p>
    <w:p>
      <w:pPr>
        <w:pStyle w:val="Normal"/>
        <w:spacing w:lineRule="auto" w:line="360"/>
        <w:rPr/>
      </w:pPr>
      <w:r>
        <w:rPr/>
        <w:tab/>
        <w:t>The Comprehensive Settlement as submitted to the Commission in April of 2000 states that SoCalGas shall contract with Altra Energy Technologies, Inc. (“Altra”) for Altra to provide trading platforms for OFO day “chip” trading, monthly imbalance trading, storage rights trading, and backbone transmission rights trading for a period through at least December 31, 2001.  Similar provisions specifically naming Altra as the provider of trading platforms on the system of Pacific Gas and Electric Company (“PG&amp;E”) appear in the settlement applicable to PG&amp;E approved by the Commission in D.00-05-049.</w:t>
      </w:r>
    </w:p>
    <w:p>
      <w:pPr>
        <w:pStyle w:val="Normal"/>
        <w:spacing w:lineRule="auto" w:line="360"/>
        <w:rPr/>
      </w:pPr>
      <w:r>
        <w:rPr/>
        <w:tab/>
        <w:t>In early August of 2000, Altra informed SoCalGas and PG&amp;E that it was no longer interested in contracting with either utility to provide the trading platform services that the approved PG&amp;E settlement and pending Comprehensive Settlement state the utilities would contract to have Altra provide.</w:t>
      </w:r>
    </w:p>
    <w:p>
      <w:pPr>
        <w:pStyle w:val="Normal"/>
        <w:spacing w:lineRule="auto" w:line="360"/>
        <w:rPr/>
      </w:pPr>
      <w:r>
        <w:rPr/>
        <w:tab/>
        <w:t>Both SoCalGas and PG&amp;E had further communications with Altra after receiving this information to see if there were any reasonable conditions under which Altra would reconsider its decision not to provide these services.  Altra has not changed its position that it is now not interested at all in providing these services.</w:t>
      </w:r>
    </w:p>
    <w:p>
      <w:pPr>
        <w:pStyle w:val="Normal"/>
        <w:spacing w:lineRule="auto" w:line="360"/>
        <w:rPr/>
      </w:pPr>
      <w:r>
        <w:rPr/>
        <w:tab/>
        <w:t>SoCalGas, in coordination with PG&amp;E, has commenced efforts to find third party service provider (“TPSP”) other than Altra who could provide the same services that the two settlements in question specify that Altra would provide.  These efforts are continuing and several possible TPSPs have been identified, but no selection or agreement has yet been reached by SoCalGas or PG&amp;E as of the date of this declaration.  It is my judgment and that of other involved employees of SoCalGas that it is now very unlikely that it will be possible for SoCalGas to find and contract with a TPSP other than Altra in time to have the TPSP provide trading platform services as early as April 1, 2001.</w:t>
      </w:r>
    </w:p>
    <w:p>
      <w:pPr>
        <w:pStyle w:val="Normal"/>
        <w:spacing w:lineRule="auto" w:line="360"/>
        <w:rPr/>
      </w:pPr>
      <w:r>
        <w:rPr/>
        <w:tab/>
        <w:t>On September 5, 2000, SoCalGas mailed by U.S. mail a letter to all parties on the service list in I.99-07-003 informing them that Altra had stated it would not contract to provide the services the Comprehensive Settlement contemplated it would provide.  On September 5, 2000, SoCalGas also e-mailed that letter to all persons on the service list with an e-mail address.  On September 6, 2000, SoCalGas mailed by U.S. mail a notice to all parties on the service list in I.99-07-003 of a settlement conference on September 13, 2000, to discuss amendment of the Comprehensive Settlement because of Altra’s decision.  That notice was also sent by e-mail on September 6, 2000, to all persons on the service list with an e-mail address.  The September 6, 2000 e-mail message also included a draft of an amendment to the Comprehensive Settlement relating to Altra’s decision.  SoCalGas conducted a settlement conference, at which I was present, at the noticed time and place for the settlement conference on September 13, 2000.</w:t>
      </w:r>
    </w:p>
    <w:p>
      <w:pPr>
        <w:pStyle w:val="Normal"/>
        <w:spacing w:lineRule="auto" w:line="360"/>
        <w:rPr/>
      </w:pPr>
      <w:r>
        <w:rPr/>
        <w:tab/>
        <w:t>On September 18, 2000, SoCalGas circulated a revised draft of an amendment of the Comprehensive Settlement relating to Altra by e-mail to all signatories to the Comprehensive Settlement.  SoCalGas asked that the signatories indicate to SoCalGas by noon on September 20, 2000, whether they had any objection to the amendment.  SoCalGas has not received any objections from signatories to the Comprehensive Settlement to that amendment by the time this declaration is being signed, which is after noon on September 20, 2000.</w:t>
      </w:r>
    </w:p>
    <w:p>
      <w:pPr>
        <w:pStyle w:val="Normal"/>
        <w:spacing w:lineRule="auto" w:line="360"/>
        <w:rPr/>
      </w:pPr>
      <w:r>
        <w:rPr/>
      </w:r>
    </w:p>
    <w:p>
      <w:pPr>
        <w:pStyle w:val="Normal"/>
        <w:spacing w:lineRule="auto" w:line="360"/>
        <w:rPr/>
      </w:pPr>
      <w:r>
        <w:rPr/>
        <w:tab/>
        <w:t>I declare under penalty of perjury that the foregoing statements are true and correct.</w:t>
      </w:r>
    </w:p>
    <w:p>
      <w:pPr>
        <w:pStyle w:val="Normal"/>
        <w:spacing w:lineRule="auto" w:line="360"/>
        <w:rPr/>
      </w:pPr>
      <w:r>
        <w:rPr/>
      </w:r>
    </w:p>
    <w:p>
      <w:pPr>
        <w:pStyle w:val="Normal"/>
        <w:spacing w:lineRule="auto" w:line="360"/>
        <w:rPr/>
      </w:pPr>
      <w:r>
        <w:rPr/>
        <w:tab/>
        <w:t>Executed this 20</w:t>
      </w:r>
      <w:r>
        <w:rPr>
          <w:vertAlign w:val="superscript"/>
        </w:rPr>
        <w:t>th</w:t>
      </w:r>
      <w:r>
        <w:rPr/>
        <w:t xml:space="preserve"> day of September, 2000, at Los Angeles, California.</w:t>
      </w:r>
    </w:p>
    <w:p>
      <w:pPr>
        <w:pStyle w:val="Normal"/>
        <w:rPr/>
      </w:pPr>
      <w:r>
        <w:rPr/>
      </w:r>
    </w:p>
    <w:p>
      <w:pPr>
        <w:pStyle w:val="Normal"/>
        <w:rPr/>
      </w:pPr>
      <w:r>
        <w:rPr/>
        <w:tab/>
        <w:tab/>
        <w:tab/>
        <w:tab/>
        <w:tab/>
        <w:t>___________________</w:t>
      </w:r>
    </w:p>
    <w:p>
      <w:pPr>
        <w:pStyle w:val="Normal"/>
        <w:rPr/>
      </w:pPr>
      <w:r>
        <w:rPr/>
        <w:tab/>
        <w:tab/>
        <w:tab/>
        <w:tab/>
        <w:tab/>
        <w:t xml:space="preserve"> Robert Betonte</w:t>
      </w:r>
    </w:p>
    <w:p>
      <w:pPr>
        <w:pStyle w:val="Normal"/>
        <w:rPr>
          <w:rFonts w:eastAsia="Courier New"/>
        </w:rPr>
      </w:pPr>
      <w:r>
        <w:rPr>
          <w:rFonts w:eastAsia="Courier New"/>
        </w:rPr>
        <w:t xml:space="preserve">   </w:t>
      </w:r>
    </w:p>
    <w:p>
      <w:pPr>
        <w:pStyle w:val="Normal"/>
        <w:rPr/>
      </w:pPr>
      <w:r>
        <w:rPr/>
      </w:r>
    </w:p>
    <w:p>
      <w:pPr>
        <w:pStyle w:val="Normal"/>
        <w:rPr/>
      </w:pPr>
      <w:r>
        <w:rPr/>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92075" cy="17272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12.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2000-09-15T13:07:00Z</dcterms:created>
  <dc:creator>Sempra Energy</dc:creator>
  <dc:description/>
  <dc:language>en-CA</dc:language>
  <cp:lastModifiedBy>SEMPRA ENERGY</cp:lastModifiedBy>
  <cp:lastPrinted>2000-09-20T08:52:00Z</cp:lastPrinted>
  <dcterms:modified xsi:type="dcterms:W3CDTF">2000-09-20T13:36:00Z</dcterms:modified>
  <cp:revision>4</cp:revision>
  <dc:subject/>
  <dc:title>I</dc:title>
</cp:coreProperties>
</file>