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960" w:leader="none"/>
        </w:tabs>
        <w:jc w:val="center"/>
        <w:rPr>
          <w:rFonts w:ascii="CG Times" w:hAnsi="CG Times" w:cs="CG Times"/>
          <w:b/>
        </w:rPr>
      </w:pPr>
      <w:r>
        <w:rPr>
          <w:rFonts w:cs="CG Times" w:ascii="CG Times" w:hAnsi="CG Times"/>
          <w:b/>
        </w:rPr>
        <w:t>UNITED STATES OF AMERICA</w:t>
      </w:r>
    </w:p>
    <w:p>
      <w:pPr>
        <w:pStyle w:val="Normal"/>
        <w:jc w:val="center"/>
        <w:rPr>
          <w:rFonts w:ascii="CG Times" w:hAnsi="CG Times" w:cs="CG Times"/>
          <w:b/>
        </w:rPr>
      </w:pPr>
      <w:r>
        <w:rPr>
          <w:rFonts w:cs="CG Times" w:ascii="CG Times" w:hAnsi="CG Times"/>
          <w:b/>
        </w:rPr>
        <w:t>BEFORE THE</w:t>
      </w:r>
    </w:p>
    <w:p>
      <w:pPr>
        <w:pStyle w:val="Normal"/>
        <w:jc w:val="center"/>
        <w:rPr>
          <w:rFonts w:ascii="CG Times" w:hAnsi="CG Times" w:cs="CG Times"/>
        </w:rPr>
      </w:pPr>
      <w:r>
        <w:rPr>
          <w:rFonts w:cs="CG Times" w:ascii="CG Times" w:hAnsi="CG Times"/>
          <w:b/>
        </w:rPr>
        <w:t>FEDERAL ENERGY REGULATORY COMMISSION</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t>Transwestern Pipeline Company</w:t>
        <w:tab/>
        <w:t>)</w:t>
        <w:tab/>
        <w:t>Docket Nos.</w:t>
        <w:tab/>
        <w:t>RP97-288-009</w:t>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tab/>
        <w:tab/>
        <w:tab/>
        <w:t>through 016</w:t>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r>
    </w:p>
    <w:p>
      <w:pPr>
        <w:pStyle w:val="Normal"/>
        <w:jc w:val="center"/>
        <w:rPr>
          <w:rFonts w:ascii="CG Times" w:hAnsi="CG Times" w:cs="CG Times"/>
          <w:b/>
        </w:rPr>
      </w:pPr>
      <w:r>
        <w:rPr>
          <w:rFonts w:cs="CG Times" w:ascii="CG Times" w:hAnsi="CG Times"/>
          <w:b/>
        </w:rPr>
        <w:t>SUMMARY OF THE</w:t>
      </w:r>
    </w:p>
    <w:p>
      <w:pPr>
        <w:pStyle w:val="Normal"/>
        <w:jc w:val="center"/>
        <w:rPr>
          <w:rFonts w:ascii="CG Times" w:hAnsi="CG Times" w:cs="CG Times"/>
          <w:b/>
        </w:rPr>
      </w:pPr>
      <w:r>
        <w:rPr>
          <w:rFonts w:cs="CG Times" w:ascii="CG Times" w:hAnsi="CG Times"/>
          <w:b/>
        </w:rPr>
        <w:t>PREPARED REBUTTAL TESTIMONY</w:t>
      </w:r>
    </w:p>
    <w:p>
      <w:pPr>
        <w:pStyle w:val="Normal"/>
        <w:jc w:val="center"/>
        <w:rPr>
          <w:rFonts w:ascii="CG Times" w:hAnsi="CG Times" w:cs="CG Times"/>
          <w:b/>
        </w:rPr>
      </w:pPr>
      <w:r>
        <w:rPr>
          <w:rFonts w:cs="CG Times" w:ascii="CG Times" w:hAnsi="CG Times"/>
          <w:b/>
        </w:rPr>
        <w:t>OF</w:t>
      </w:r>
    </w:p>
    <w:p>
      <w:pPr>
        <w:pStyle w:val="Normal"/>
        <w:jc w:val="center"/>
        <w:rPr>
          <w:rFonts w:ascii="CG Times" w:hAnsi="CG Times" w:cs="CG Times"/>
        </w:rPr>
      </w:pPr>
      <w:r>
        <w:rPr>
          <w:rFonts w:cs="CG Times" w:ascii="CG Times" w:hAnsi="CG Times"/>
          <w:b/>
          <w:u w:val="single"/>
        </w:rPr>
        <w:t>                </w:t>
      </w:r>
      <w:r>
        <w:rPr>
          <w:rFonts w:cs="CG Times" w:ascii="CG Times" w:hAnsi="CG Times"/>
          <w:b/>
          <w:u w:val="single"/>
        </w:rPr>
        <w:t>MARY KAY MILLER               </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spacing w:lineRule="auto" w:line="480"/>
        <w:jc w:val="both"/>
        <w:rPr>
          <w:rFonts w:ascii="CG Times" w:hAnsi="CG Times" w:cs="CG Times"/>
        </w:rPr>
      </w:pPr>
      <w:r>
        <w:rPr>
          <w:rFonts w:cs="CG Times" w:ascii="CG Times" w:hAnsi="CG Times"/>
        </w:rPr>
        <w:tab/>
        <w:t>Ms. Miller responds to the testimony of Mr. Sullivan on behalf of Staff and Ms. Barry on behalf of BP Energy Company and Amoco Production Company and Amoco Production Company.  She shows that in a number of instances, Mr. Sullivan and Ms. Barry makes allegations which are contrary to the facts or which involve pure speculation that is unsupported by any facts.  (Page 1)  In addition, Ms. Barry makes a number of suggestions for changes to Transwestern’s tariff that are beyond the scope of the issues set for hearing and constitute a collateral attack on the Commission’s rules applicable to all pipelines.  (Page 1)  She notes that Mr. Sullivan raises issues with respect to 4 of the 8 transactions set for hearing – the 4 contracts involving operational capacity which provided shippers with the right to daily firm capacity.  (Pages 1-2)</w:t>
      </w:r>
    </w:p>
    <w:p>
      <w:pPr>
        <w:pStyle w:val="Normal"/>
        <w:spacing w:lineRule="auto" w:line="480"/>
        <w:jc w:val="both"/>
        <w:rPr/>
      </w:pPr>
      <w:r>
        <w:rPr>
          <w:rFonts w:cs="CG Times" w:ascii="CG Times" w:hAnsi="CG Times"/>
        </w:rPr>
        <w:tab/>
        <w:t>Ms. Miller states that neither Mr. Sullivan nor Ms. Barry allege that Transwestern violated its tariff when it posted and awarded the capacity involved in the 4 daily firm contracts with Richardson and Sempra.  (Page 3)  She notes that Mr. Sullivan states (at 4) that “Transwestern appears to have posted the capacity on its web site for bidding in accordance with its tariff . . . .”  and Ms. Barry expressly states (at 2, ln. 13-14) that she does not believe that Transwestern violated its tariff.  Ms. Miller explains that the statements of Mr. Sullivan and Ms. Barry acknowledge the undisputed facts.</w:t>
      </w:r>
      <w:r>
        <w:rPr>
          <w:rFonts w:cs="CG Times" w:ascii="CG Times" w:hAnsi="CG Times"/>
          <w:b/>
        </w:rPr>
        <w:t xml:space="preserve"> </w:t>
      </w:r>
    </w:p>
    <w:p>
      <w:pPr>
        <w:pStyle w:val="Normal"/>
        <w:spacing w:lineRule="auto" w:line="480"/>
        <w:jc w:val="both"/>
        <w:rPr/>
      </w:pPr>
      <w:r>
        <w:rPr>
          <w:rFonts w:cs="CG Times" w:ascii="CG Times" w:hAnsi="CG Times"/>
          <w:b/>
        </w:rPr>
        <w:tab/>
      </w:r>
      <w:r>
        <w:rPr>
          <w:rFonts w:cs="CG Times" w:ascii="CG Times" w:hAnsi="CG Times"/>
        </w:rPr>
        <w:t>Ms. Miller explains that Mr. Sullivan believes that Transwestern should not have had discussions with Richardson and Sempra about the possible availability of capacity, but Mr. Sullivan does not claim that Transwestern violated any tariff provision.  (Page 4)  In addition, Mr. Sullivan does not claim that there is any Commission rule or policy that prohibits a pipeline from discussing the possible availability of capacity with potential shippers.  (Page 4)</w:t>
      </w:r>
    </w:p>
    <w:p>
      <w:pPr>
        <w:pStyle w:val="Normal"/>
        <w:spacing w:lineRule="auto" w:line="480"/>
        <w:jc w:val="both"/>
        <w:rPr>
          <w:rFonts w:ascii="CG Times" w:hAnsi="CG Times" w:cs="CG Times"/>
        </w:rPr>
      </w:pPr>
      <w:r>
        <w:rPr>
          <w:rFonts w:cs="CG Times" w:ascii="CG Times" w:hAnsi="CG Times"/>
        </w:rPr>
        <w:tab/>
        <w:t>Ms. Miller states that the Commission does not have any rule or policy which prohibits a pipeline from discussing with a potential shipper the possible availability of capacity.  (Page 4)  She explains that, in fact, the Commission has on a number of occasions expressed the policy view that a pipeline should actively market its unsubscribed capacity.  In other words, the pipeline should not simply post unsubscribed capacity and wait for bids, but should actively communicate with shippers to discuss their market circumstances, gas supply situation, interest in capacity, possible receipt point and delivery point options, and the rate structure that would meet their needs.  (Page 4)  The goal of this Commission policy is to maximize capacity utilization.</w:t>
      </w:r>
      <w:r>
        <w:rPr>
          <w:rFonts w:cs="CG Times" w:ascii="CG Times" w:hAnsi="CG Times"/>
          <w:b/>
        </w:rPr>
        <w:t xml:space="preserve"> </w:t>
      </w:r>
    </w:p>
    <w:p>
      <w:pPr>
        <w:pStyle w:val="Normal"/>
        <w:spacing w:lineRule="auto" w:line="480"/>
        <w:jc w:val="both"/>
        <w:rPr/>
      </w:pPr>
      <w:r>
        <w:rPr>
          <w:rFonts w:cs="CG Times" w:ascii="CG Times" w:hAnsi="CG Times"/>
        </w:rPr>
        <w:tab/>
        <w:t>Ms. Miller explains that given the large number of potential shippers, it is not possible to have the exact same discussion at the exact same time with all potential shippers.  (Page 5)  Further, the interests of potential shippers are different.  They do not have the exact same market circumstances, gas supply situations, interests in capacity, receipt and delivery point options, or rate structure needs.  (Page 5)  She states that a pipeline has many different discussions with many different shippers, but the Commission has never found that these different discussions are “discriminatory,” except if the discussions have been held with a marketing affiliate.  (Page 5)  She states that the Commission’s requirement to post capacity for a set time period before awarding the capacity to any shipper eliminates any claim that different discussions with different shippers are “discriminatory.”</w:t>
      </w:r>
      <w:r>
        <w:rPr>
          <w:rFonts w:cs="CG Times" w:ascii="CG Times" w:hAnsi="CG Times"/>
          <w:b/>
        </w:rPr>
        <w:t xml:space="preserve">  </w:t>
      </w:r>
      <w:r>
        <w:rPr>
          <w:rFonts w:cs="CG Times" w:ascii="CG Times" w:hAnsi="CG Times"/>
        </w:rPr>
        <w:t>(Page 5)</w:t>
      </w:r>
    </w:p>
    <w:p>
      <w:pPr>
        <w:pStyle w:val="Normal"/>
        <w:spacing w:lineRule="auto" w:line="480"/>
        <w:jc w:val="both"/>
        <w:rPr/>
      </w:pPr>
      <w:r>
        <w:rPr>
          <w:rFonts w:cs="CG Times" w:ascii="CG Times" w:hAnsi="CG Times"/>
        </w:rPr>
        <w:tab/>
        <w:t xml:space="preserve">Ms. Miller states that Mr. Sullivan’s claim of “discrimination” fails to take into account the effect of Transwestern’s posting of the capacity that was involved in the 4 daily firm contracts with Richardson and Sempra.  (Page 6)  She explains that since another potential shipper could have submitted a bid and obtained the capacity, Richardson and Sempra clearly did not have any “deal” entitling them to the posted capacity before it was posted.  (Pages 6-7)  She states that Richardson and Sempra had the right to the capacity only </w:t>
      </w:r>
      <w:r>
        <w:rPr>
          <w:rFonts w:cs="CG Times" w:ascii="CG Times" w:hAnsi="CG Times"/>
          <w:u w:val="single"/>
        </w:rPr>
        <w:t>after</w:t>
      </w:r>
      <w:r>
        <w:rPr>
          <w:rFonts w:cs="CG Times" w:ascii="CG Times" w:hAnsi="CG Times"/>
        </w:rPr>
        <w:t xml:space="preserve"> they submitted their bids, </w:t>
      </w:r>
      <w:r>
        <w:rPr>
          <w:rFonts w:cs="CG Times" w:ascii="CG Times" w:hAnsi="CG Times"/>
          <w:u w:val="single"/>
        </w:rPr>
        <w:t>after</w:t>
      </w:r>
      <w:r>
        <w:rPr>
          <w:rFonts w:cs="CG Times" w:ascii="CG Times" w:hAnsi="CG Times"/>
        </w:rPr>
        <w:t xml:space="preserve"> the posting period ended, </w:t>
      </w:r>
      <w:r>
        <w:rPr>
          <w:rFonts w:cs="CG Times" w:ascii="CG Times" w:hAnsi="CG Times"/>
          <w:u w:val="single"/>
        </w:rPr>
        <w:t>after</w:t>
      </w:r>
      <w:r>
        <w:rPr>
          <w:rFonts w:cs="CG Times" w:ascii="CG Times" w:hAnsi="CG Times"/>
        </w:rPr>
        <w:t xml:space="preserve"> Transwestern determined that no other bids were submitted, and </w:t>
      </w:r>
      <w:r>
        <w:rPr>
          <w:rFonts w:cs="CG Times" w:ascii="CG Times" w:hAnsi="CG Times"/>
          <w:u w:val="single"/>
        </w:rPr>
        <w:t>after</w:t>
      </w:r>
      <w:r>
        <w:rPr>
          <w:rFonts w:cs="CG Times" w:ascii="CG Times" w:hAnsi="CG Times"/>
        </w:rPr>
        <w:t xml:space="preserve"> a contract was agreed upon between Transwestern and Richardson or Sempra.</w:t>
      </w:r>
      <w:r>
        <w:rPr>
          <w:rFonts w:cs="CG Times" w:ascii="CG Times" w:hAnsi="CG Times"/>
          <w:b/>
        </w:rPr>
        <w:t xml:space="preserve">  </w:t>
      </w:r>
      <w:r>
        <w:rPr>
          <w:rFonts w:cs="CG Times" w:ascii="CG Times" w:hAnsi="CG Times"/>
        </w:rPr>
        <w:t>(Page 7)</w:t>
      </w:r>
    </w:p>
    <w:p>
      <w:pPr>
        <w:pStyle w:val="Normal"/>
        <w:spacing w:lineRule="auto" w:line="480"/>
        <w:jc w:val="both"/>
        <w:rPr/>
      </w:pPr>
      <w:r>
        <w:rPr>
          <w:rFonts w:cs="CG Times" w:ascii="CG Times" w:hAnsi="CG Times"/>
        </w:rPr>
        <w:tab/>
        <w:t>Ms. Miller states that Transwestern did not withhold capacity that otherwise could have been made available under recourse rates in order to make the capacity available under substantially higher negotiated rates.  (Page 8)</w:t>
      </w:r>
      <w:r>
        <w:rPr>
          <w:rFonts w:cs="CG Times" w:ascii="CG Times" w:hAnsi="CG Times"/>
          <w:b/>
        </w:rPr>
        <w:t xml:space="preserve">  </w:t>
      </w:r>
      <w:r>
        <w:rPr>
          <w:rFonts w:cs="CG Times" w:ascii="CG Times" w:hAnsi="CG Times"/>
        </w:rPr>
        <w:t>She explained that the capacity at issue was offered on Transwestern’s web site at the recourse rate in the exact same manner that all other capacity is offered on Transwestern’s web site at the recourse rate; there was no prohibition, restriction, limitation, condition or suggestion that a potential shipper could not bid for the capacity at the recourse rate; and any potential shipper, including Richardson or Sempra, could have submitted a bid for the capacity at the recourse rate.  (Pages 8-9)</w:t>
      </w:r>
    </w:p>
    <w:p>
      <w:pPr>
        <w:pStyle w:val="Normal"/>
        <w:spacing w:lineRule="auto" w:line="480"/>
        <w:jc w:val="both"/>
        <w:rPr/>
      </w:pPr>
      <w:r>
        <w:rPr>
          <w:rFonts w:cs="CG Times" w:ascii="CG Times" w:hAnsi="CG Times"/>
        </w:rPr>
        <w:tab/>
        <w:t>She notes that Mr. Sullivan agrees that “</w:t>
      </w:r>
      <w:r>
        <w:rPr>
          <w:rFonts w:cs="CG Times" w:ascii="CG Times" w:hAnsi="CG Times"/>
          <w:u w:val="single"/>
        </w:rPr>
        <w:t>[w]hen capacity is posted</w:t>
      </w:r>
      <w:r>
        <w:rPr>
          <w:rFonts w:cs="CG Times" w:ascii="CG Times" w:hAnsi="CG Times"/>
        </w:rPr>
        <w:t xml:space="preserve"> on the web site, </w:t>
      </w:r>
      <w:r>
        <w:rPr>
          <w:rFonts w:cs="CG Times" w:ascii="CG Times" w:hAnsi="CG Times"/>
          <w:u w:val="single"/>
        </w:rPr>
        <w:t>shippers</w:t>
      </w:r>
      <w:r>
        <w:rPr>
          <w:rFonts w:cs="CG Times" w:ascii="CG Times" w:hAnsi="CG Times"/>
        </w:rPr>
        <w:t xml:space="preserve"> on Transwestern </w:t>
      </w:r>
      <w:r>
        <w:rPr>
          <w:rFonts w:cs="CG Times" w:ascii="CG Times" w:hAnsi="CG Times"/>
          <w:u w:val="single"/>
        </w:rPr>
        <w:t>know</w:t>
      </w:r>
      <w:r>
        <w:rPr>
          <w:rFonts w:cs="CG Times" w:ascii="CG Times" w:hAnsi="CG Times"/>
        </w:rPr>
        <w:t xml:space="preserve"> how much </w:t>
      </w:r>
      <w:r>
        <w:rPr>
          <w:rFonts w:cs="CG Times" w:ascii="CG Times" w:hAnsi="CG Times"/>
          <w:u w:val="single"/>
        </w:rPr>
        <w:t>capacity is available at the recourse rate</w:t>
      </w:r>
      <w:r>
        <w:rPr>
          <w:rFonts w:cs="CG Times" w:ascii="CG Times" w:hAnsi="CG Times"/>
        </w:rPr>
        <w:t>.”  (Sullivan Testimony at 11; emphasis added.)  (Page 10)</w:t>
      </w:r>
    </w:p>
    <w:p>
      <w:pPr>
        <w:pStyle w:val="Normal"/>
        <w:spacing w:lineRule="auto" w:line="480"/>
        <w:jc w:val="both"/>
        <w:rPr/>
      </w:pPr>
      <w:r>
        <w:rPr>
          <w:rFonts w:cs="CG Times" w:ascii="CG Times" w:hAnsi="CG Times"/>
        </w:rPr>
        <w:tab/>
        <w:t xml:space="preserve">Ms. Miller states that Mr. Sullivan offers no support for his claim that a potential shipper may agree to a higher negotiated rate because it is “either unsure or concerned that the capacity will not be made available at the recourse rate.”  (Page 11)  She explains that Transwestern cannot sell the capacity to </w:t>
      </w:r>
      <w:r>
        <w:rPr>
          <w:rFonts w:cs="CG Times" w:ascii="CG Times" w:hAnsi="CG Times"/>
          <w:u w:val="single"/>
        </w:rPr>
        <w:t>any</w:t>
      </w:r>
      <w:r>
        <w:rPr>
          <w:rFonts w:cs="CG Times" w:ascii="CG Times" w:hAnsi="CG Times"/>
        </w:rPr>
        <w:t xml:space="preserve"> shipper unless it first offers the capacity on its web site to </w:t>
      </w:r>
      <w:r>
        <w:rPr>
          <w:rFonts w:cs="CG Times" w:ascii="CG Times" w:hAnsi="CG Times"/>
          <w:u w:val="single"/>
        </w:rPr>
        <w:t>all</w:t>
      </w:r>
      <w:r>
        <w:rPr>
          <w:rFonts w:cs="CG Times" w:ascii="CG Times" w:hAnsi="CG Times"/>
        </w:rPr>
        <w:t xml:space="preserve"> potential shippers at the recourse rate.  (Page 11)</w:t>
      </w:r>
      <w:r>
        <w:rPr>
          <w:rFonts w:cs="CG Times" w:ascii="CG Times" w:hAnsi="CG Times"/>
          <w:b/>
        </w:rPr>
        <w:t xml:space="preserve">  </w:t>
      </w:r>
      <w:r>
        <w:rPr>
          <w:rFonts w:cs="CG Times" w:ascii="CG Times" w:hAnsi="CG Times"/>
        </w:rPr>
        <w:t>She states</w:t>
      </w:r>
      <w:r>
        <w:rPr>
          <w:rFonts w:cs="CG Times" w:ascii="CG Times" w:hAnsi="CG Times"/>
          <w:b/>
        </w:rPr>
        <w:t xml:space="preserve"> </w:t>
      </w:r>
      <w:r>
        <w:rPr>
          <w:rFonts w:cs="CG Times" w:ascii="CG Times" w:hAnsi="CG Times"/>
        </w:rPr>
        <w:t xml:space="preserve">Mr. Sullivan offers no support for his claim that Transwestern can withhold capacity unless the shipper agrees to negotiated rates.  Ms. Miller reiterated that Transwestern cannot sell the capacity to </w:t>
      </w:r>
      <w:r>
        <w:rPr>
          <w:rFonts w:cs="CG Times" w:ascii="CG Times" w:hAnsi="CG Times"/>
          <w:u w:val="single"/>
        </w:rPr>
        <w:t>any</w:t>
      </w:r>
      <w:r>
        <w:rPr>
          <w:rFonts w:cs="CG Times" w:ascii="CG Times" w:hAnsi="CG Times"/>
        </w:rPr>
        <w:t xml:space="preserve"> shipper unless it first offers the capacity on its web site to </w:t>
      </w:r>
      <w:r>
        <w:rPr>
          <w:rFonts w:cs="CG Times" w:ascii="CG Times" w:hAnsi="CG Times"/>
          <w:u w:val="single"/>
        </w:rPr>
        <w:t>all</w:t>
      </w:r>
      <w:r>
        <w:rPr>
          <w:rFonts w:cs="CG Times" w:ascii="CG Times" w:hAnsi="CG Times"/>
        </w:rPr>
        <w:t xml:space="preserve"> potential shippers at the recourse rate.  She states that a shipper is under no obligation to agree to a negotiated rate given that the capacity must be posted before it can be sold to anyone and the fact that the shipper can simply request the capacity at the recourse rate when it is posted, in which case the shipper receives the capacity at the recourse rate, if there are no other bids, or participates in a lottery if there are other recourse rate bids or negotiated rate bids above the recourse rate.  (Page 12)</w:t>
      </w:r>
    </w:p>
    <w:p>
      <w:pPr>
        <w:pStyle w:val="Normal"/>
        <w:spacing w:lineRule="auto" w:line="480"/>
        <w:jc w:val="both"/>
        <w:rPr/>
      </w:pPr>
      <w:r>
        <w:rPr>
          <w:rFonts w:cs="CG Times" w:ascii="CG Times" w:hAnsi="CG Times"/>
        </w:rPr>
        <w:tab/>
        <w:t>Ms. Miller states that evidence from the shippers themselves demonstrate that Transwestern did not threaten to withhold capacity unless the shipper agreed to the negotiated rates.  (Pages 12-13)</w:t>
      </w:r>
      <w:r>
        <w:rPr>
          <w:rFonts w:cs="CG Times" w:ascii="CG Times" w:hAnsi="CG Times"/>
          <w:b/>
        </w:rPr>
        <w:t xml:space="preserve">  </w:t>
      </w:r>
      <w:r>
        <w:rPr>
          <w:rFonts w:cs="CG Times" w:ascii="CG Times" w:hAnsi="CG Times"/>
        </w:rPr>
        <w:t>She explains that Southern California Edison Company’s (SCE) Data Request No. 4 to both Richardson and Sempra asked whether “any employee of Transwestern or any Transwestern affiliate ever indicate[d] at any time that Transwestern would not provide the capacity at the maximum tariff rate (</w:t>
      </w:r>
      <w:r>
        <w:rPr>
          <w:rFonts w:cs="CG Times" w:ascii="CG Times" w:hAnsi="CG Times"/>
          <w:u w:val="single"/>
        </w:rPr>
        <w:t>i.e.</w:t>
      </w:r>
      <w:r>
        <w:rPr>
          <w:rFonts w:cs="CG Times" w:ascii="CG Times" w:hAnsi="CG Times"/>
        </w:rPr>
        <w:t>, the capacity ultimately purchased pursuant to the negotiated rate)?”  Both Richardson and Sempra answered “No.”  (Pages 13-14)</w:t>
      </w:r>
    </w:p>
    <w:p>
      <w:pPr>
        <w:pStyle w:val="Normal"/>
        <w:spacing w:lineRule="auto" w:line="480"/>
        <w:jc w:val="both"/>
        <w:rPr>
          <w:rFonts w:ascii="CG Times" w:hAnsi="CG Times" w:cs="CG Times"/>
        </w:rPr>
      </w:pPr>
      <w:r>
        <w:rPr>
          <w:rFonts w:cs="CG Times" w:ascii="CG Times" w:hAnsi="CG Times"/>
        </w:rPr>
        <w:tab/>
        <w:t xml:space="preserve">Ms. Miller states that Mr. Sullivan’s attempt to draw a distinction between the way Transwestern “offers” its design capacity and the way it “offers” its operational capacity is illogical because Transwestern uses exactly the same mechanism </w:t>
        <w:noBreakHyphen/>
        <w:noBreakHyphen/>
        <w:t xml:space="preserve"> postings on its internet web site </w:t>
        <w:noBreakHyphen/>
        <w:noBreakHyphen/>
        <w:t xml:space="preserve"> to offer both.  (Page 14)</w:t>
      </w:r>
    </w:p>
    <w:p>
      <w:pPr>
        <w:pStyle w:val="Normal"/>
        <w:spacing w:lineRule="auto" w:line="480"/>
        <w:jc w:val="both"/>
        <w:rPr/>
      </w:pPr>
      <w:r>
        <w:rPr>
          <w:rFonts w:cs="CG Times" w:ascii="CG Times" w:hAnsi="CG Times"/>
        </w:rPr>
        <w:tab/>
        <w:t>Ms. Miller explains that Mr. Sullivan stated that, “[t]he capacity was posted by Transwestern and could have been bid on at maximum recourse rates.”  (Sullivan Testimony at 5-6.)  (Pages 15-16)</w:t>
      </w:r>
      <w:r>
        <w:rPr>
          <w:rFonts w:cs="CG Times" w:ascii="CG Times" w:hAnsi="CG Times"/>
          <w:b/>
        </w:rPr>
        <w:t xml:space="preserve">  </w:t>
      </w:r>
      <w:r>
        <w:rPr>
          <w:rFonts w:cs="CG Times" w:ascii="CG Times" w:hAnsi="CG Times"/>
        </w:rPr>
        <w:t>She states that</w:t>
      </w:r>
      <w:r>
        <w:rPr>
          <w:rFonts w:cs="CG Times" w:ascii="CG Times" w:hAnsi="CG Times"/>
          <w:b/>
        </w:rPr>
        <w:t xml:space="preserve"> </w:t>
      </w:r>
      <w:r>
        <w:rPr>
          <w:rFonts w:cs="CG Times" w:ascii="CG Times" w:hAnsi="CG Times"/>
        </w:rPr>
        <w:t>in each case the shipper agreed to a specific negotiated rate in place of the recourse rate (maximum rate) that otherwise would have applied under the terms of the Form of Service Agreement, Form M, for firm service under Rate Schedule FTS</w:t>
        <w:noBreakHyphen/>
        <w:t>1.</w:t>
      </w:r>
      <w:r>
        <w:rPr>
          <w:rFonts w:cs="CG Times" w:ascii="CG Times" w:hAnsi="CG Times"/>
          <w:b/>
        </w:rPr>
        <w:t xml:space="preserve">  </w:t>
      </w:r>
      <w:r>
        <w:rPr>
          <w:rFonts w:cs="CG Times" w:ascii="CG Times" w:hAnsi="CG Times"/>
        </w:rPr>
        <w:t>(Page 16)</w:t>
      </w:r>
    </w:p>
    <w:p>
      <w:pPr>
        <w:pStyle w:val="Normal"/>
        <w:spacing w:lineRule="auto" w:line="480"/>
        <w:jc w:val="both"/>
        <w:rPr>
          <w:rFonts w:ascii="CG Times" w:hAnsi="CG Times" w:cs="CG Times"/>
        </w:rPr>
      </w:pPr>
      <w:r>
        <w:rPr>
          <w:rFonts w:cs="CG Times" w:ascii="CG Times" w:hAnsi="CG Times"/>
        </w:rPr>
        <w:tab/>
        <w:t xml:space="preserve">Ms. Miller notes that no party disputes the fact that the capacity was available on a firm basis regardless of whether the potential shipper elected negotiated rates or recourse rates.  (Pages 16-17) </w:t>
      </w:r>
    </w:p>
    <w:p>
      <w:pPr>
        <w:pStyle w:val="Normal"/>
        <w:spacing w:lineRule="auto" w:line="480"/>
        <w:jc w:val="both"/>
        <w:rPr/>
      </w:pPr>
      <w:r>
        <w:rPr>
          <w:rFonts w:cs="CG Times" w:ascii="CG Times" w:hAnsi="CG Times"/>
        </w:rPr>
        <w:tab/>
        <w:t>Ms. Miller states that she disagrees with Mr. Sullivan’s terminology describing Transwestern as a “’surrogate’ gas marketer.”  (Page 17)  She explains that the Commission’s policy is that pipelines should actively market their capacity.  (Page 17)  That is what Transwestern does; it does not act as a “’surrogate’ gas marketer.”  Ms. Miller notes that, regardless of the label, she agrees with Mr. Sullivan that Transwestern’s activities are allowed under the Commission’s negotiated rate policy.</w:t>
      </w:r>
      <w:r>
        <w:rPr>
          <w:rFonts w:cs="CG Times" w:ascii="CG Times" w:hAnsi="CG Times"/>
          <w:b/>
        </w:rPr>
        <w:t xml:space="preserve">  </w:t>
      </w:r>
      <w:r>
        <w:rPr>
          <w:rFonts w:cs="CG Times" w:ascii="CG Times" w:hAnsi="CG Times"/>
        </w:rPr>
        <w:t>(Page 18)</w:t>
      </w:r>
    </w:p>
    <w:p>
      <w:pPr>
        <w:pStyle w:val="Normal"/>
        <w:spacing w:lineRule="auto" w:line="480"/>
        <w:jc w:val="both"/>
        <w:rPr/>
      </w:pPr>
      <w:r>
        <w:rPr>
          <w:rFonts w:cs="CG Times" w:ascii="CG Times" w:hAnsi="CG Times"/>
        </w:rPr>
        <w:tab/>
        <w:t>Ms. Miller states that Mr. Sullivan's point seems to be that index-to-index transportation rates are all improper because they tie the price the pipeline receives for transportation service to the difference between published gas price indices.  (Pages 18-19)  She explains that if what Mr. Sullivan is suggesting is that the Commission should modify its negotiated rate policy to prohibit index-based pricing arrangements, then this case is the wrong forum for such an issue because modifying the negotiated rate policy should only be done on an industry-wide basis so no pipeline or group of pipeline customers is competitively disadvantaged.</w:t>
      </w:r>
      <w:r>
        <w:rPr>
          <w:rFonts w:cs="CG Times" w:ascii="CG Times" w:hAnsi="CG Times"/>
          <w:b/>
        </w:rPr>
        <w:t xml:space="preserve">  </w:t>
      </w:r>
      <w:r>
        <w:rPr>
          <w:rFonts w:cs="CG Times" w:ascii="CG Times" w:hAnsi="CG Times"/>
        </w:rPr>
        <w:t>(Page 19)</w:t>
      </w:r>
    </w:p>
    <w:p>
      <w:pPr>
        <w:pStyle w:val="Normal"/>
        <w:spacing w:lineRule="auto" w:line="480"/>
        <w:jc w:val="both"/>
        <w:rPr>
          <w:rFonts w:ascii="CG Times" w:hAnsi="CG Times" w:cs="CG Times"/>
        </w:rPr>
      </w:pPr>
      <w:r>
        <w:rPr>
          <w:rFonts w:cs="CG Times" w:ascii="CG Times" w:hAnsi="CG Times"/>
        </w:rPr>
        <w:tab/>
        <w:t>Ms. Miller states that the Commission’s negotiated rate policy does not require a minimum level of profit to shippers or contemplate any hindsight analysis of whether shippers could have gotten a better deal or made more profits.  (Page 19)  She states that Mr. Sullivan acknowledges (at 14) that the transportation rate is not unlawful because “[t]he Commission’s policy with regard to negotiated rates appears to permit pipelines, like Transwestern in the instant case, to charge rates under certain circumstances substantially in excess of their stated maximum rates. . . .”  (Pages 19-20)</w:t>
      </w:r>
    </w:p>
    <w:p>
      <w:pPr>
        <w:pStyle w:val="Normal"/>
        <w:spacing w:lineRule="auto" w:line="480"/>
        <w:jc w:val="both"/>
        <w:rPr/>
      </w:pPr>
      <w:r>
        <w:rPr>
          <w:rFonts w:cs="CG Times" w:ascii="CG Times" w:hAnsi="CG Times"/>
        </w:rPr>
        <w:tab/>
        <w:t xml:space="preserve">Ms. Miller explains that the </w:t>
      </w:r>
      <w:r>
        <w:rPr>
          <w:rFonts w:cs="CG Times" w:ascii="CG Times" w:hAnsi="CG Times"/>
          <w:u w:val="single"/>
        </w:rPr>
        <w:t>Koch</w:t>
      </w:r>
      <w:r>
        <w:rPr>
          <w:rFonts w:cs="CG Times" w:ascii="CG Times" w:hAnsi="CG Times"/>
        </w:rPr>
        <w:t xml:space="preserve"> case referenced by Mr. Sullivan is not relevant to this proceeding.  (Page 20)  She explains that </w:t>
      </w:r>
      <w:r>
        <w:rPr>
          <w:rFonts w:cs="CG Times" w:ascii="CG Times" w:hAnsi="CG Times"/>
          <w:u w:val="single"/>
        </w:rPr>
        <w:t>Koch</w:t>
      </w:r>
      <w:r>
        <w:rPr>
          <w:rFonts w:cs="CG Times" w:ascii="CG Times" w:hAnsi="CG Times"/>
        </w:rPr>
        <w:t xml:space="preserve"> involved a pipeline’s request to implement market-based rates and that market-based rates raise market power concerns because a shipper has no right to any recourse rate.  She states that, in contrast, under the Commission’s negotiated rate policy, market power concerns are eliminated because the shipper always has the right to select the recourse rate.  (Page 20)</w:t>
      </w:r>
    </w:p>
    <w:p>
      <w:pPr>
        <w:pStyle w:val="Normal"/>
        <w:spacing w:lineRule="auto" w:line="480"/>
        <w:jc w:val="both"/>
        <w:rPr>
          <w:rFonts w:ascii="CG Times" w:hAnsi="CG Times" w:cs="CG Times"/>
        </w:rPr>
      </w:pPr>
      <w:r>
        <w:rPr>
          <w:rFonts w:cs="CG Times" w:ascii="CG Times" w:hAnsi="CG Times"/>
        </w:rPr>
        <w:tab/>
        <w:t>Ms. Miller addresses each of Ms. Barry’s suggested revisions to Transwestern’s posting and bidding procedures.  (Pages 20-22)</w:t>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24"/>
      <w:sz w:val="24"/>
      <w:u w:val="single"/>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jc w:val="both"/>
    </w:pPr>
    <w:rPr>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2001-08-27T16:39:00Z</dcterms:created>
  <dc:creator>Keith Brown</dc:creator>
  <dc:description/>
  <dc:language>en-CA</dc:language>
  <cp:lastModifiedBy>Akin Gump</cp:lastModifiedBy>
  <cp:lastPrinted>2001-08-27T14:03:00Z</cp:lastPrinted>
  <dcterms:modified xsi:type="dcterms:W3CDTF">2001-08-27T16:39:00Z</dcterms:modified>
  <cp:revision>2</cp:revision>
  <dc:subject/>
  <dc:title>SUMMARY OF THE</dc:title>
</cp:coreProperties>
</file>