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I.99-07-003</w:t>
      </w:r>
    </w:p>
    <w:p>
      <w:pPr>
        <w:pStyle w:val="Normal"/>
        <w:jc w:val="center"/>
        <w:rPr/>
      </w:pPr>
      <w:r>
        <w:rPr/>
      </w:r>
    </w:p>
    <w:p>
      <w:pPr>
        <w:pStyle w:val="Normal"/>
        <w:jc w:val="center"/>
        <w:rPr/>
      </w:pPr>
      <w:r>
        <w:rPr/>
        <w:t>APRIL 28, 2000</w:t>
      </w:r>
    </w:p>
    <w:p>
      <w:pPr>
        <w:pStyle w:val="Normal"/>
        <w:jc w:val="center"/>
        <w:rPr/>
      </w:pPr>
      <w:r>
        <w:rPr/>
      </w:r>
    </w:p>
    <w:p>
      <w:pPr>
        <w:pStyle w:val="Normal"/>
        <w:jc w:val="center"/>
        <w:rPr/>
      </w:pPr>
      <w:r>
        <w:rPr/>
      </w:r>
    </w:p>
    <w:p>
      <w:pPr>
        <w:pStyle w:val="Normal"/>
        <w:jc w:val="center"/>
        <w:rPr/>
      </w:pPr>
      <w:r>
        <w:rPr/>
        <w:t xml:space="preserve">ATTACHMENT TO </w:t>
      </w:r>
    </w:p>
    <w:p>
      <w:pPr>
        <w:pStyle w:val="Normal"/>
        <w:jc w:val="center"/>
        <w:rPr>
          <w:b/>
        </w:rPr>
      </w:pPr>
      <w:r>
        <w:rPr>
          <w:b/>
        </w:rPr>
        <w:t>ERRATA TO COMPREHENSIVE SETTLEMENT</w:t>
      </w:r>
    </w:p>
    <w:p>
      <w:pPr>
        <w:pStyle w:val="Normal"/>
        <w:jc w:val="center"/>
        <w:rPr>
          <w:b/>
        </w:rPr>
      </w:pPr>
      <w:r>
        <w:rPr>
          <w:b/>
        </w:rPr>
        <w:t>FILED PURSUANT TO RULING OF ALJ BIREN</w:t>
      </w:r>
    </w:p>
    <w:p>
      <w:pPr>
        <w:pStyle w:val="Normal"/>
        <w:jc w:val="center"/>
        <w:rPr>
          <w:b/>
        </w:rPr>
      </w:pPr>
      <w:r>
        <w:rPr>
          <w:b/>
        </w:rPr>
      </w:r>
    </w:p>
    <w:p>
      <w:pPr>
        <w:pStyle w:val="Normal"/>
        <w:jc w:val="center"/>
        <w:rPr/>
      </w:pPr>
      <w:r>
        <w:rPr/>
      </w:r>
    </w:p>
    <w:p>
      <w:pPr>
        <w:pStyle w:val="Normal"/>
        <w:jc w:val="center"/>
        <w:rPr/>
      </w:pPr>
      <w:r>
        <w:rPr/>
      </w:r>
    </w:p>
    <w:p>
      <w:pPr>
        <w:pStyle w:val="Normal"/>
        <w:jc w:val="center"/>
        <w:rPr/>
      </w:pPr>
      <w:r>
        <w:rPr/>
      </w:r>
    </w:p>
    <w:p>
      <w:pPr>
        <w:pStyle w:val="Normal"/>
        <w:jc w:val="center"/>
        <w:rPr/>
      </w:pPr>
      <w:r>
        <w:rPr/>
        <w:t>DESCRIPTION OF ERRATA CHANGES TO COMPREHENSIVE SETTLEMENT</w:t>
      </w:r>
    </w:p>
    <w:p>
      <w:pPr>
        <w:pStyle w:val="Normal"/>
        <w:jc w:val="center"/>
        <w:rPr/>
      </w:pPr>
      <w:r>
        <w:rPr/>
        <w:t>ORIGINALLY FILED APRIL 17, 2000</w:t>
      </w:r>
    </w:p>
    <w:p>
      <w:pPr>
        <w:pStyle w:val="Normal"/>
        <w:jc w:val="center"/>
        <w:rPr/>
      </w:pPr>
      <w:r>
        <w:rPr/>
        <w:t>AS INCORPORATED IN FOLLOWING REVISED VERSION OF THE</w:t>
      </w:r>
    </w:p>
    <w:p>
      <w:pPr>
        <w:pStyle w:val="Normal"/>
        <w:jc w:val="center"/>
        <w:rPr/>
      </w:pPr>
      <w:r>
        <w:rPr/>
        <w:t>COMPREHENSIVE SETTLEMENT</w:t>
      </w:r>
    </w:p>
    <w:p>
      <w:pPr>
        <w:pStyle w:val="Normal"/>
        <w:jc w:val="center"/>
        <w:rPr/>
      </w:pPr>
      <w:r>
        <w:rPr/>
      </w:r>
    </w:p>
    <w:p>
      <w:pPr>
        <w:pStyle w:val="Normal"/>
        <w:jc w:val="center"/>
        <w:rPr/>
      </w:pPr>
      <w:r>
        <w:rPr/>
      </w:r>
    </w:p>
    <w:p>
      <w:pPr>
        <w:pStyle w:val="Normal"/>
        <w:numPr>
          <w:ilvl w:val="0"/>
          <w:numId w:val="1"/>
        </w:numPr>
        <w:rPr/>
      </w:pPr>
      <w:r>
        <w:rPr/>
        <w:t>The Table of Contents has been revised substantially and now conforms to the section headings and page numbers in the text.  The Table of Contents as submitted on April 17 was corrupted by misapplication of an automatic update feature of a word processing program.</w:t>
      </w:r>
    </w:p>
    <w:p>
      <w:pPr>
        <w:pStyle w:val="Normal"/>
        <w:rPr/>
      </w:pPr>
      <w:r>
        <w:rPr/>
      </w:r>
    </w:p>
    <w:p>
      <w:pPr>
        <w:pStyle w:val="Normal"/>
        <w:numPr>
          <w:ilvl w:val="0"/>
          <w:numId w:val="1"/>
        </w:numPr>
        <w:rPr/>
      </w:pPr>
      <w:r>
        <w:rPr/>
        <w:t>On p.7, Section 1.12, a period was placed at the end of the last sentence.</w:t>
      </w:r>
    </w:p>
    <w:p>
      <w:pPr>
        <w:pStyle w:val="Normal"/>
        <w:rPr/>
      </w:pPr>
      <w:r>
        <w:rPr/>
      </w:r>
    </w:p>
    <w:p>
      <w:pPr>
        <w:pStyle w:val="Normal"/>
        <w:numPr>
          <w:ilvl w:val="0"/>
          <w:numId w:val="1"/>
        </w:numPr>
        <w:rPr/>
      </w:pPr>
      <w:r>
        <w:rPr/>
        <w:t>On p.9, Section 1.1.3.1, about two thirds of the way down the page, “annual” was changed to “annually” in the sentence that includes the words:  “subject to adjustment annually by the base rate PBR formula.”</w:t>
      </w:r>
    </w:p>
    <w:p>
      <w:pPr>
        <w:pStyle w:val="Normal"/>
        <w:rPr/>
      </w:pPr>
      <w:r>
        <w:rPr/>
      </w:r>
    </w:p>
    <w:p>
      <w:pPr>
        <w:pStyle w:val="Normal"/>
        <w:numPr>
          <w:ilvl w:val="0"/>
          <w:numId w:val="1"/>
        </w:numPr>
        <w:rPr/>
      </w:pPr>
      <w:r>
        <w:rPr/>
        <w:t>On p.10, Section 1.1.3.2, the words “1,016 Btu/mcf”, which appear twice on that page, were changed in both instances to “1,016 Btu/cf”.  [note:  the original version correctly stated the units as “cf” on pp.31 and 33, and these pages have not been revised.]</w:t>
      </w:r>
    </w:p>
    <w:p>
      <w:pPr>
        <w:pStyle w:val="Normal"/>
        <w:rPr/>
      </w:pPr>
      <w:r>
        <w:rPr/>
      </w:r>
    </w:p>
    <w:p>
      <w:pPr>
        <w:pStyle w:val="Normal"/>
        <w:numPr>
          <w:ilvl w:val="0"/>
          <w:numId w:val="1"/>
        </w:numPr>
        <w:rPr/>
      </w:pPr>
      <w:r>
        <w:rPr/>
        <w:t>On p.10, Section 1.1.3.2, near the bottom of the page, the date “October 1, 2000” was changed to “October 1, 2001”.</w:t>
      </w:r>
    </w:p>
    <w:p>
      <w:pPr>
        <w:pStyle w:val="Normal"/>
        <w:rPr/>
      </w:pPr>
      <w:r>
        <w:rPr/>
      </w:r>
    </w:p>
    <w:p>
      <w:pPr>
        <w:pStyle w:val="Normal"/>
        <w:numPr>
          <w:ilvl w:val="0"/>
          <w:numId w:val="1"/>
        </w:numPr>
        <w:rPr/>
      </w:pPr>
      <w:r>
        <w:rPr/>
        <w:t>On p.21, Section 1.2.3.2, under item b., “or” was inserted at the end of subitem ii. and “or” was deleted from the end of subitem iii. (such that the Settlement Agreement makes subitems i., ii., and iii. alternatives for each other, but not for subitems iv. and v.)</w:t>
      </w:r>
    </w:p>
    <w:p>
      <w:pPr>
        <w:pStyle w:val="Normal"/>
        <w:rPr/>
      </w:pPr>
      <w:r>
        <w:rPr/>
      </w:r>
    </w:p>
    <w:p>
      <w:pPr>
        <w:pStyle w:val="Normal"/>
        <w:numPr>
          <w:ilvl w:val="0"/>
          <w:numId w:val="1"/>
        </w:numPr>
        <w:rPr/>
      </w:pPr>
      <w:r>
        <w:rPr/>
        <w:t>On p.22, Section 1.2.3.2, under item h., the subitems i. through v. were indented to be under item h., and items j), k), and l) in the original were re-numbered as i., j., and k.</w:t>
      </w:r>
    </w:p>
    <w:p>
      <w:pPr>
        <w:pStyle w:val="Normal"/>
        <w:rPr/>
      </w:pPr>
      <w:r>
        <w:rPr/>
      </w:r>
    </w:p>
    <w:p>
      <w:pPr>
        <w:pStyle w:val="Normal"/>
        <w:numPr>
          <w:ilvl w:val="0"/>
          <w:numId w:val="1"/>
        </w:numPr>
        <w:rPr/>
      </w:pPr>
      <w:r>
        <w:rPr/>
        <w:t>On p.22, Section 1.2.3.2, the word “U.S.” was deleted as a modifier to a “major financial institution”.</w:t>
      </w:r>
    </w:p>
    <w:p>
      <w:pPr>
        <w:pStyle w:val="Normal"/>
        <w:rPr/>
      </w:pPr>
      <w:r>
        <w:rPr/>
      </w:r>
    </w:p>
    <w:p>
      <w:pPr>
        <w:pStyle w:val="Normal"/>
        <w:numPr>
          <w:ilvl w:val="0"/>
          <w:numId w:val="1"/>
        </w:numPr>
        <w:rPr/>
      </w:pPr>
      <w:r>
        <w:rPr/>
        <w:t>On p.27, Section 1.5.4, in the third full paragraph on the page, the word “class” was inserted in the passage that now reads:  “If only one customer class has an OFO day…”.</w:t>
      </w:r>
    </w:p>
    <w:p>
      <w:pPr>
        <w:pStyle w:val="Normal"/>
        <w:rPr/>
      </w:pPr>
      <w:r>
        <w:rPr/>
      </w:r>
    </w:p>
    <w:p>
      <w:pPr>
        <w:pStyle w:val="Normal"/>
        <w:numPr>
          <w:ilvl w:val="0"/>
          <w:numId w:val="1"/>
        </w:numPr>
        <w:rPr/>
      </w:pPr>
      <w:r>
        <w:rPr/>
        <w:t>On p.27, Section 1.5.4, bottom line on page, the letter “C” has been inserted in a blank so it now reads “Appendix C”.</w:t>
      </w:r>
    </w:p>
    <w:p>
      <w:pPr>
        <w:pStyle w:val="Normal"/>
        <w:rPr/>
      </w:pPr>
      <w:r>
        <w:rPr/>
      </w:r>
    </w:p>
    <w:p>
      <w:pPr>
        <w:pStyle w:val="Normal"/>
        <w:numPr>
          <w:ilvl w:val="0"/>
          <w:numId w:val="1"/>
        </w:numPr>
        <w:rPr/>
      </w:pPr>
      <w:r>
        <w:rPr/>
        <w:t>On pp.36-37, Section 2.2.3.2, and “or” was inserted after subitem ii. and deleted after subitem iii. in the same way as described in change 7. above.</w:t>
      </w:r>
    </w:p>
    <w:p>
      <w:pPr>
        <w:pStyle w:val="Normal"/>
        <w:rPr/>
      </w:pPr>
      <w:r>
        <w:rPr/>
      </w:r>
    </w:p>
    <w:p>
      <w:pPr>
        <w:pStyle w:val="Normal"/>
        <w:numPr>
          <w:ilvl w:val="0"/>
          <w:numId w:val="1"/>
        </w:numPr>
        <w:rPr/>
      </w:pPr>
      <w:r>
        <w:rPr/>
        <w:t>On p.37, Section 2.2.3.2, “U.S.” was deleted as a modifier to “major financial institution”.</w:t>
      </w:r>
    </w:p>
    <w:p>
      <w:pPr>
        <w:pStyle w:val="Normal"/>
        <w:rPr/>
      </w:pPr>
      <w:r>
        <w:rPr/>
      </w:r>
    </w:p>
    <w:p>
      <w:pPr>
        <w:pStyle w:val="Normal"/>
        <w:numPr>
          <w:ilvl w:val="0"/>
          <w:numId w:val="1"/>
        </w:numPr>
        <w:rPr/>
      </w:pPr>
      <w:r>
        <w:rPr/>
        <w:t>On p.58, Section 5.4.4.3:  The words “In the partial storage year beginning on the effective date of this Settlement Agreement, and” were inserted at the opening of this section.  This change allows CTAs to decline SoCalGas non-reliability storage as of the effective date of the Settlement Agreement rather than only starting April 1, 2001.  This change is consistent with the effective date of this option as shown on p.4 of the term sheet for capacity issues that was appended to the motion for modification of the procedural schedule filed April 3, 2000.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585"/>
        </w:tabs>
        <w:ind w:start="585" w:hanging="585"/>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2000-04-27T20:56:00Z</dcterms:created>
  <dc:creator>Sempra Energy</dc:creator>
  <dc:description/>
  <dc:language>en-CA</dc:language>
  <cp:lastModifiedBy>Sempra Energy</cp:lastModifiedBy>
  <dcterms:modified xsi:type="dcterms:W3CDTF">2000-04-27T22:14:00Z</dcterms:modified>
  <cp:revision>1</cp:revision>
  <dc:subject/>
  <dc:title>I</dc:title>
</cp:coreProperties>
</file>