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before="0" w:after="0"/>
        <w:rPr>
          <w:rFonts w:ascii="Times New Roman" w:hAnsi="Times New Roman" w:cs="Times New Roman"/>
        </w:rPr>
      </w:pPr>
      <w:r>
        <w:rPr>
          <w:rFonts w:cs="Times New Roman" w:ascii="Times New Roman" w:hAnsi="Times New Roman"/>
        </w:rPr>
        <w:t>BEFORE THE PUBLIC UTILITIES COMMISSION</w:t>
      </w:r>
    </w:p>
    <w:p>
      <w:pPr>
        <w:pStyle w:val="Normal"/>
        <w:jc w:val="center"/>
        <w:rPr>
          <w:rFonts w:ascii="Times New Roman" w:hAnsi="Times New Roman" w:cs="Times New Roman"/>
          <w:b/>
        </w:rPr>
      </w:pPr>
      <w:r>
        <w:rPr>
          <w:rFonts w:cs="Times New Roman" w:ascii="Times New Roman" w:hAnsi="Times New Roman"/>
          <w:b/>
        </w:rPr>
        <w:t>OF THE STATE OF CALIFORNIA</w:t>
      </w:r>
    </w:p>
    <w:p>
      <w:pPr>
        <w:pStyle w:val="Normal"/>
        <w:spacing w:lineRule="exact" w:line="249"/>
        <w:jc w:val="center"/>
        <w:rPr>
          <w:rFonts w:ascii="Times New Roman" w:hAnsi="Times New Roman" w:cs="Times New Roman"/>
          <w:b/>
        </w:rPr>
      </w:pPr>
      <w:r>
        <w:rPr>
          <w:rFonts w:cs="Times New Roman" w:ascii="Times New Roman" w:hAnsi="Times New Roman"/>
          <w:b/>
        </w:rPr>
      </w:r>
    </w:p>
    <w:p>
      <w:pPr>
        <w:pStyle w:val="Normal"/>
        <w:spacing w:lineRule="exact" w:line="249"/>
        <w:jc w:val="center"/>
        <w:rPr>
          <w:rFonts w:ascii="Times New Roman" w:hAnsi="Times New Roman" w:cs="Times New Roman"/>
        </w:rPr>
      </w:pPr>
      <w:r>
        <w:rPr>
          <w:rFonts w:cs="Times New Roman" w:ascii="Times New Roman" w:hAnsi="Times New Roman"/>
        </w:rPr>
      </w:r>
    </w:p>
    <w:p>
      <w:pPr>
        <w:pStyle w:val="Normal"/>
        <w:spacing w:lineRule="exact" w:line="249"/>
        <w:jc w:val="center"/>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rPr>
                <w:rFonts w:ascii="Times New Roman" w:hAnsi="Times New Roman" w:cs="Times New Roman"/>
              </w:rPr>
            </w:pPr>
            <w:r>
              <w:rPr>
                <w:rFonts w:cs="Times New Roman" w:ascii="Times New Roman" w:hAnsi="Times New Roman"/>
              </w:rPr>
              <w:t>Application of Pacific Gas and Electric Company for Approval of Open Season Procedures for Awarding Firm Capacity on its Transmission Facilities.</w:t>
            </w:r>
          </w:p>
          <w:p>
            <w:pPr>
              <w:pStyle w:val="Normal"/>
              <w:tabs>
                <w:tab w:val="clear" w:pos="720"/>
                <w:tab w:val="left" w:pos="4410" w:leader="none"/>
              </w:tabs>
              <w:rPr>
                <w:rFonts w:ascii="Times New Roman" w:hAnsi="Times New Roman" w:cs="Times New Roman"/>
              </w:rPr>
            </w:pPr>
            <w:r>
              <w:rPr>
                <w:rFonts w:cs="Times New Roman" w:ascii="Times New Roman" w:hAnsi="Times New Roman"/>
              </w:rPr>
            </w:r>
          </w:p>
          <w:p>
            <w:pPr>
              <w:pStyle w:val="Normal"/>
              <w:tabs>
                <w:tab w:val="clear" w:pos="720"/>
                <w:tab w:val="left" w:pos="4410" w:leader="none"/>
              </w:tabs>
              <w:spacing w:before="0" w:after="120"/>
              <w:rPr>
                <w:rFonts w:ascii="Times New Roman" w:hAnsi="Times New Roman" w:cs="Times New Roman"/>
              </w:rPr>
            </w:pPr>
            <w:r>
              <w:rPr>
                <w:rFonts w:cs="Times New Roman" w:ascii="Times New Roman" w:hAnsi="Times New Roman"/>
              </w:rPr>
              <w:tab/>
            </w:r>
          </w:p>
        </w:tc>
        <w:tc>
          <w:tcPr>
            <w:tcW w:w="270" w:type="dxa"/>
            <w:tcBorders/>
          </w:tcPr>
          <w:p>
            <w:pPr>
              <w:pStyle w:val="Normal"/>
              <w:tabs>
                <w:tab w:val="clear" w:pos="720"/>
                <w:tab w:val="left" w:pos="4410" w:leader="none"/>
              </w:tabs>
              <w:snapToGrid w:val="false"/>
              <w:rPr>
                <w:rFonts w:ascii="Times New Roman" w:hAnsi="Times New Roman" w:cs="Times New Roman"/>
              </w:rPr>
            </w:pPr>
            <w:r>
              <w:rPr>
                <w:rFonts w:cs="Times New Roman" w:ascii="Times New Roman" w:hAnsi="Times New Roman"/>
              </w:rPr>
            </w:r>
          </w:p>
        </w:tc>
        <w:tc>
          <w:tcPr>
            <w:tcW w:w="3528" w:type="dxa"/>
            <w:tcBorders/>
          </w:tcPr>
          <w:p>
            <w:pPr>
              <w:pStyle w:val="Normal"/>
              <w:tabs>
                <w:tab w:val="clear" w:pos="720"/>
                <w:tab w:val="left" w:pos="4410" w:leader="none"/>
              </w:tabs>
              <w:snapToGrid w:val="false"/>
              <w:rPr>
                <w:rFonts w:ascii="Times New Roman" w:hAnsi="Times New Roman" w:cs="Times New Roman"/>
              </w:rPr>
            </w:pPr>
            <w:r>
              <w:rPr>
                <w:rFonts w:cs="Times New Roman" w:ascii="Times New Roman" w:hAnsi="Times New Roman"/>
              </w:rPr>
            </w:r>
          </w:p>
          <w:p>
            <w:pPr>
              <w:pStyle w:val="Normal"/>
              <w:tabs>
                <w:tab w:val="clear" w:pos="720"/>
                <w:tab w:val="left" w:pos="4410" w:leader="none"/>
              </w:tabs>
              <w:rPr>
                <w:rFonts w:ascii="Times New Roman" w:hAnsi="Times New Roman" w:cs="Times New Roman"/>
              </w:rPr>
            </w:pPr>
            <w:r>
              <w:rPr>
                <w:rFonts w:cs="Times New Roman" w:ascii="Times New Roman" w:hAnsi="Times New Roman"/>
              </w:rPr>
              <w:t>A.01-06-020</w:t>
            </w:r>
          </w:p>
          <w:p>
            <w:pPr>
              <w:pStyle w:val="Normal"/>
              <w:tabs>
                <w:tab w:val="clear" w:pos="720"/>
                <w:tab w:val="left" w:pos="4410" w:leader="none"/>
              </w:tabs>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 xml:space="preserve">RESPONSE OF </w:t>
      </w:r>
    </w:p>
    <w:p>
      <w:pPr>
        <w:pStyle w:val="Normal"/>
        <w:jc w:val="center"/>
        <w:rPr>
          <w:rFonts w:ascii="Times New Roman" w:hAnsi="Times New Roman" w:cs="Times New Roman"/>
          <w:b/>
        </w:rPr>
      </w:pPr>
      <w:r>
        <w:rPr>
          <w:rFonts w:cs="Times New Roman" w:ascii="Times New Roman" w:hAnsi="Times New Roman"/>
          <w:b/>
        </w:rPr>
        <w:t>SOUTHERN CALIFORNIA GAS COMPANY (U 904 G)</w:t>
      </w:r>
    </w:p>
    <w:p>
      <w:pPr>
        <w:pStyle w:val="Normal"/>
        <w:jc w:val="center"/>
        <w:rPr>
          <w:rFonts w:ascii="Times New Roman" w:hAnsi="Times New Roman" w:cs="Times New Roman"/>
          <w:b/>
        </w:rPr>
      </w:pPr>
      <w:r>
        <w:rPr>
          <w:rFonts w:cs="Times New Roman" w:ascii="Times New Roman" w:hAnsi="Times New Roman"/>
          <w:b/>
        </w:rPr>
        <w:t>TO APPLICATION OF</w:t>
      </w:r>
    </w:p>
    <w:p>
      <w:pPr>
        <w:pStyle w:val="Normal"/>
        <w:jc w:val="center"/>
        <w:rPr>
          <w:rFonts w:ascii="Times New Roman" w:hAnsi="Times New Roman" w:cs="Times New Roman"/>
          <w:b/>
        </w:rPr>
      </w:pPr>
      <w:r>
        <w:rPr>
          <w:rFonts w:cs="Times New Roman" w:ascii="Times New Roman" w:hAnsi="Times New Roman"/>
          <w:b/>
        </w:rPr>
        <w:t>PACIFIC GAS AND ELECTRIC COMPANY</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ab/>
        <w:t>Southern California Gas Company (“SoCalGas”), pursuant to Rule 44.2 and the June 14, 2001, Ruling of ALJ Carol Brown, hereby responds to Pacific Gas and Electric Company’s (“PG&amp;E”) A.01-06-020.</w:t>
      </w:r>
    </w:p>
    <w:p>
      <w:pPr>
        <w:pStyle w:val="Normal"/>
        <w:spacing w:lineRule="auto" w:line="360"/>
        <w:rPr>
          <w:rFonts w:ascii="Times New Roman" w:hAnsi="Times New Roman" w:cs="Times New Roman"/>
        </w:rPr>
      </w:pPr>
      <w:r>
        <w:rPr>
          <w:rFonts w:cs="Times New Roman" w:ascii="Times New Roman" w:hAnsi="Times New Roman"/>
        </w:rPr>
        <w:tab/>
        <w:t>SoCalGas supports the concept behind PG&amp;E’s application:  that there should be a system of firm, tradable rights on PG&amp;E’s intrastate backbone transmission system, and that persons wishing to obtain such rights from PG&amp;E should have to make a commitment of significant duration with significant reservation charges.  Such a system already exists and is authorized through the end of 2002 on the PG&amp;E system by virtue of the Gas Accord approved in D.97-08-055.  In effect, PG&amp;E’s application seeks to extend the authorization for this central aspect of the Gas Accord for an additional 15 years.</w:t>
      </w:r>
    </w:p>
    <w:p>
      <w:pPr>
        <w:pStyle w:val="Normal"/>
        <w:spacing w:lineRule="auto" w:line="360"/>
        <w:ind w:firstLine="720" w:end="0"/>
        <w:rPr/>
      </w:pPr>
      <w:r>
        <w:rPr>
          <w:rFonts w:cs="Times New Roman" w:ascii="Times New Roman" w:hAnsi="Times New Roman"/>
        </w:rPr>
        <w:t xml:space="preserve">SoCalGas’ concern with PG&amp;E’s application is that the Commission should not be addressing an extension for 2003 and after of this system for PG&amp;E unless and until the Commission first or simultaneously addresses implementing </w:t>
      </w:r>
      <w:r>
        <w:rPr>
          <w:rFonts w:cs="Times New Roman" w:ascii="Times New Roman" w:hAnsi="Times New Roman"/>
          <w:u w:val="single"/>
        </w:rPr>
        <w:t>for the first time</w:t>
      </w:r>
      <w:r>
        <w:rPr>
          <w:rFonts w:cs="Times New Roman" w:ascii="Times New Roman" w:hAnsi="Times New Roman"/>
        </w:rPr>
        <w:t xml:space="preserve"> a similar system for SoCalGas’ backbone transmission facilities.</w:t>
      </w:r>
    </w:p>
    <w:p>
      <w:pPr>
        <w:pStyle w:val="BodyTextIndent"/>
        <w:rPr>
          <w:rFonts w:ascii="Times New Roman" w:hAnsi="Times New Roman" w:cs="Times New Roman"/>
        </w:rPr>
      </w:pPr>
      <w:r>
        <w:rPr>
          <w:rFonts w:cs="Times New Roman" w:ascii="Times New Roman" w:hAnsi="Times New Roman"/>
        </w:rPr>
        <w:t>In July of 1999, the Commission in D.99-07-015 stated its desire to implement such a system for SoCalGas.  SoCalGas supports the creation of firm, tradable rights, based on significant customer commitments, for its own backbone gas transmission system.   SoCalGas, along with many other parties, submitted a comprehensive settlement in April of 2000 in I.99-07-003 that included detailed provisions for such a system for SoCalGas.  Although the matter was heard promptly thereafter, the Commission has not acted in any fashion on the merits of such a system as applied to SoCalGas.  The Assigned Commissioner’s Proposed Decision in that matter first appeared on a Commission agenda in December of 2000 and has been continuously held since then.</w:t>
      </w:r>
    </w:p>
    <w:p>
      <w:pPr>
        <w:pStyle w:val="BodyTextIndent"/>
        <w:rPr>
          <w:rFonts w:ascii="Times New Roman" w:hAnsi="Times New Roman" w:cs="Times New Roman"/>
        </w:rPr>
      </w:pPr>
      <w:r>
        <w:rPr>
          <w:rFonts w:cs="Times New Roman" w:ascii="Times New Roman" w:hAnsi="Times New Roman"/>
        </w:rPr>
        <w:t>The PD in I.99-07-003 would defer adoption of a system of firm transmission backbone rights for SoCalGas so that it could be coordinated with Commission consideration of similar provisions for PG&amp;E after expiration of the Gas Accord.  Granting the instant PG&amp;E application on an expedited basis would completely undercut the rationale of the PD.  Of course, SoCalGas believes that the Commission should adopt such a system now for SoCalGas and not defer it to 2003 or after.</w:t>
      </w:r>
    </w:p>
    <w:p>
      <w:pPr>
        <w:pStyle w:val="BodyTextIndent"/>
        <w:rPr>
          <w:rFonts w:ascii="Times New Roman" w:hAnsi="Times New Roman" w:cs="Times New Roman"/>
        </w:rPr>
      </w:pPr>
      <w:r>
        <w:rPr>
          <w:rFonts w:cs="Times New Roman" w:ascii="Times New Roman" w:hAnsi="Times New Roman"/>
        </w:rPr>
        <w:t>California gas consumers, as well as SoCalGas, would be injured if the Commission approves the instant PG&amp;E application without first or simultaneously adopting a similar system for the SoCalGas system.</w:t>
      </w:r>
    </w:p>
    <w:p>
      <w:pPr>
        <w:pStyle w:val="BodyTextIndent"/>
        <w:rPr>
          <w:rFonts w:ascii="Times New Roman" w:hAnsi="Times New Roman" w:cs="Times New Roman"/>
        </w:rPr>
      </w:pPr>
      <w:r>
        <w:rPr>
          <w:rFonts w:cs="Times New Roman" w:ascii="Times New Roman" w:hAnsi="Times New Roman"/>
        </w:rPr>
        <w:t>The Commission itself has expressed a desire for “statewide consistency” in the structure of gas service.  Lack of consistency contributes to confusion and dislocation in the marketplace.  SoCalGas believes that the failure to have a system of firm backbone rights in place on the SoCalGas system, while such a system was in place for PG&amp;E, in the past winter and spring contributed to higher border prices for gas delivered into the SoCalGas system than delivered into the PG&amp;E system from the same sources.  Furthermore, the tight balance of gas demand and capacity in the state as a whole in the past year has exacerbated the shortcomings of the current system of capacity and receipt point rights on the SoCalGas system relative to that already in place on the PG&amp;E system.</w:t>
      </w:r>
    </w:p>
    <w:p>
      <w:pPr>
        <w:pStyle w:val="BodyTextIndent"/>
        <w:rPr>
          <w:rFonts w:ascii="Times New Roman" w:hAnsi="Times New Roman" w:cs="Times New Roman"/>
        </w:rPr>
      </w:pPr>
      <w:r>
        <w:rPr>
          <w:rFonts w:cs="Times New Roman" w:ascii="Times New Roman" w:hAnsi="Times New Roman"/>
        </w:rPr>
        <w:t>SoCalGas notes that PG&amp;E has alleged that it faces competition from proposed new interstate pipeline capacity that could directly serve gas consumers in its service territory, and that it needs promptly the authority sought in its application to offer competitive alternatives to such consumers.  PG&amp;E states that failure to allow it to offer promptly competitive service terms could result in harm to its remaining customers, especially small gas consumers.  SoCalGas is sympathetic with such concerns, but the same concerns also apply to SoCalGas and the interests of its customers.  Furthermore, SoCalGas has committed to  adding significant intrastate backbone transmission capacity in the immediate future, and the absence on the SoCalGas system of a system of firm rights with concomitant long-term commitments by rights holders for existing capacity makes it far more difficult to provide a rational system for the allocation of the cost and use of additional capacity.</w:t>
      </w:r>
    </w:p>
    <w:p>
      <w:pPr>
        <w:pStyle w:val="BodyTextIndent"/>
        <w:rPr>
          <w:rFonts w:ascii="Times New Roman" w:hAnsi="Times New Roman" w:cs="Times New Roman"/>
        </w:rPr>
      </w:pPr>
      <w:r>
        <w:rPr>
          <w:rFonts w:cs="Times New Roman" w:ascii="Times New Roman" w:hAnsi="Times New Roman"/>
        </w:rPr>
        <w:t>The Commission’s first priority ought to be to adopt and implement a system of firm, tradable backbone capacity rights for SoCalGas.  Only once it has done so, or at least at the time it does so, should the Commission address the post-2002 future of the existing system of backbone transmission capacity rights on PG&amp;E.</w:t>
      </w:r>
    </w:p>
    <w:p>
      <w:pPr>
        <w:pStyle w:val="BodyTextIndent"/>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ab/>
        <w:tab/>
        <w:tab/>
        <w:tab/>
        <w:t>Respectfully submitted,</w:t>
      </w:r>
    </w:p>
    <w:p>
      <w:pPr>
        <w:pStyle w:val="BodyTextIndent"/>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ab/>
        <w:tab/>
        <w:tab/>
        <w:tab/>
        <w:t>SOUTHERN CALIFORNIA GAS COMPANY</w:t>
      </w:r>
    </w:p>
    <w:p>
      <w:pPr>
        <w:pStyle w:val="BodyTextIndent"/>
        <w:rPr>
          <w:rFonts w:ascii="Times New Roman" w:hAnsi="Times New Roman" w:cs="Times New Roman"/>
        </w:rPr>
      </w:pPr>
      <w:r>
        <w:rPr>
          <w:rFonts w:cs="Times New Roman" w:ascii="Times New Roman" w:hAnsi="Times New Roman"/>
        </w:rPr>
      </w:r>
    </w:p>
    <w:p>
      <w:pPr>
        <w:pStyle w:val="BodyTextIndent"/>
        <w:spacing w:lineRule="auto" w:line="240"/>
        <w:ind w:hanging="0" w:end="0"/>
        <w:rPr>
          <w:rFonts w:ascii="Times New Roman" w:hAnsi="Times New Roman" w:cs="Times New Roman"/>
        </w:rPr>
      </w:pPr>
      <w:r>
        <w:rPr>
          <w:rFonts w:cs="Times New Roman" w:ascii="Times New Roman" w:hAnsi="Times New Roman"/>
        </w:rPr>
        <w:t>June 20, 2001</w:t>
        <w:tab/>
        <w:tab/>
        <w:tab/>
        <w:tab/>
        <w:t>By:____________________________</w:t>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ab/>
        <w:t xml:space="preserve">     Glen J. Sullivan</w:t>
      </w:r>
    </w:p>
    <w:p>
      <w:pPr>
        <w:pStyle w:val="BodyTextIndent"/>
        <w:ind w:hanging="0" w:end="0"/>
        <w:rPr>
          <w:rFonts w:ascii="Times New Roman" w:hAnsi="Times New Roman" w:cs="Times New Roman"/>
        </w:rPr>
      </w:pPr>
      <w:r>
        <w:rPr>
          <w:rFonts w:cs="Times New Roman" w:ascii="Times New Roman" w:hAnsi="Times New Roman"/>
        </w:rPr>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101 Ash Street</w:t>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San Diego, California  92101</w:t>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Telephone:  (619) 699-5162</w:t>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Fax:  (619) 699-5027</w:t>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 xml:space="preserve">Email:  </w:t>
      </w:r>
      <w:hyperlink r:id="rId2">
        <w:r>
          <w:rPr>
            <w:rStyle w:val="Hyperlink"/>
            <w:rFonts w:cs="Times New Roman" w:ascii="Times New Roman" w:hAnsi="Times New Roman"/>
          </w:rPr>
          <w:t>gsullivan@sempra.com</w:t>
        </w:r>
      </w:hyperlink>
    </w:p>
    <w:p>
      <w:pPr>
        <w:pStyle w:val="BodyTextIndent"/>
        <w:spacing w:lineRule="auto" w:line="240"/>
        <w:ind w:hanging="0" w:end="0"/>
        <w:rPr>
          <w:rFonts w:ascii="Times New Roman" w:hAnsi="Times New Roman" w:cs="Times New Roman"/>
        </w:rPr>
      </w:pPr>
      <w:r>
        <w:rPr>
          <w:rFonts w:cs="Times New Roman" w:ascii="Times New Roman" w:hAnsi="Times New Roman"/>
        </w:rPr>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 xml:space="preserve">Attorney for </w:t>
      </w:r>
    </w:p>
    <w:p>
      <w:pPr>
        <w:pStyle w:val="BodyTextIndent"/>
        <w:spacing w:lineRule="auto" w:line="240"/>
        <w:ind w:hanging="0" w:end="0"/>
        <w:rPr>
          <w:rFonts w:ascii="Times New Roman" w:hAnsi="Times New Roman" w:cs="Times New Roman"/>
        </w:rPr>
      </w:pPr>
      <w:r>
        <w:rPr>
          <w:rFonts w:cs="Times New Roman" w:ascii="Times New Roman" w:hAnsi="Times New Roman"/>
        </w:rPr>
        <w:tab/>
        <w:tab/>
        <w:tab/>
        <w:tab/>
        <w:tab/>
        <w:t>Southern California Gas Company</w:t>
      </w:r>
    </w:p>
    <w:p>
      <w:pPr>
        <w:pStyle w:val="BodyTextIndent"/>
        <w:spacing w:lineRule="auto" w:line="240"/>
        <w:ind w:hanging="0" w:end="0"/>
        <w:rPr>
          <w:rFonts w:ascii="Times New Roman" w:hAnsi="Times New Roman" w:cs="Times New Roman"/>
        </w:rPr>
      </w:pPr>
      <w:r>
        <w:rPr>
          <w:rFonts w:cs="Times New Roman" w:ascii="Times New Roman" w:hAnsi="Times New Roman"/>
        </w:rPr>
      </w:r>
    </w:p>
    <w:p>
      <w:pPr>
        <w:pStyle w:val="BodyTextIndent"/>
        <w:spacing w:lineRule="auto" w:line="240"/>
        <w:ind w:hanging="0" w:end="0"/>
        <w:rPr>
          <w:rFonts w:ascii="Times New Roman" w:hAnsi="Times New Roman" w:cs="Times New Roman"/>
        </w:rPr>
      </w:pPr>
      <w:r>
        <w:rPr>
          <w:rFonts w:cs="Times New Roman" w:ascii="Times New Roman" w:hAnsi="Times New Roman"/>
        </w:rPr>
      </w:r>
    </w:p>
    <w:sectPr>
      <w:footerReference w:type="default" r:id="rId3"/>
      <w:footerReference w:type="first" r:id="rId4"/>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spacing w:lineRule="exact" w:line="249" w:before="0" w:after="24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sullivan@sempra.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2001-06-20T20:08:00Z</dcterms:created>
  <dc:creator>Sempra Energy</dc:creator>
  <dc:description/>
  <dc:language>en-CA</dc:language>
  <cp:lastModifiedBy>SEMPRA ENERGY</cp:lastModifiedBy>
  <cp:lastPrinted>2001-06-20T15:41:00Z</cp:lastPrinted>
  <dcterms:modified xsi:type="dcterms:W3CDTF">2001-06-20T20:11:00Z</dcterms:modified>
  <cp:revision>3</cp:revision>
  <dc:subject/>
  <dc:title>BEFORE THE</dc:title>
</cp:coreProperties>
</file>