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  <w:u w:val="single"/>
        </w:rPr>
        <w:t>Global Finance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530"/>
        <w:gridCol w:w="1440"/>
        <w:gridCol w:w="153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 xml:space="preserve">Rabo </w:t>
            </w:r>
            <w:r>
              <w:rPr>
                <w:rFonts w:cs="Arial"/>
              </w:rPr>
              <w:t>– $520MM Transfer of EOG monetization out of the bank market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T. Despain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Freeland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Bahlmann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Roland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Eickenroth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A. Davis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A&amp;K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RBS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</w:rPr>
              <w:t>(Mayer Brown -</w:t>
            </w:r>
            <w:r>
              <w:rPr>
                <w:rFonts w:cs="Arial"/>
                <w:sz w:val="19"/>
              </w:rPr>
              <w:t>Niebruggee)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January 31</w:t>
            </w:r>
          </w:p>
          <w:p>
            <w:pPr>
              <w:pStyle w:val="Normal"/>
              <w:ind w:end="-18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Zero Coupon</w:t>
            </w:r>
            <w:r>
              <w:rPr>
                <w:b/>
                <w:bCs/>
              </w:rPr>
              <w:t xml:space="preserve"> </w:t>
            </w:r>
            <w:r>
              <w:rPr/>
              <w:t>- $1.25B convert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T. Despain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Freeland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Bahlmann</w:t>
            </w:r>
          </w:p>
          <w:p>
            <w:pPr>
              <w:pStyle w:val="Normal"/>
              <w:jc w:val="center"/>
              <w:rPr/>
            </w:pPr>
            <w:r>
              <w:rPr/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Rex Rogers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V&amp;E</w:t>
            </w:r>
          </w:p>
          <w:p>
            <w:pPr>
              <w:pStyle w:val="Normal"/>
              <w:jc w:val="center"/>
              <w:rPr/>
            </w:pPr>
            <w:r>
              <w:rPr/>
              <w:t>(Stone)</w:t>
            </w:r>
          </w:p>
          <w:p>
            <w:pPr>
              <w:pStyle w:val="Normal"/>
              <w:jc w:val="center"/>
              <w:rPr/>
            </w:pPr>
            <w:r>
              <w:rPr/>
              <w:t>(Harrington)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Salomon Smith Barney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(B&amp;P - </w:t>
            </w:r>
          </w:p>
          <w:p>
            <w:pPr>
              <w:pStyle w:val="Normal"/>
              <w:jc w:val="center"/>
              <w:rPr/>
            </w:pPr>
            <w:r>
              <w:rPr/>
              <w:t>Gary Orloff)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/>
            </w:pPr>
            <w:r>
              <w:rPr/>
              <w:t>Completed</w:t>
            </w:r>
          </w:p>
          <w:p>
            <w:pPr>
              <w:pStyle w:val="Normal"/>
              <w:ind w:end="-18"/>
              <w:jc w:val="center"/>
              <w:rPr/>
            </w:pPr>
            <w:r>
              <w:rPr/>
              <w:t>Feb. 7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Tahiti</w:t>
            </w:r>
            <w:r>
              <w:rPr>
                <w:b w:val="false"/>
                <w:bCs w:val="false"/>
                <w:u w:val="none"/>
              </w:rPr>
              <w:t xml:space="preserve"> – FAS 140 for Raptor note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Bahlmann</w:t>
            </w:r>
          </w:p>
          <w:p>
            <w:pPr>
              <w:pStyle w:val="Normal"/>
              <w:jc w:val="center"/>
              <w:rPr/>
            </w:pPr>
            <w:r>
              <w:rPr/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A. Davis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A&amp;K</w:t>
            </w:r>
          </w:p>
          <w:p>
            <w:pPr>
              <w:pStyle w:val="Normal"/>
              <w:jc w:val="center"/>
              <w:rPr/>
            </w:pPr>
            <w:r>
              <w:rPr/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CIBC</w:t>
            </w:r>
          </w:p>
          <w:p>
            <w:pPr>
              <w:pStyle w:val="Normal"/>
              <w:jc w:val="center"/>
              <w:rPr/>
            </w:pPr>
            <w:r>
              <w:rPr/>
              <w:t>(Mayer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Completed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SE Acquisition Revolver</w:t>
            </w:r>
            <w:r>
              <w:rPr/>
              <w:t xml:space="preserve"> – Amend existing facility to extend and increase to $160MM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D. Boyle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Dobin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(Moreland)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Mayer Brown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Airplane Financing</w:t>
            </w:r>
            <w:r>
              <w:rPr>
                <w:b/>
                <w:bCs/>
              </w:rPr>
              <w:t xml:space="preserve"> </w:t>
            </w:r>
            <w:r>
              <w:rPr/>
              <w:t>– Amend Hawkers transaction and finance new Gulfstream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D. Mitchell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Bulgawicz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Locke Liddell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(S. Perenger)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Hypo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(Bingham Dana)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FFE</w:t>
            </w:r>
            <w:r>
              <w:rPr>
                <w:rFonts w:cs="Arial"/>
              </w:rPr>
              <w:t xml:space="preserve"> – Synthetic lease of FFE old/new building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D. Mitchell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Bulgawicz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B&amp;P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(A. Roffwang)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EGCC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(Ober, Kaler)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JEDI I</w:t>
            </w:r>
            <w:r>
              <w:rPr>
                <w:rFonts w:cs="Arial"/>
              </w:rPr>
              <w:t xml:space="preserve"> – Execution of Enron Corp. Guaranty; Buyout of Chewco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G. McKean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Mintz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(V. Moreland)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Chase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(MB&amp;P)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  <w:t>Q1</w:t>
            </w:r>
          </w:p>
          <w:p>
            <w:pPr>
              <w:pStyle w:val="Normal"/>
              <w:ind w:end="-18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>
          <w:b/>
        </w:rPr>
      </w:pPr>
      <w:r>
        <w:rPr>
          <w:b/>
          <w:u w:val="single"/>
        </w:rPr>
        <w:t>Global Finance – con’t.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440"/>
        <w:gridCol w:w="1530"/>
        <w:gridCol w:w="1440"/>
        <w:gridCol w:w="153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Project Monte</w:t>
            </w:r>
            <w:r>
              <w:rPr>
                <w:rFonts w:cs="Arial"/>
              </w:rPr>
              <w:t xml:space="preserve"> – Need to extend and possibly increase to $500MM</w:t>
            </w:r>
          </w:p>
          <w:p>
            <w:pPr>
              <w:pStyle w:val="Normal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color w:val="993366"/>
              </w:rPr>
              <w:t>G. McKean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(T. Yates)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LeBoeuf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(S. Baetz)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Barclays/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Winterthur on other side, represented by Bracewell and MB&amp;P respectively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3/23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Raptor 1/2/3/4</w:t>
            </w:r>
            <w:r>
              <w:rPr/>
              <w:t xml:space="preserve"> – Amend structure to enhance capacity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color w:val="993366"/>
              </w:rPr>
            </w:pPr>
            <w:r>
              <w:rPr>
                <w:rFonts w:cs="Arial"/>
                <w:color w:val="993366"/>
              </w:rPr>
              <w:t>G. McKean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Ephross</w:t>
            </w:r>
          </w:p>
          <w:p>
            <w:pPr>
              <w:pStyle w:val="Normal"/>
              <w:jc w:val="center"/>
              <w:rPr/>
            </w:pPr>
            <w:r>
              <w:rPr/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M. Cook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V&amp;E</w:t>
            </w:r>
          </w:p>
          <w:p>
            <w:pPr>
              <w:pStyle w:val="Normal"/>
              <w:jc w:val="center"/>
              <w:rPr/>
            </w:pPr>
            <w:r>
              <w:rPr/>
              <w:t>(M. Spradling)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LJM</w:t>
            </w:r>
          </w:p>
          <w:p>
            <w:pPr>
              <w:pStyle w:val="Normal"/>
              <w:jc w:val="center"/>
              <w:rPr/>
            </w:pPr>
            <w:r>
              <w:rPr/>
              <w:t>(K&amp;E-M. Edsall)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Completed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Receivables Sale Agreement</w:t>
            </w:r>
            <w:r>
              <w:rPr/>
              <w:t xml:space="preserve"> – Amend to remove HPL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J. Nogid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(T. Yates)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ASCC 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(Seward &amp; Kissel)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Rawhide</w:t>
            </w:r>
            <w:r>
              <w:rPr>
                <w:b/>
                <w:bCs/>
              </w:rPr>
              <w:t xml:space="preserve"> – Extension of liquidity facility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J. Richardson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Sherman &amp; Sterling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Completed 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Azurix</w:t>
            </w:r>
            <w:r>
              <w:rPr/>
              <w:t xml:space="preserve"> – Going private transaction, including changes to AWT Board for maintenance of deconsolidation and cert holders filing of Schedule 13E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G. McKean</w:t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Mintz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L. Schuler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(S. Wulfe)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CSFB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(Milbank)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Q1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Proxy</w:t>
            </w:r>
            <w:r>
              <w:rPr/>
              <w:t xml:space="preserve"> – Preparation of related party transaction disclosures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Causey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Mintz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Rex Rogers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(R. Astin)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Americas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CGas</w:t>
            </w:r>
            <w:r>
              <w:rPr>
                <w:rFonts w:cs="Arial"/>
              </w:rPr>
              <w:t xml:space="preserve"> – FAS 140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DeLacey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Pruitt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Bahlmann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A&amp;K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CIBC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(Mayer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Bridgeline</w:t>
            </w:r>
            <w:r>
              <w:rPr>
                <w:rFonts w:cs="Arial"/>
              </w:rPr>
              <w:t xml:space="preserve"> – JV unsecured financing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R. Dutt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Daniel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(T. Yates,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V. Moreland)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First Union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(B. Clark)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EES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u w:val="single"/>
              </w:rPr>
              <w:t>Whitewing/Acceleration</w:t>
            </w:r>
            <w:r>
              <w:rPr>
                <w:b/>
                <w:bCs/>
              </w:rPr>
              <w:t xml:space="preserve"> </w:t>
            </w:r>
            <w:r>
              <w:rPr/>
              <w:t>– Eli Lilly transaction; $50MM Preferred Investment into Whitewing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G. McKillop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Ephross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D. Culver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V&amp;E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(M. Spradling)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</w:tbl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  <w:r>
        <w:br w:type="page"/>
      </w:r>
    </w:p>
    <w:p>
      <w:pPr>
        <w:pStyle w:val="Header"/>
        <w:rPr/>
      </w:pPr>
      <w:r>
        <w:rPr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Broadband</w:t>
      </w:r>
    </w:p>
    <w:p>
      <w:pPr>
        <w:pStyle w:val="Header"/>
        <w:rPr>
          <w:b/>
          <w:bCs/>
        </w:rPr>
      </w:pPr>
      <w:r>
        <w:rPr>
          <w:b/>
          <w:bCs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McGarret I/EBS Content</w:t>
            </w:r>
            <w:r>
              <w:rPr>
                <w:rFonts w:cs="Arial"/>
                <w:b/>
                <w:bCs/>
              </w:rPr>
              <w:t xml:space="preserve"> - </w:t>
            </w:r>
            <w:r>
              <w:rPr>
                <w:rFonts w:cs="Arial"/>
              </w:rPr>
              <w:t>Monetization transaction – FAS140 $35MM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L. Fischer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D. Koogler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A&amp;K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CIBC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(Mayer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McGarret M</w:t>
            </w:r>
            <w:r>
              <w:rPr>
                <w:rFonts w:cs="Arial"/>
              </w:rPr>
              <w:t xml:space="preserve"> – FAS 140 monetization of retained tax value in initial monetization transaction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L. Fischer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Chin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(Karathanos)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D. Koogler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A&amp;K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CIBC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(Mayer Brown)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</w:tbl>
    <w:p>
      <w:pPr>
        <w:pStyle w:val="Header"/>
        <w:rPr/>
      </w:pPr>
      <w:r>
        <w:rPr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Europe</w:t>
      </w:r>
    </w:p>
    <w:p>
      <w:pPr>
        <w:pStyle w:val="Header"/>
        <w:rPr>
          <w:b/>
          <w:bCs/>
        </w:rPr>
      </w:pPr>
      <w:r>
        <w:rPr>
          <w:b/>
          <w:bCs/>
        </w:rPr>
      </w:r>
    </w:p>
    <w:tbl>
      <w:tblPr>
        <w:tblW w:w="1503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1530"/>
        <w:gridCol w:w="1530"/>
        <w:gridCol w:w="1440"/>
        <w:gridCol w:w="1440"/>
        <w:gridCol w:w="1350"/>
        <w:gridCol w:w="1170"/>
        <w:gridCol w:w="990"/>
        <w:gridCol w:w="1170"/>
        <w:gridCol w:w="1350"/>
      </w:tblGrid>
      <w:tr>
        <w:trPr>
          <w:trHeight w:val="58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 Person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(Specialist)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*Business Unit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or Other Attorney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*Enron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Outside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Board Approval Req.?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*Est. Completion Date</w:t>
            </w:r>
          </w:p>
        </w:tc>
      </w:tr>
      <w:tr>
        <w:trPr>
          <w:trHeight w:val="240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u w:val="single"/>
              </w:rPr>
              <w:t>ETOL Monetization</w:t>
            </w:r>
            <w:r>
              <w:rPr>
                <w:rFonts w:cs="Arial"/>
              </w:rPr>
              <w:t xml:space="preserve"> – Expansion of existing structure $70MM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Shardin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C. DeLacey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Bahlmann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Funk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S. Martin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Slaughter &amp; May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(Sanjev)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</w:tbl>
    <w:p>
      <w:pPr>
        <w:pStyle w:val="Header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810" w:right="1440" w:gutter="0" w:header="540" w:top="596" w:footer="483" w:bottom="5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</w:rPr>
    </w:pPr>
    <w:r>
      <w:rPr>
        <w:sz w:val="22"/>
      </w:rPr>
      <w:t>*  Y = Yes; N = No; U = Uncertain</w:t>
    </w:r>
  </w:p>
  <w:p>
    <w:pPr>
      <w:pStyle w:val="Footer"/>
      <w:jc w:val="center"/>
      <w:rPr/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sz w:val="22"/>
      </w:rPr>
      <w:t>4</w:t>
    </w:r>
    <w:r>
      <w:rPr>
        <w:rStyle w:val="PageNumber"/>
        <w:sz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sz w:val="22"/>
      </w:rPr>
    </w:pPr>
    <w:r>
      <w:rPr>
        <w:b/>
        <w:i/>
        <w:sz w:val="22"/>
      </w:rPr>
      <w:t>CONFIDENTIAL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pt;mso-wrap-distance-left:0pt;mso-wrap-distance-right:0pt;mso-wrap-distance-top:0pt;mso-wrap-distance-bottom:0pt;margin-top:0.05pt;mso-position-vertical-relative:text;margin-left:339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end"/>
      <w:rPr>
        <w:b/>
        <w:i/>
        <w:i/>
        <w:sz w:val="22"/>
      </w:rPr>
    </w:pPr>
    <w:r>
      <w:rPr>
        <w:b/>
        <w:i/>
        <w:sz w:val="22"/>
      </w:rPr>
      <w:t>&amp; PRIVILEGED</w:t>
    </w:r>
  </w:p>
  <w:p>
    <w:pPr>
      <w:pStyle w:val="Header"/>
      <w:jc w:val="center"/>
      <w:rPr>
        <w:sz w:val="24"/>
      </w:rPr>
    </w:pPr>
    <w:r>
      <w:rPr>
        <w:b/>
        <w:sz w:val="24"/>
      </w:rPr>
      <w:t>GLOBAL FINANCE LEGAL</w:t>
    </w:r>
  </w:p>
  <w:p>
    <w:pPr>
      <w:pStyle w:val="Header"/>
      <w:jc w:val="center"/>
      <w:rPr>
        <w:sz w:val="24"/>
      </w:rPr>
    </w:pPr>
    <w:r>
      <w:rPr>
        <w:sz w:val="24"/>
      </w:rPr>
      <w:t>1Q2001 Close</w:t>
    </w:r>
  </w:p>
  <w:p>
    <w:pPr>
      <w:pStyle w:val="Header"/>
      <w:jc w:val="center"/>
      <w:rPr>
        <w:sz w:val="24"/>
      </w:rPr>
    </w:pPr>
    <w:r>
      <w:rPr>
        <w:sz w:val="24"/>
      </w:rPr>
    </w:r>
  </w:p>
  <w:p>
    <w:pPr>
      <w:pStyle w:val="Header"/>
      <w:jc w:val="center"/>
      <w:rPr>
        <w:sz w:val="24"/>
      </w:rPr>
    </w:pPr>
    <w:r>
      <w:rPr>
        <w:sz w:val="24"/>
      </w:rPr>
      <w:t>March 31,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800080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2001-03-08T19:40:00Z</dcterms:created>
  <dc:creator>jdorsey</dc:creator>
  <dc:description/>
  <dc:language>en-CA</dc:language>
  <cp:lastModifiedBy>dforsyt</cp:lastModifiedBy>
  <cp:lastPrinted>2001-04-03T15:26:00Z</cp:lastPrinted>
  <dcterms:modified xsi:type="dcterms:W3CDTF">2001-04-04T19:02:00Z</dcterms:modified>
  <cp:revision>23</cp:revision>
  <dc:subject/>
  <dc:title>Deal</dc:title>
</cp:coreProperties>
</file>