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jc w:val="center"/>
        <w:rPr>
          <w:b/>
        </w:rPr>
      </w:pPr>
      <w:r>
        <w:rPr>
          <w:b/>
        </w:rPr>
      </w:r>
    </w:p>
    <w:p>
      <w:pPr>
        <w:pStyle w:val="Normal"/>
        <w:jc w:val="center"/>
        <w:rPr>
          <w:b/>
        </w:rPr>
      </w:pPr>
      <w:r>
        <w:rPr>
          <w:b/>
        </w:rPr>
      </w:r>
    </w:p>
    <w:p>
      <w:pPr>
        <w:pStyle w:val="BodyText"/>
        <w:spacing w:lineRule="auto" w:line="240"/>
        <w:rPr>
          <w:rFonts w:ascii="Courier New" w:hAnsi="Courier New" w:cs="Courier New"/>
          <w:b/>
        </w:rPr>
      </w:pPr>
      <w:r>
        <w:rPr>
          <w:rFonts w:cs="Courier New" w:ascii="Courier New" w:hAnsi="Courier New"/>
          <w:b/>
        </w:rPr>
        <w:t>Investigation on the Commission’s Own Motion  )</w:t>
      </w:r>
    </w:p>
    <w:p>
      <w:pPr>
        <w:pStyle w:val="BodyText"/>
        <w:spacing w:lineRule="auto" w:line="240"/>
        <w:rPr>
          <w:rFonts w:ascii="Courier New" w:hAnsi="Courier New" w:cs="Courier New"/>
          <w:b/>
        </w:rPr>
      </w:pPr>
      <w:r>
        <w:rPr>
          <w:rFonts w:cs="Courier New" w:ascii="Courier New" w:hAnsi="Courier New"/>
          <w:b/>
        </w:rPr>
        <w:t>To Consider the Costs and Benefits of Various ) I.99-07-003</w:t>
      </w:r>
    </w:p>
    <w:p>
      <w:pPr>
        <w:pStyle w:val="BodyText"/>
        <w:spacing w:lineRule="auto" w:line="240"/>
        <w:rPr>
          <w:rFonts w:ascii="Courier New" w:hAnsi="Courier New" w:cs="Courier New"/>
          <w:b/>
        </w:rPr>
      </w:pPr>
      <w:r>
        <w:rPr>
          <w:rFonts w:cs="Courier New" w:ascii="Courier New" w:hAnsi="Courier New"/>
          <w:b/>
        </w:rPr>
        <w:t>Promising Revisions to the Regulatory and     )</w:t>
      </w:r>
    </w:p>
    <w:p>
      <w:pPr>
        <w:pStyle w:val="BodyText"/>
        <w:spacing w:lineRule="auto" w:line="240"/>
        <w:rPr>
          <w:rFonts w:ascii="Courier New" w:hAnsi="Courier New" w:cs="Courier New"/>
          <w:b/>
        </w:rPr>
      </w:pPr>
      <w:r>
        <w:rPr>
          <w:rFonts w:cs="Courier New" w:ascii="Courier New" w:hAnsi="Courier New"/>
          <w:b/>
        </w:rPr>
        <w:t>Market Structure Governing California’s       )</w:t>
      </w:r>
    </w:p>
    <w:p>
      <w:pPr>
        <w:pStyle w:val="BodyText"/>
        <w:spacing w:lineRule="auto" w:line="240"/>
        <w:rPr>
          <w:rFonts w:ascii="Courier New" w:hAnsi="Courier New" w:cs="Courier New"/>
          <w:b/>
        </w:rPr>
      </w:pPr>
      <w:r>
        <w:rPr>
          <w:rFonts w:cs="Courier New" w:ascii="Courier New" w:hAnsi="Courier New"/>
          <w:b/>
        </w:rPr>
        <w:t>Natural Gas Industry and to Report to the     )</w:t>
      </w:r>
    </w:p>
    <w:p>
      <w:pPr>
        <w:pStyle w:val="BodyText"/>
        <w:spacing w:lineRule="auto" w:line="240"/>
        <w:rPr>
          <w:rFonts w:ascii="Courier New" w:hAnsi="Courier New" w:cs="Courier New"/>
          <w:b/>
        </w:rPr>
      </w:pPr>
      <w:r>
        <w:rPr>
          <w:rFonts w:cs="Courier New" w:ascii="Courier New" w:hAnsi="Courier New"/>
          <w:b/>
        </w:rPr>
        <w:t>California Legislature on the Commission’s    )</w:t>
      </w:r>
    </w:p>
    <w:p>
      <w:pPr>
        <w:pStyle w:val="BodyText"/>
        <w:spacing w:lineRule="auto" w:line="240"/>
        <w:rPr>
          <w:rFonts w:ascii="Courier New" w:hAnsi="Courier New" w:cs="Courier New"/>
          <w:b/>
        </w:rPr>
      </w:pPr>
      <w:r>
        <w:rPr>
          <w:rFonts w:cs="Courier New" w:ascii="Courier New" w:hAnsi="Courier New"/>
          <w:b/>
        </w:rPr>
        <w:t>Findings                                      )</w:t>
      </w:r>
    </w:p>
    <w:p>
      <w:pPr>
        <w:pStyle w:val="BodyText"/>
        <w:spacing w:lineRule="auto" w:line="240"/>
        <w:rPr>
          <w:rFonts w:ascii="Courier New" w:hAnsi="Courier New" w:cs="Courier New"/>
          <w:b/>
        </w:rPr>
      </w:pPr>
      <w:r>
        <w:rPr>
          <w:rFonts w:cs="Courier New" w:ascii="Courier New" w:hAnsi="Courier New"/>
          <w:b/>
        </w:rPr>
        <w:t>______________________________________________)</w:t>
      </w:r>
    </w:p>
    <w:p>
      <w:pPr>
        <w:pStyle w:val="Footer"/>
        <w:tabs>
          <w:tab w:val="clear" w:pos="4320"/>
          <w:tab w:val="clear" w:pos="8640"/>
        </w:tabs>
        <w:rPr>
          <w:rFonts w:ascii="Courier New" w:hAnsi="Courier New" w:cs="Courier New"/>
          <w:b/>
        </w:rPr>
      </w:pPr>
      <w:r>
        <w:rPr>
          <w:rFonts w:cs="Courier New"/>
          <w:b/>
        </w:rPr>
      </w:r>
    </w:p>
    <w:p>
      <w:pPr>
        <w:pStyle w:val="Normal"/>
        <w:jc w:val="center"/>
        <w:rPr/>
      </w:pPr>
      <w:r>
        <w:rPr/>
      </w:r>
    </w:p>
    <w:p>
      <w:pPr>
        <w:pStyle w:val="Normal"/>
        <w:jc w:val="center"/>
        <w:rPr/>
      </w:pPr>
      <w:r>
        <w:rPr/>
      </w:r>
    </w:p>
    <w:p>
      <w:pPr>
        <w:pStyle w:val="Normal"/>
        <w:jc w:val="center"/>
        <w:rPr/>
      </w:pPr>
      <w:r>
        <w:rPr/>
      </w:r>
    </w:p>
    <w:p>
      <w:pPr>
        <w:pStyle w:val="Normal"/>
        <w:jc w:val="center"/>
        <w:rPr>
          <w:b/>
        </w:rPr>
      </w:pPr>
      <w:r>
        <w:rPr>
          <w:b/>
        </w:rPr>
        <w:t>RULING ON CORRECTION OF TESTIMONY, ADMISSION OF LATE-FILED EXHIBITS AND CLOSE OF EVIDENTIARY RECORD</w:t>
      </w:r>
    </w:p>
    <w:p>
      <w:pPr>
        <w:pStyle w:val="Normal"/>
        <w:jc w:val="center"/>
        <w:rPr>
          <w:b/>
        </w:rPr>
      </w:pPr>
      <w:r>
        <w:rPr>
          <w:b/>
        </w:rPr>
      </w:r>
    </w:p>
    <w:p>
      <w:pPr>
        <w:pStyle w:val="Normal"/>
        <w:jc w:val="center"/>
        <w:rPr/>
      </w:pPr>
      <w:r>
        <w:rPr/>
      </w:r>
    </w:p>
    <w:p>
      <w:pPr>
        <w:pStyle w:val="Normal"/>
        <w:jc w:val="center"/>
        <w:rPr/>
      </w:pPr>
      <w:r>
        <w:rPr/>
      </w:r>
    </w:p>
    <w:p>
      <w:pPr>
        <w:pStyle w:val="Heading2"/>
        <w:ind w:hanging="0" w:start="0"/>
        <w:rPr/>
      </w:pPr>
      <w:r>
        <w:rPr/>
        <w:t>Correction of Testimony</w:t>
      </w:r>
    </w:p>
    <w:p>
      <w:pPr>
        <w:pStyle w:val="Normal"/>
        <w:ind w:start="720" w:end="0"/>
        <w:rPr/>
      </w:pPr>
      <w:r>
        <w:rPr/>
      </w:r>
    </w:p>
    <w:p>
      <w:pPr>
        <w:pStyle w:val="BodyText"/>
        <w:rPr/>
      </w:pPr>
      <w:r>
        <w:rPr/>
        <w:t>Dynegy, Southern California Generation Coalition, Southern California Gas Company (“SoCalGas”) and San Diego Gas and Electric Company and Pacific Gas and Electric Company each submitted corrections to the transcript of the hearing in the instant case.  No party objected to the corrections submitted.  Accordingly, they are all accepted.  The transcript shall be corrected as requested.</w:t>
      </w:r>
    </w:p>
    <w:p>
      <w:pPr>
        <w:pStyle w:val="Normal"/>
        <w:ind w:start="720" w:end="0"/>
        <w:rPr/>
      </w:pPr>
      <w:r>
        <w:rPr/>
      </w:r>
    </w:p>
    <w:p>
      <w:pPr>
        <w:pStyle w:val="Heading2"/>
        <w:ind w:hanging="0" w:start="0"/>
        <w:rPr/>
      </w:pPr>
      <w:r>
        <w:rPr/>
        <w:t>Ruling on Admissibility of Late-Filed Exhibits and one segment of Exhibit 111</w:t>
      </w:r>
    </w:p>
    <w:p>
      <w:pPr>
        <w:pStyle w:val="Normal"/>
        <w:ind w:start="720" w:end="0"/>
        <w:rPr/>
      </w:pPr>
      <w:r>
        <w:rPr/>
      </w:r>
    </w:p>
    <w:p>
      <w:pPr>
        <w:pStyle w:val="BodyText"/>
        <w:rPr/>
      </w:pPr>
      <w:r>
        <w:rPr/>
        <w:t>Leave was granted at the hearing for the submission of several late-filed exhibits.  The City of Long Beach was granted leave to late-file Exhibit 203 for identification, the FERC staff report from Docket No. RM 98-10-000, entitled “Auctions and Their Use in Natural Gas Markets,” Office of Economic Policy, Paper 9809, dated October 1998.  That Exhibit has been received.  It is unclear whether it was served on all parties.  Assuming that it was or will be, that exhibit shall be admitted.</w:t>
      </w:r>
    </w:p>
    <w:p>
      <w:pPr>
        <w:pStyle w:val="Normal"/>
        <w:ind w:start="720" w:end="0"/>
        <w:rPr/>
      </w:pPr>
      <w:r>
        <w:rPr/>
      </w:r>
    </w:p>
    <w:p>
      <w:pPr>
        <w:pStyle w:val="BodyText"/>
        <w:rPr/>
      </w:pPr>
      <w:r>
        <w:rPr/>
        <w:t>Leave was granted for the submission of a late-filed declaration in support of Exhibit 113.  PG&amp;E submitted the Declaration of Richard J. Hendrix, marked for identification as Exhibit 701.  Subsequent to that submission, I have received no objection either to Exhibit 701 or to Exhibit 113, as supported by the declaration.  Consequently, both Exhibit 113 and Exhibit 701 are admitted.</w:t>
      </w:r>
    </w:p>
    <w:p>
      <w:pPr>
        <w:pStyle w:val="Normal"/>
        <w:ind w:start="720" w:end="0"/>
        <w:rPr/>
      </w:pPr>
      <w:r>
        <w:rPr/>
      </w:r>
    </w:p>
    <w:p>
      <w:pPr>
        <w:pStyle w:val="BodyText"/>
        <w:rPr/>
      </w:pPr>
      <w:r>
        <w:rPr/>
        <w:t xml:space="preserve">Leave was granted at the hearing for indication of agreement on the admissibility of or the withdrawal of subsections 1 and 2 of Question 4 in Exhibit 111, which was otherwise admitted into evidence.  By email on July 5, 2000, Mr. Sullivan representing SoCalGas and SDG&amp;E indicated that assuming either Exhibit 28 or Exhibit 602 was admitted, they would withdraw their objection to these subsections of Questions 4 and relinquish any claim for need to cross-examine Ms. Yap regarding these subsections.  As indicated below, Exhibit 28 is admitted.  Accordingly, Exhibit 111 is admitted in its totality. </w:t>
      </w:r>
    </w:p>
    <w:p>
      <w:pPr>
        <w:pStyle w:val="Normal"/>
        <w:ind w:start="720" w:end="0"/>
        <w:rPr/>
      </w:pPr>
      <w:r>
        <w:rPr/>
      </w:r>
    </w:p>
    <w:p>
      <w:pPr>
        <w:pStyle w:val="BodyText"/>
        <w:rPr/>
      </w:pPr>
      <w:r>
        <w:rPr/>
        <w:t xml:space="preserve">Leave was granted at the hearing for the late filing of an exhibit indicating the number of active meters served by SoCalGas in 1999 and associated throughput by core, noncore and wholesale customers.  SoCalGas submitted Exhibit 29 and the supporting declaration of Eric Nelson.  No party objected to either document, and consequently the two documents are admitted together as Exhibit 29.  </w:t>
      </w:r>
    </w:p>
    <w:p>
      <w:pPr>
        <w:pStyle w:val="Normal"/>
        <w:ind w:start="720" w:end="0"/>
        <w:rPr/>
      </w:pPr>
      <w:r>
        <w:rPr/>
      </w:r>
    </w:p>
    <w:p>
      <w:pPr>
        <w:pStyle w:val="Normal"/>
        <w:ind w:start="720" w:end="0"/>
        <w:rPr/>
      </w:pPr>
      <w:r>
        <w:rPr/>
        <w:t xml:space="preserve"> </w:t>
      </w:r>
    </w:p>
    <w:p>
      <w:pPr>
        <w:pStyle w:val="Footer"/>
        <w:jc w:val="center"/>
        <w:rPr/>
      </w:pPr>
      <w:r>
        <w:rPr/>
        <w:t>There was a great deal of testimony and some data responses tendered as part of Exhibit 111 concerning what some witnesses called a mismatch between transmission capacity to the California border and SoCalGas’ capacity to take that delivery from the border.  At Tr.v.8, pp.1017-1018, the Administrative Law Judge says:</w:t>
        <w:br/>
        <w:t xml:space="preserve"> “There’s been discussion off the record regarding what would be in a late-filed exhibit if there were to be a late-filed exhibit to alleviate the confusion regarding the facts on whether there is or is not a mismatch between the capacity that comes up to various points and is able to be taken away from various points.”</w:t>
      </w:r>
    </w:p>
    <w:p>
      <w:pPr>
        <w:pStyle w:val="Footer"/>
        <w:rPr/>
      </w:pPr>
      <w:r>
        <w:rPr/>
      </w:r>
    </w:p>
    <w:p>
      <w:pPr>
        <w:pStyle w:val="BodyText"/>
        <w:rPr/>
      </w:pPr>
      <w:r>
        <w:rPr>
          <w:rFonts w:eastAsia="Book Antiqua"/>
        </w:rPr>
        <w:t xml:space="preserve"> </w:t>
      </w:r>
      <w:r>
        <w:rPr/>
        <w:t>Mr. O’Neil, on behalf of El Paso, requested a mechanism for crafting the exhibit that would allow other parties to comment on the way the information was displayed. (Tr.v.8, p. 1020.)  Mr. Power, on behalf of Long Beach, requested that the data be illuminated by a SoCalGas estimate of the relative value of each receipt point.  That addition was rejected, and the emphasis on capacity was repeated by the ALJ at Tr.v.8, pp.1020-1021:</w:t>
      </w:r>
    </w:p>
    <w:p>
      <w:pPr>
        <w:pStyle w:val="Normal"/>
        <w:ind w:firstLine="720" w:end="0"/>
        <w:rPr/>
      </w:pPr>
      <w:r>
        <w:rPr/>
      </w:r>
    </w:p>
    <w:p>
      <w:pPr>
        <w:pStyle w:val="Footer"/>
        <w:rPr/>
      </w:pPr>
      <w:r>
        <w:rPr>
          <w:rFonts w:eastAsia="Courier New"/>
        </w:rPr>
        <w:t xml:space="preserve">  </w:t>
      </w:r>
      <w:r>
        <w:rPr/>
        <w:t>What I am looking for, what I am interested in, let me repeat, I am at this point unclear about the factual basis for the different parties’ arguments that there is or is not a mismatch of capacity.</w:t>
      </w:r>
    </w:p>
    <w:p>
      <w:pPr>
        <w:pStyle w:val="Footer"/>
        <w:rPr/>
      </w:pPr>
      <w:r>
        <w:rPr>
          <w:rFonts w:eastAsia="Courier New"/>
        </w:rPr>
        <w:t xml:space="preserve">  </w:t>
      </w:r>
      <w:r>
        <w:rPr/>
        <w:t>So what I want is an exhibit that will illuminate that in the broadest possible form.  I would rather have too much information than not enough information.</w:t>
      </w:r>
    </w:p>
    <w:p>
      <w:pPr>
        <w:pStyle w:val="Footer"/>
        <w:rPr/>
      </w:pPr>
      <w:r>
        <w:rPr>
          <w:rFonts w:eastAsia="Courier New"/>
        </w:rPr>
        <w:t xml:space="preserve">  </w:t>
      </w:r>
      <w:r>
        <w:rPr/>
        <w:t>But it should be narrowly focused on the mismatch of capacity.</w:t>
      </w:r>
    </w:p>
    <w:p>
      <w:pPr>
        <w:pStyle w:val="Normal"/>
        <w:ind w:firstLine="720" w:end="0"/>
        <w:rPr/>
      </w:pPr>
      <w:r>
        <w:rPr/>
      </w:r>
    </w:p>
    <w:p>
      <w:pPr>
        <w:pStyle w:val="BodyText"/>
        <w:rPr/>
      </w:pPr>
      <w:r>
        <w:rPr/>
        <w:t>On June 21, 2000, SoCalGas offered Exhibit 28 in response to the ALJ’s request for factual information on capacity.   It includes a map of SoCalGas Transmission Facilities and Interconnects, and a spread sheet concerning firm pipeline capacity to Southern California.  The capacity reflected is both what comes from pipelines and other gas sources to southern California and what SoCalGas and other entities can take away.  It also contains information on the average daily market for gas served by the capacity described in the document.  The map and table are sponsored through the declaration of Latimer Lorenz accompanying them.  Exhibit 28 was offered without objection from the Southern California Generation Coalition and TURN, two of the parties most vociferously arguing that there was a mismatch in capacity.</w:t>
      </w:r>
    </w:p>
    <w:p>
      <w:pPr>
        <w:pStyle w:val="BodyText"/>
        <w:rPr/>
      </w:pPr>
      <w:r>
        <w:rPr/>
        <w:tab/>
        <w:t xml:space="preserve">However, on June 23, 2000, El Paso Natural Gas Company (“El Paso”) moved for admission of its proposed late-filed Exhibit 602 and attached Declaration of William Healey in lieu of the proposed late-filed Exhibit 28.  El Paso’s exhibit contains the same map and spreadsheet as SoCal’s exhibit, with the sole exception of footnote 13, which states in reference to the El Paso capacity at Topock, that “There are contracts on El Paso with primary rights at the SoCalGas Delivery point totalling approximately 1466 MMcfd.” Additionally, the exhibit comprises two schematic diagrams, one showing the four interconnections into which El Paso feeds at Topock, and the other showing the effect of the Hector Road interconnect as freeing up 50 MMcf/d of Mojave take-away capacity by having it divert to the SoCal system at North Needles.  </w:t>
      </w:r>
    </w:p>
    <w:p>
      <w:pPr>
        <w:pStyle w:val="BodyText"/>
        <w:rPr/>
      </w:pPr>
      <w:r>
        <w:rPr/>
      </w:r>
    </w:p>
    <w:p>
      <w:pPr>
        <w:pStyle w:val="BodyText"/>
        <w:rPr/>
      </w:pPr>
      <w:r>
        <w:rPr>
          <w:rFonts w:eastAsia="Book Antiqua"/>
        </w:rPr>
        <w:t xml:space="preserve"> </w:t>
      </w:r>
      <w:r>
        <w:rPr/>
        <w:t>SoCalGas opposed El Paso’s motion for numerous reasons.</w:t>
      </w:r>
    </w:p>
    <w:p>
      <w:pPr>
        <w:pStyle w:val="BodyText"/>
        <w:rPr/>
      </w:pPr>
      <w:r>
        <w:rPr/>
      </w:r>
    </w:p>
    <w:p>
      <w:pPr>
        <w:pStyle w:val="BodyText"/>
        <w:rPr/>
      </w:pPr>
      <w:r>
        <w:rPr>
          <w:rFonts w:eastAsia="Book Antiqua"/>
        </w:rPr>
        <w:t xml:space="preserve"> </w:t>
      </w:r>
      <w:r>
        <w:rPr/>
        <w:t>SoCalGas is correct in its argument that Exhibit 602 goes beyond the scope of the information that ALJ Biren requested in this late-filed exhibit.  Footnote 13 touches upon capacity only in the sense that the footnote together with Mr. Healy’s declaration may indicate that the SoCalGas interconnect at Topock is considered valuable by shippers at this point in time because shippers may wish to deliver cheaper San Juan basin gas to the southern California market.  Thus, they would prefer SoCalGas’ take-away capacity, even though other take-away capacity is available. While this information is indeed illuminating, it goes more to the value of the interconnection than to the physical capacity at each interconnection point.  It should have been submitted in El Paso’s prepared testimony, or elicited on the stand.  It cannot be allowed at this late date when the opportunity for cross-examination is over and its admittance was not previously approved in open court.</w:t>
      </w:r>
    </w:p>
    <w:p>
      <w:pPr>
        <w:pStyle w:val="BodyText"/>
        <w:rPr>
          <w:rFonts w:eastAsia="Book Antiqua"/>
        </w:rPr>
      </w:pPr>
      <w:r>
        <w:rPr>
          <w:rFonts w:eastAsia="Book Antiqua"/>
        </w:rPr>
        <w:t xml:space="preserve"> </w:t>
      </w:r>
    </w:p>
    <w:p>
      <w:pPr>
        <w:pStyle w:val="BodyText"/>
        <w:rPr/>
      </w:pPr>
      <w:r>
        <w:rPr/>
        <w:t>With respect to the two schematics in Exhibit 602, they provide a graphic representation of the physical capacity interconnection at Topock and therefore are responsive to the request for a late-filed exhibit. While SoCalGas’ proposed Exhibit 28 is not incorrect or misleading about El Paso’s physical capacity to deliver gas to SoCalGas at Topock, or about physical connections at Hector Road, the additional information is about capacity and not about value.</w:t>
      </w:r>
    </w:p>
    <w:p>
      <w:pPr>
        <w:pStyle w:val="BodyText"/>
        <w:rPr/>
      </w:pPr>
      <w:r>
        <w:rPr/>
      </w:r>
    </w:p>
    <w:p>
      <w:pPr>
        <w:pStyle w:val="BodyText"/>
        <w:rPr/>
      </w:pPr>
      <w:r>
        <w:rPr/>
        <w:t>Accordingly, Exhibit 28 is acceptable as a late-filed exhibit regarding physical capacity, while the revised table and identical map in Exhibit 602 will not be admitted into evidence.  Additionally, however, the two schematics specifically concerning capacity at Topock that are part of Exhibit 602 will be admitted into evidence.  Mr. Healey’s declaration in support of Exhibit 602 will be admitted in redacted form as part of the admissible portion of Exhibit 602.  The entire discussion about why shippers wish to use the SoCalGas portal at Topock is eliminated, as is the discussion about what has and is occurring at FERC regarding El Paso’s capacity to the California border. The portion excised begins at the second paragraph on page 1 and continues to the second sentence of the third paragraph on page 4.  In other words, the declaration as admitted goes from the end of the first paragraph on page 1 to the sentence on page 4 beginning: “The schematics….”  Additionally, the final paragraph of page 4 that continues on page 5 is eliminated.  Finally, the words “and the modifications to the attached table” in the second sentence of the first complete paragraph on page 5 as well as the words “and modifications to the table” in the third sentence of the first complete paragraph on page 5 are deleted.</w:t>
      </w:r>
    </w:p>
    <w:p>
      <w:pPr>
        <w:pStyle w:val="Normal"/>
        <w:spacing w:lineRule="auto" w:line="360"/>
        <w:ind w:firstLine="720" w:end="0"/>
        <w:rPr/>
      </w:pPr>
      <w:r>
        <w:rPr/>
      </w:r>
    </w:p>
    <w:p>
      <w:pPr>
        <w:pStyle w:val="BodyText"/>
        <w:rPr/>
      </w:pPr>
      <w:r>
        <w:rPr/>
        <w:t>With these rulings the evidentiary record is complete, and the evidentiary hearing is closed.  The case is not submitted until all briefing is submitted and oral argument is held or a determination is made that oral argument will not take place.</w:t>
      </w:r>
    </w:p>
    <w:p>
      <w:pPr>
        <w:pStyle w:val="Normal"/>
        <w:ind w:firstLine="720" w:end="0"/>
        <w:rPr/>
      </w:pPr>
      <w:r>
        <w:rPr/>
      </w:r>
    </w:p>
    <w:p>
      <w:pPr>
        <w:pStyle w:val="Heading2"/>
        <w:ind w:hanging="0" w:start="0"/>
        <w:rPr/>
      </w:pPr>
      <w:r>
        <w:rPr/>
        <w:t>Other Matters</w:t>
      </w:r>
    </w:p>
    <w:p>
      <w:pPr>
        <w:pStyle w:val="Normal"/>
        <w:rPr/>
      </w:pPr>
      <w:r>
        <w:rPr/>
      </w:r>
    </w:p>
    <w:p>
      <w:pPr>
        <w:pStyle w:val="BodyText"/>
        <w:rPr/>
      </w:pPr>
      <w:r>
        <w:rPr/>
        <w:t xml:space="preserve">Please check again to make sure that you have e-mailed all the exhibits to the Administrative Law Judge that are e-mailable.  It appears that a number of responses to ALJ questions are not in my index although it would seem that those should be available in an e-mailable form. </w:t>
      </w:r>
    </w:p>
    <w:p>
      <w:pPr>
        <w:pStyle w:val="Normal"/>
        <w:rPr/>
      </w:pPr>
      <w:r>
        <w:rPr/>
      </w:r>
    </w:p>
    <w:p>
      <w:pPr>
        <w:pStyle w:val="Normal"/>
        <w:rPr/>
      </w:pPr>
      <w:r>
        <w:rPr/>
        <w:tab/>
      </w:r>
      <w:r>
        <w:rPr>
          <w:b/>
        </w:rPr>
        <w:t xml:space="preserve">IT IS ORDERED </w:t>
      </w:r>
      <w:r>
        <w:rPr/>
        <w:t>that:</w:t>
      </w:r>
    </w:p>
    <w:p>
      <w:pPr>
        <w:pStyle w:val="Normal"/>
        <w:rPr/>
      </w:pPr>
      <w:r>
        <w:rPr/>
      </w:r>
    </w:p>
    <w:p>
      <w:pPr>
        <w:pStyle w:val="Normal"/>
        <w:numPr>
          <w:ilvl w:val="0"/>
          <w:numId w:val="2"/>
        </w:numPr>
        <w:rPr/>
      </w:pPr>
      <w:r>
        <w:rPr/>
        <w:t>The transcript shall be corrected as requested.</w:t>
      </w:r>
    </w:p>
    <w:p>
      <w:pPr>
        <w:pStyle w:val="Normal"/>
        <w:rPr/>
      </w:pPr>
      <w:r>
        <w:rPr/>
      </w:r>
    </w:p>
    <w:p>
      <w:pPr>
        <w:pStyle w:val="Normal"/>
        <w:numPr>
          <w:ilvl w:val="0"/>
          <w:numId w:val="2"/>
        </w:numPr>
        <w:rPr/>
      </w:pPr>
      <w:r>
        <w:rPr/>
        <w:t>Exhibit 203 is admitted into evidence.</w:t>
      </w:r>
    </w:p>
    <w:p>
      <w:pPr>
        <w:pStyle w:val="Normal"/>
        <w:rPr/>
      </w:pPr>
      <w:r>
        <w:rPr/>
      </w:r>
    </w:p>
    <w:p>
      <w:pPr>
        <w:pStyle w:val="Normal"/>
        <w:numPr>
          <w:ilvl w:val="0"/>
          <w:numId w:val="2"/>
        </w:numPr>
        <w:rPr/>
      </w:pPr>
      <w:r>
        <w:rPr/>
        <w:t>Both Exhibit 113 and Exhibit 701 are admitted into evidence.</w:t>
      </w:r>
    </w:p>
    <w:p>
      <w:pPr>
        <w:pStyle w:val="Normal"/>
        <w:rPr/>
      </w:pPr>
      <w:r>
        <w:rPr/>
      </w:r>
    </w:p>
    <w:p>
      <w:pPr>
        <w:pStyle w:val="Normal"/>
        <w:numPr>
          <w:ilvl w:val="0"/>
          <w:numId w:val="2"/>
        </w:numPr>
        <w:rPr/>
      </w:pPr>
      <w:r>
        <w:rPr/>
        <w:t>Exhibit 111 in its totality is admitted into evidence.</w:t>
      </w:r>
    </w:p>
    <w:p>
      <w:pPr>
        <w:pStyle w:val="Normal"/>
        <w:rPr/>
      </w:pPr>
      <w:r>
        <w:rPr/>
      </w:r>
    </w:p>
    <w:p>
      <w:pPr>
        <w:pStyle w:val="Normal"/>
        <w:numPr>
          <w:ilvl w:val="0"/>
          <w:numId w:val="2"/>
        </w:numPr>
        <w:rPr/>
      </w:pPr>
      <w:r>
        <w:rPr/>
        <w:t>Exhibit 29 and the supporting declaration of Eric Nelson are admitted into evidence  together as Exhibit 29.</w:t>
      </w:r>
    </w:p>
    <w:p>
      <w:pPr>
        <w:pStyle w:val="Normal"/>
        <w:rPr/>
      </w:pPr>
      <w:r>
        <w:rPr/>
      </w:r>
    </w:p>
    <w:p>
      <w:pPr>
        <w:pStyle w:val="Normal"/>
        <w:numPr>
          <w:ilvl w:val="0"/>
          <w:numId w:val="2"/>
        </w:numPr>
        <w:rPr/>
      </w:pPr>
      <w:r>
        <w:rPr/>
        <w:t>Exhibit 28 is admitted into evidence.</w:t>
      </w:r>
    </w:p>
    <w:p>
      <w:pPr>
        <w:pStyle w:val="Normal"/>
        <w:rPr/>
      </w:pPr>
      <w:r>
        <w:rPr/>
      </w:r>
    </w:p>
    <w:p>
      <w:pPr>
        <w:pStyle w:val="Normal"/>
        <w:numPr>
          <w:ilvl w:val="0"/>
          <w:numId w:val="2"/>
        </w:numPr>
        <w:rPr/>
      </w:pPr>
      <w:r>
        <w:rPr/>
        <w:t>The revised table and identical map in Exhibit 602 will not be admitted into evidence.  However,  the two schematics specifically concerning capacity at Topock that are part of Exhibit 602 are admitted into evidence.  Mr. Healey’s declaration in support of Exhibit 602 is admitted into evidence in redacted form as part of the admissible portion of Exhibit 602. The portion excised begins at the second paragraph on page 1 and continues to the second sentence of the third paragraph on page 4.  In other words, the declaration as admitted goes from the end of the first paragraph on page 1 to the sentence on page 4 beginning: “The schematics….”  Additionally, the final paragraph of page 4 that continues on page 5 is eliminated.  Finally, the words “and the modifications to the attached table” in the second sentence of the first complete paragraph on page 5 as well as the words “and modifications to the table” in the third sentence of the first complete paragraph on page 5 are deleted.</w:t>
      </w:r>
    </w:p>
    <w:p>
      <w:pPr>
        <w:pStyle w:val="Normal"/>
        <w:rPr/>
      </w:pPr>
      <w:r>
        <w:rPr/>
      </w:r>
    </w:p>
    <w:p>
      <w:pPr>
        <w:pStyle w:val="Normal"/>
        <w:numPr>
          <w:ilvl w:val="0"/>
          <w:numId w:val="2"/>
        </w:numPr>
        <w:rPr/>
      </w:pPr>
      <w:r>
        <w:rPr/>
        <w:t>The evidentiary record is closed.  The case record remains open for briefing and oral argument, if scheduled.</w:t>
      </w:r>
    </w:p>
    <w:p>
      <w:pPr>
        <w:pStyle w:val="Normal"/>
        <w:rPr/>
      </w:pPr>
      <w:r>
        <w:rPr/>
      </w:r>
    </w:p>
    <w:p>
      <w:pPr>
        <w:pStyle w:val="Normal"/>
        <w:rPr/>
      </w:pPr>
      <w:r>
        <w:rPr/>
        <w:t>July 6, 2000</w:t>
        <w:tab/>
        <w:tab/>
        <w:tab/>
        <w:tab/>
        <w:tab/>
        <w:tab/>
        <w:t>Andrea L. Biren</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New" w:hAnsi="Courier New" w:cs="Courier New"/>
      <w:b/>
      <w:lang w:eastAsia="en-US"/>
    </w:rPr>
  </w:style>
  <w:style w:type="paragraph" w:styleId="BodyText">
    <w:name w:val="Body Text"/>
    <w:basedOn w:val="Normal"/>
    <w:pPr>
      <w:spacing w:lineRule="exact" w:line="447"/>
    </w:pPr>
    <w:rPr>
      <w:rFonts w:ascii="Book Antiqua" w:hAnsi="Book Antiqua" w:cs="Book Antiqua"/>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rFonts w:ascii="Courier New" w:hAnsi="Courier New" w:cs="Courier New"/>
      <w:sz w:val="2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ourier New" w:hAnsi="Courier New" w:cs="Courier New"/>
      <w:lang w:eastAsia="en-US"/>
    </w:rPr>
  </w:style>
  <w:style w:type="paragraph" w:styleId="BlockText">
    <w:name w:val="Block Text"/>
    <w:basedOn w:val="Normal"/>
    <w:qFormat/>
    <w:pPr>
      <w:ind w:firstLine="720" w:start="720" w:end="720"/>
    </w:pPr>
    <w:rPr>
      <w:rFonts w:ascii="Courier New" w:hAnsi="Courier New" w:cs="Courier New"/>
      <w:lang w:eastAsia="en-US"/>
    </w:rPr>
  </w:style>
  <w:style w:type="paragraph" w:styleId="BodyTextIndent">
    <w:name w:val="Body Text Indent"/>
    <w:basedOn w:val="Normal"/>
    <w:pPr>
      <w:spacing w:lineRule="auto" w:line="360"/>
      <w:ind w:firstLine="720" w:start="0" w:end="0"/>
    </w:pPr>
    <w:rPr>
      <w:rFonts w:ascii="Courier New" w:hAnsi="Courier New" w:cs="Courier New"/>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2000-07-05T15:33:00Z</dcterms:created>
  <dc:creator>Andrea L. Biren</dc:creator>
  <dc:description/>
  <dc:language>en-CA</dc:language>
  <cp:lastModifiedBy>Andrea L. Biren</cp:lastModifiedBy>
  <cp:lastPrinted>2000-07-06T12:52:00Z</cp:lastPrinted>
  <dcterms:modified xsi:type="dcterms:W3CDTF">2000-07-06T17:22:00Z</dcterms:modified>
  <cp:revision>5</cp:revision>
  <dc:subject/>
  <dc:title>BEFORE THE</dc:title>
</cp:coreProperties>
</file>