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8.xml" ContentType="application/vnd.openxmlformats-officedocument.wordprocessingml.footer+xml"/>
  <Override PartName="/word/footnotes.xml" ContentType="application/vnd.openxmlformats-officedocument.wordprocessingml.footnotes+xml"/>
  <Override PartName="/word/footer7.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footer5.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BEFORE THE</w:t>
      </w:r>
    </w:p>
    <w:p>
      <w:pPr>
        <w:pStyle w:val="Normal"/>
        <w:jc w:val="center"/>
        <w:rPr>
          <w:b/>
          <w:bCs/>
        </w:rPr>
      </w:pPr>
      <w:r>
        <w:rPr>
          <w:b/>
          <w:bCs/>
        </w:rPr>
        <w:t>PUBLIC UTILITIES COMMISSION</w:t>
      </w:r>
    </w:p>
    <w:p>
      <w:pPr>
        <w:pStyle w:val="Normal"/>
        <w:jc w:val="center"/>
        <w:rPr>
          <w:b/>
          <w:bCs/>
        </w:rPr>
      </w:pPr>
      <w:r>
        <w:rPr>
          <w:b/>
          <w:bCs/>
        </w:rPr>
        <w:t>OF THE</w:t>
      </w:r>
    </w:p>
    <w:p>
      <w:pPr>
        <w:pStyle w:val="Normal"/>
        <w:jc w:val="center"/>
        <w:rPr>
          <w:b/>
          <w:bCs/>
        </w:rPr>
      </w:pPr>
      <w:r>
        <w:rPr>
          <w:b/>
          <w:bCs/>
        </w:rPr>
        <w:t>STATE OF CALIFORNIA</w:t>
      </w:r>
    </w:p>
    <w:p>
      <w:pPr>
        <w:pStyle w:val="Normal"/>
        <w:jc w:val="center"/>
        <w:rPr>
          <w:b/>
          <w:bCs/>
        </w:rPr>
      </w:pPr>
      <w:r>
        <w:rPr>
          <w:b/>
          <w:bCs/>
        </w:rPr>
      </w:r>
    </w:p>
    <w:p>
      <w:pPr>
        <w:pStyle w:val="Normal"/>
        <w:jc w:val="center"/>
        <w:rPr>
          <w:b/>
          <w:bCs/>
        </w:rPr>
      </w:pPr>
      <w:r>
        <w:rPr>
          <w:b/>
          <w:bCs/>
        </w:rPr>
      </w:r>
    </w:p>
    <w:p>
      <w:pPr>
        <w:pStyle w:val="BodyText"/>
        <w:spacing w:lineRule="auto" w:line="240"/>
        <w:rPr>
          <w:rFonts w:ascii="Courier New" w:hAnsi="Courier New" w:eastAsia="Courier New" w:cs="Courier New"/>
          <w:b/>
          <w:bCs/>
        </w:rPr>
      </w:pPr>
      <w:r>
        <w:rPr>
          <w:rFonts w:eastAsia="Courier New" w:cs="Courier New" w:ascii="Courier New" w:hAnsi="Courier New"/>
          <w:b/>
          <w:bCs/>
        </w:rPr>
        <w:t>Investigation on the Commission’s Own Motion  )</w:t>
      </w:r>
    </w:p>
    <w:p>
      <w:pPr>
        <w:pStyle w:val="BodyText"/>
        <w:spacing w:lineRule="auto" w:line="240"/>
        <w:rPr>
          <w:rFonts w:ascii="Courier New" w:hAnsi="Courier New" w:eastAsia="Courier New" w:cs="Courier New"/>
          <w:b/>
          <w:bCs/>
        </w:rPr>
      </w:pPr>
      <w:r>
        <w:rPr>
          <w:rFonts w:eastAsia="Courier New" w:cs="Courier New" w:ascii="Courier New" w:hAnsi="Courier New"/>
          <w:b/>
          <w:bCs/>
        </w:rPr>
        <w:t>To Consider the Costs and Benefits of Various ) I.99-07-003</w:t>
      </w:r>
    </w:p>
    <w:p>
      <w:pPr>
        <w:pStyle w:val="BodyText"/>
        <w:spacing w:lineRule="auto" w:line="240"/>
        <w:rPr>
          <w:rFonts w:ascii="Courier New" w:hAnsi="Courier New" w:eastAsia="Courier New" w:cs="Courier New"/>
          <w:b/>
          <w:bCs/>
        </w:rPr>
      </w:pPr>
      <w:r>
        <w:rPr>
          <w:rFonts w:eastAsia="Courier New" w:cs="Courier New" w:ascii="Courier New" w:hAnsi="Courier New"/>
          <w:b/>
          <w:bCs/>
        </w:rPr>
        <w:t>Promising Revisions to the Regulatory and     )</w:t>
      </w:r>
    </w:p>
    <w:p>
      <w:pPr>
        <w:pStyle w:val="BodyText"/>
        <w:spacing w:lineRule="auto" w:line="240"/>
        <w:rPr>
          <w:rFonts w:ascii="Courier New" w:hAnsi="Courier New" w:eastAsia="Courier New" w:cs="Courier New"/>
          <w:b/>
          <w:bCs/>
        </w:rPr>
      </w:pPr>
      <w:r>
        <w:rPr>
          <w:rFonts w:eastAsia="Courier New" w:cs="Courier New" w:ascii="Courier New" w:hAnsi="Courier New"/>
          <w:b/>
          <w:bCs/>
        </w:rPr>
        <w:t>Market Structure Governing California’s       )</w:t>
      </w:r>
    </w:p>
    <w:p>
      <w:pPr>
        <w:pStyle w:val="BodyText"/>
        <w:spacing w:lineRule="auto" w:line="240"/>
        <w:rPr>
          <w:rFonts w:ascii="Courier New" w:hAnsi="Courier New" w:eastAsia="Courier New" w:cs="Courier New"/>
          <w:b/>
          <w:bCs/>
        </w:rPr>
      </w:pPr>
      <w:r>
        <w:rPr>
          <w:rFonts w:eastAsia="Courier New" w:cs="Courier New" w:ascii="Courier New" w:hAnsi="Courier New"/>
          <w:b/>
          <w:bCs/>
        </w:rPr>
        <w:t>Natural Gas Industry and to Report to the     )</w:t>
      </w:r>
    </w:p>
    <w:p>
      <w:pPr>
        <w:pStyle w:val="BodyText"/>
        <w:spacing w:lineRule="auto" w:line="240"/>
        <w:rPr>
          <w:rFonts w:ascii="Courier New" w:hAnsi="Courier New" w:eastAsia="Courier New" w:cs="Courier New"/>
          <w:b/>
          <w:bCs/>
        </w:rPr>
      </w:pPr>
      <w:r>
        <w:rPr>
          <w:rFonts w:eastAsia="Courier New" w:cs="Courier New" w:ascii="Courier New" w:hAnsi="Courier New"/>
          <w:b/>
          <w:bCs/>
        </w:rPr>
        <w:t>California Legislature on the Commission’s    )</w:t>
      </w:r>
    </w:p>
    <w:p>
      <w:pPr>
        <w:pStyle w:val="BodyText"/>
        <w:spacing w:lineRule="auto" w:line="240"/>
        <w:rPr>
          <w:rFonts w:ascii="Courier New" w:hAnsi="Courier New" w:eastAsia="Courier New" w:cs="Courier New"/>
          <w:b/>
          <w:bCs/>
        </w:rPr>
      </w:pPr>
      <w:r>
        <w:rPr>
          <w:rFonts w:eastAsia="Courier New" w:cs="Courier New" w:ascii="Courier New" w:hAnsi="Courier New"/>
          <w:b/>
          <w:bCs/>
        </w:rPr>
        <w:t>Findings                                      )</w:t>
      </w:r>
    </w:p>
    <w:p>
      <w:pPr>
        <w:pStyle w:val="BodyText"/>
        <w:spacing w:lineRule="auto" w:line="240"/>
        <w:rPr>
          <w:rFonts w:ascii="Courier New" w:hAnsi="Courier New" w:eastAsia="Courier New" w:cs="Courier New"/>
          <w:b/>
          <w:bCs/>
        </w:rPr>
      </w:pPr>
      <w:r>
        <w:rPr>
          <w:rFonts w:eastAsia="Courier New" w:cs="Courier New" w:ascii="Courier New" w:hAnsi="Courier New"/>
          <w:b/>
          <w:bCs/>
        </w:rPr>
        <w:t>______________________________________________)</w:t>
      </w:r>
    </w:p>
    <w:p>
      <w:pPr>
        <w:pStyle w:val="Footer"/>
        <w:tabs>
          <w:tab w:val="clear" w:pos="4320"/>
          <w:tab w:val="clear" w:pos="8640"/>
        </w:tabs>
        <w:rPr>
          <w:rFonts w:ascii="Courier New" w:hAnsi="Courier New" w:eastAsia="Courier New" w:cs="Courier New"/>
          <w:b/>
          <w:bCs/>
        </w:rPr>
      </w:pPr>
      <w:r>
        <w:rPr>
          <w:rFonts w:eastAsia="Courier New" w:cs="Courier New"/>
          <w:b/>
          <w:bCs/>
        </w:rPr>
      </w:r>
    </w:p>
    <w:p>
      <w:pPr>
        <w:pStyle w:val="Normal"/>
        <w:spacing w:lineRule="auto" w:line="360"/>
        <w:rPr/>
      </w:pPr>
      <w:r>
        <w:rPr/>
      </w:r>
    </w:p>
    <w:p>
      <w:pPr>
        <w:pStyle w:val="Normal"/>
        <w:jc w:val="center"/>
        <w:rPr>
          <w:b/>
          <w:bCs/>
        </w:rPr>
      </w:pPr>
      <w:r>
        <w:rPr>
          <w:b/>
          <w:bCs/>
        </w:rPr>
        <w:t>REPLY BRIEF OF</w:t>
      </w:r>
    </w:p>
    <w:p>
      <w:pPr>
        <w:pStyle w:val="Normal"/>
        <w:jc w:val="center"/>
        <w:rPr>
          <w:b/>
          <w:bCs/>
        </w:rPr>
      </w:pPr>
      <w:r>
        <w:rPr>
          <w:b/>
          <w:bCs/>
        </w:rPr>
        <w:t>SOUTHERN CALIFORNIA GAS COMPANY (U 904 G) AND</w:t>
      </w:r>
    </w:p>
    <w:p>
      <w:pPr>
        <w:pStyle w:val="Normal"/>
        <w:jc w:val="center"/>
        <w:rPr>
          <w:b/>
          <w:bCs/>
        </w:rPr>
      </w:pPr>
      <w:r>
        <w:rPr>
          <w:b/>
          <w:bCs/>
        </w:rPr>
        <w:t>SAN DIEGO GAS &amp; ELECTRIC COMPANY (U 902 G)</w:t>
      </w:r>
    </w:p>
    <w:p>
      <w:pPr>
        <w:pStyle w:val="Normal"/>
        <w:spacing w:lineRule="auto" w:line="360"/>
        <w:jc w:val="center"/>
        <w:rPr>
          <w:b/>
          <w:bCs/>
        </w:rPr>
      </w:pPr>
      <w:r>
        <w:rPr>
          <w:b/>
          <w:bCs/>
        </w:rPr>
      </w:r>
    </w:p>
    <w:p>
      <w:pPr>
        <w:pStyle w:val="Normal"/>
        <w:spacing w:lineRule="auto" w:line="360"/>
        <w:jc w:val="center"/>
        <w:rPr/>
      </w:pPr>
      <w:r>
        <w:rPr/>
      </w:r>
    </w:p>
    <w:p>
      <w:pPr>
        <w:pStyle w:val="Normal"/>
        <w:spacing w:lineRule="auto" w:line="360"/>
        <w:jc w:val="center"/>
        <w:rPr/>
      </w:pPr>
      <w:r>
        <w:rPr/>
      </w:r>
    </w:p>
    <w:p>
      <w:pPr>
        <w:pStyle w:val="Normal"/>
        <w:spacing w:lineRule="auto" w:line="360"/>
        <w:jc w:val="center"/>
        <w:rPr/>
      </w:pPr>
      <w:r>
        <w:rPr/>
      </w:r>
    </w:p>
    <w:p>
      <w:pPr>
        <w:pStyle w:val="Heading"/>
        <w:jc w:val="start"/>
        <w:rPr/>
      </w:pPr>
      <w:r>
        <w:rPr/>
      </w:r>
    </w:p>
    <w:p>
      <w:pPr>
        <w:pStyle w:val="Footer"/>
        <w:tabs>
          <w:tab w:val="clear" w:pos="4320"/>
          <w:tab w:val="clear" w:pos="8640"/>
        </w:tabs>
        <w:ind w:start="2160" w:end="0"/>
        <w:rPr/>
      </w:pPr>
      <w:r>
        <w:rPr/>
        <w:tab/>
        <w:tab/>
        <w:tab/>
        <w:tab/>
        <w:tab/>
        <w:tab/>
        <w:tab/>
        <w:tab/>
        <w:tab/>
        <w:tab/>
        <w:tab/>
      </w:r>
      <w:r>
        <w:rPr>
          <w:b/>
          <w:bCs/>
        </w:rPr>
        <w:t>David B. Follett</w:t>
      </w:r>
    </w:p>
    <w:p>
      <w:pPr>
        <w:pStyle w:val="Footer"/>
        <w:tabs>
          <w:tab w:val="clear" w:pos="4320"/>
          <w:tab w:val="clear" w:pos="8640"/>
        </w:tabs>
        <w:rPr>
          <w:b/>
          <w:bCs/>
        </w:rPr>
      </w:pPr>
      <w:r>
        <w:rPr>
          <w:b/>
          <w:bCs/>
        </w:rPr>
        <w:tab/>
        <w:tab/>
        <w:tab/>
        <w:tab/>
        <w:tab/>
        <w:t>Glen J. Sullivan</w:t>
      </w:r>
    </w:p>
    <w:p>
      <w:pPr>
        <w:pStyle w:val="Footer"/>
        <w:tabs>
          <w:tab w:val="clear" w:pos="4320"/>
          <w:tab w:val="clear" w:pos="8640"/>
        </w:tabs>
        <w:rPr>
          <w:b/>
          <w:bCs/>
        </w:rPr>
      </w:pPr>
      <w:r>
        <w:rPr>
          <w:b/>
          <w:bCs/>
        </w:rPr>
        <w:tab/>
        <w:tab/>
        <w:tab/>
        <w:tab/>
        <w:tab/>
        <w:t>Sempra Energy Law Department</w:t>
      </w:r>
    </w:p>
    <w:p>
      <w:pPr>
        <w:pStyle w:val="Footer"/>
        <w:tabs>
          <w:tab w:val="clear" w:pos="4320"/>
          <w:tab w:val="clear" w:pos="8640"/>
        </w:tabs>
        <w:rPr>
          <w:b/>
          <w:bCs/>
        </w:rPr>
      </w:pPr>
      <w:r>
        <w:rPr>
          <w:b/>
          <w:bCs/>
        </w:rPr>
        <w:tab/>
        <w:tab/>
        <w:tab/>
        <w:tab/>
        <w:tab/>
        <w:t>101 Ash Street</w:t>
      </w:r>
    </w:p>
    <w:p>
      <w:pPr>
        <w:pStyle w:val="Footer"/>
        <w:tabs>
          <w:tab w:val="clear" w:pos="4320"/>
          <w:tab w:val="clear" w:pos="8640"/>
        </w:tabs>
        <w:rPr>
          <w:b/>
          <w:bCs/>
        </w:rPr>
      </w:pPr>
      <w:r>
        <w:rPr>
          <w:b/>
          <w:bCs/>
        </w:rPr>
        <w:tab/>
        <w:tab/>
        <w:tab/>
        <w:tab/>
        <w:tab/>
        <w:t>San Diego, California  92101</w:t>
      </w:r>
    </w:p>
    <w:p>
      <w:pPr>
        <w:pStyle w:val="Footer"/>
        <w:tabs>
          <w:tab w:val="clear" w:pos="4320"/>
          <w:tab w:val="clear" w:pos="8640"/>
        </w:tabs>
        <w:rPr>
          <w:b/>
          <w:bCs/>
        </w:rPr>
      </w:pPr>
      <w:r>
        <w:rPr>
          <w:b/>
          <w:bCs/>
        </w:rPr>
        <w:tab/>
        <w:tab/>
        <w:tab/>
        <w:tab/>
        <w:tab/>
        <w:t>Telephone:  (619) 699-5162</w:t>
      </w:r>
    </w:p>
    <w:p>
      <w:pPr>
        <w:pStyle w:val="Footer"/>
        <w:tabs>
          <w:tab w:val="clear" w:pos="4320"/>
          <w:tab w:val="clear" w:pos="8640"/>
        </w:tabs>
        <w:rPr>
          <w:b/>
          <w:bCs/>
        </w:rPr>
      </w:pPr>
      <w:r>
        <w:rPr>
          <w:b/>
          <w:bCs/>
        </w:rPr>
        <w:tab/>
        <w:tab/>
        <w:tab/>
        <w:tab/>
        <w:tab/>
        <w:t>Fax:  (619) 699-5027</w:t>
      </w:r>
    </w:p>
    <w:p>
      <w:pPr>
        <w:pStyle w:val="Footer"/>
        <w:tabs>
          <w:tab w:val="clear" w:pos="4320"/>
          <w:tab w:val="clear" w:pos="8640"/>
        </w:tabs>
        <w:rPr>
          <w:b/>
          <w:bCs/>
        </w:rPr>
      </w:pPr>
      <w:r>
        <w:rPr>
          <w:b/>
          <w:bCs/>
        </w:rPr>
        <w:tab/>
        <w:tab/>
        <w:tab/>
        <w:tab/>
        <w:tab/>
        <w:t xml:space="preserve">E-mail:  </w:t>
      </w:r>
      <w:r>
        <w:rPr>
          <w:rStyle w:val="Hyperlink"/>
        </w:rPr>
        <w:t>dfollett@sempra.com</w:t>
      </w:r>
      <w:r>
        <w:rPr>
          <w:b/>
          <w:bCs/>
        </w:rPr>
        <w:t xml:space="preserve"> </w:t>
      </w:r>
      <w:r>
        <w:rPr/>
        <w:t>and</w:t>
      </w:r>
    </w:p>
    <w:p>
      <w:pPr>
        <w:pStyle w:val="Footer"/>
        <w:tabs>
          <w:tab w:val="clear" w:pos="4320"/>
          <w:tab w:val="clear" w:pos="8640"/>
        </w:tabs>
        <w:rPr/>
      </w:pPr>
      <w:r>
        <w:rPr>
          <w:b/>
          <w:bCs/>
        </w:rPr>
        <w:tab/>
        <w:tab/>
        <w:tab/>
        <w:tab/>
        <w:tab/>
        <w:tab/>
        <w:t xml:space="preserve">    </w:t>
      </w:r>
      <w:r>
        <w:rPr>
          <w:u w:val="single"/>
        </w:rPr>
        <w:t>gsullivan@sempra.com</w:t>
      </w:r>
    </w:p>
    <w:p>
      <w:pPr>
        <w:pStyle w:val="Footer"/>
        <w:tabs>
          <w:tab w:val="clear" w:pos="4320"/>
          <w:tab w:val="clear" w:pos="8640"/>
        </w:tabs>
        <w:rPr>
          <w:b/>
          <w:bCs/>
          <w:u w:val="single"/>
        </w:rPr>
      </w:pPr>
      <w:r>
        <w:rPr>
          <w:b/>
          <w:bCs/>
          <w:u w:val="single"/>
        </w:rPr>
      </w:r>
    </w:p>
    <w:p>
      <w:pPr>
        <w:pStyle w:val="Footer"/>
        <w:tabs>
          <w:tab w:val="clear" w:pos="4320"/>
          <w:tab w:val="clear" w:pos="8640"/>
        </w:tabs>
        <w:rPr>
          <w:b/>
          <w:bCs/>
        </w:rPr>
      </w:pPr>
      <w:r>
        <w:rPr>
          <w:b/>
          <w:bCs/>
        </w:rPr>
        <w:tab/>
        <w:tab/>
        <w:tab/>
        <w:tab/>
        <w:tab/>
        <w:t>Attorneys for</w:t>
      </w:r>
    </w:p>
    <w:p>
      <w:pPr>
        <w:pStyle w:val="Footer"/>
        <w:tabs>
          <w:tab w:val="clear" w:pos="4320"/>
          <w:tab w:val="clear" w:pos="8640"/>
        </w:tabs>
        <w:rPr>
          <w:b/>
          <w:bCs/>
        </w:rPr>
      </w:pPr>
      <w:r>
        <w:rPr>
          <w:b/>
          <w:bCs/>
        </w:rPr>
        <w:tab/>
        <w:tab/>
        <w:tab/>
        <w:tab/>
        <w:tab/>
        <w:t xml:space="preserve">Southern California Gas Company </w:t>
      </w:r>
    </w:p>
    <w:p>
      <w:pPr>
        <w:pStyle w:val="Footer"/>
        <w:tabs>
          <w:tab w:val="clear" w:pos="4320"/>
          <w:tab w:val="clear" w:pos="8640"/>
        </w:tabs>
        <w:rPr>
          <w:b/>
          <w:bCs/>
        </w:rPr>
      </w:pPr>
      <w:r>
        <w:rPr>
          <w:b/>
          <w:bCs/>
        </w:rPr>
        <w:tab/>
        <w:tab/>
        <w:tab/>
        <w:tab/>
        <w:tab/>
        <w:t>And San Diego Gas &amp; Electric Co.</w:t>
      </w:r>
    </w:p>
    <w:p>
      <w:pPr>
        <w:pStyle w:val="Heading"/>
        <w:ind w:start="4320" w:end="0"/>
        <w:jc w:val="start"/>
        <w:rPr>
          <w:b w:val="false"/>
          <w:bCs w:val="false"/>
        </w:rPr>
      </w:pPr>
      <w:r>
        <w:rPr>
          <w:b w:val="false"/>
          <w:bCs w:val="false"/>
        </w:rPr>
      </w:r>
    </w:p>
    <w:p>
      <w:pPr>
        <w:pStyle w:val="Heading"/>
        <w:ind w:start="4320" w:end="0"/>
        <w:jc w:val="start"/>
        <w:rPr/>
      </w:pPr>
      <w:r>
        <w:rPr/>
      </w:r>
    </w:p>
    <w:p>
      <w:pPr>
        <w:pStyle w:val="Heading"/>
        <w:ind w:start="4320" w:end="0"/>
        <w:jc w:val="start"/>
        <w:rPr/>
      </w:pPr>
      <w:r>
        <w:rPr/>
      </w:r>
    </w:p>
    <w:p>
      <w:pPr>
        <w:pStyle w:val="Heading"/>
        <w:ind w:start="4320" w:end="0"/>
        <w:jc w:val="start"/>
        <w:rPr/>
      </w:pPr>
      <w:r>
        <w:rPr/>
      </w:r>
    </w:p>
    <w:p>
      <w:pPr>
        <w:pStyle w:val="Heading"/>
        <w:ind w:start="4320" w:end="0"/>
        <w:jc w:val="start"/>
        <w:rPr/>
      </w:pPr>
      <w:r>
        <w:rPr/>
      </w:r>
    </w:p>
    <w:p>
      <w:pPr>
        <w:pStyle w:val="Heading"/>
        <w:ind w:start="4320" w:end="0"/>
        <w:jc w:val="start"/>
        <w:rPr/>
      </w:pPr>
      <w:r>
        <w:rPr/>
      </w:r>
    </w:p>
    <w:p>
      <w:pPr>
        <w:sectPr>
          <w:footerReference w:type="default" r:id="rId2"/>
          <w:footerReference w:type="first" r:id="rId3"/>
          <w:type w:val="nextPage"/>
          <w:pgSz w:w="12240" w:h="15840"/>
          <w:pgMar w:left="1800" w:right="1800" w:gutter="0" w:header="0" w:top="1440" w:footer="720" w:bottom="1440"/>
          <w:pgNumType w:fmt="decimal"/>
          <w:formProt w:val="false"/>
          <w:titlePg/>
          <w:textDirection w:val="lrTb"/>
        </w:sectPr>
        <w:pStyle w:val="Heading"/>
        <w:jc w:val="start"/>
        <w:rPr/>
      </w:pPr>
      <w:r>
        <w:rPr/>
        <w:t>July 31, 2000</w:t>
      </w:r>
    </w:p>
    <w:p>
      <w:pPr>
        <w:pStyle w:val="Heading"/>
        <w:rPr>
          <w:sz w:val="28"/>
          <w:szCs w:val="28"/>
        </w:rPr>
      </w:pPr>
      <w:r>
        <w:rPr>
          <w:sz w:val="28"/>
          <w:szCs w:val="28"/>
        </w:rPr>
        <w:t>TABLE OF CONTENTS</w:t>
      </w:r>
    </w:p>
    <w:p>
      <w:pPr>
        <w:pStyle w:val="Heading"/>
        <w:rPr>
          <w:sz w:val="28"/>
          <w:szCs w:val="28"/>
        </w:rPr>
      </w:pPr>
      <w:r>
        <w:rPr>
          <w:sz w:val="28"/>
          <w:szCs w:val="28"/>
        </w:rPr>
      </w:r>
    </w:p>
    <w:p>
      <w:pPr>
        <w:pStyle w:val="Heading"/>
        <w:jc w:val="start"/>
        <w:rPr/>
      </w:pPr>
      <w:r>
        <w:rPr/>
        <w:t>TABLE OF AUTHORITIES</w:t>
      </w:r>
      <w:r>
        <w:rPr>
          <w:b w:val="false"/>
          <w:bCs w:val="false"/>
        </w:rPr>
        <w:t>……………………………………………………………………………………</w:t>
        <w:tab/>
        <w:t xml:space="preserve"> v</w:t>
      </w:r>
    </w:p>
    <w:p>
      <w:pPr>
        <w:pStyle w:val="Heading"/>
        <w:jc w:val="start"/>
        <w:rPr>
          <w:b w:val="false"/>
          <w:bCs w:val="false"/>
        </w:rPr>
      </w:pPr>
      <w:r>
        <w:rPr>
          <w:b w:val="false"/>
          <w:bCs w:val="false"/>
        </w:rPr>
      </w:r>
    </w:p>
    <w:p>
      <w:pPr>
        <w:pStyle w:val="Heading"/>
        <w:jc w:val="start"/>
        <w:rPr/>
      </w:pPr>
      <w:r>
        <w:rPr/>
        <w:t>INTRODUCTION</w:t>
      </w:r>
      <w:r>
        <w:rPr>
          <w:b w:val="false"/>
          <w:bCs w:val="false"/>
        </w:rPr>
        <w:t>…………………………………………………………………………………………………………</w:t>
        <w:tab/>
        <w:t xml:space="preserve"> 1</w:t>
      </w:r>
    </w:p>
    <w:p>
      <w:pPr>
        <w:pStyle w:val="Heading"/>
        <w:jc w:val="start"/>
        <w:rPr>
          <w:b w:val="false"/>
          <w:bCs w:val="false"/>
        </w:rPr>
      </w:pPr>
      <w:r>
        <w:rPr>
          <w:b w:val="false"/>
          <w:bCs w:val="false"/>
        </w:rPr>
      </w:r>
    </w:p>
    <w:p>
      <w:pPr>
        <w:pStyle w:val="Heading"/>
        <w:jc w:val="start"/>
        <w:rPr/>
      </w:pPr>
      <w:r>
        <w:rPr/>
        <w:t>I.</w:t>
        <w:tab/>
        <w:t>CAPACITY-RELATED MATTERS</w:t>
      </w:r>
      <w:r>
        <w:rPr>
          <w:b w:val="false"/>
          <w:bCs w:val="false"/>
        </w:rPr>
        <w:t>……………………………………………………………</w:t>
        <w:tab/>
        <w:t xml:space="preserve"> 7</w:t>
      </w:r>
    </w:p>
    <w:p>
      <w:pPr>
        <w:pStyle w:val="Heading"/>
        <w:jc w:val="start"/>
        <w:rPr>
          <w:b w:val="false"/>
          <w:bCs w:val="false"/>
        </w:rPr>
      </w:pPr>
      <w:r>
        <w:rPr>
          <w:b w:val="false"/>
          <w:bCs w:val="false"/>
        </w:rPr>
        <w:tab/>
        <w:t>A.</w:t>
        <w:tab/>
        <w:t>INTRASTATE TRANSMISSION…………………………………………………</w:t>
        <w:tab/>
        <w:t xml:space="preserve"> 7</w:t>
      </w:r>
    </w:p>
    <w:p>
      <w:pPr>
        <w:pStyle w:val="Heading"/>
        <w:jc w:val="start"/>
        <w:rPr>
          <w:b w:val="false"/>
          <w:bCs w:val="false"/>
        </w:rPr>
      </w:pPr>
      <w:r>
        <w:rPr>
          <w:b w:val="false"/>
          <w:bCs w:val="false"/>
        </w:rPr>
        <w:tab/>
        <w:tab/>
        <w:t>1.</w:t>
        <w:tab/>
        <w:t>A system of backbone transmission</w:t>
      </w:r>
    </w:p>
    <w:p>
      <w:pPr>
        <w:pStyle w:val="Heading"/>
        <w:ind w:start="2160" w:end="0"/>
        <w:jc w:val="start"/>
        <w:rPr>
          <w:b w:val="false"/>
          <w:bCs w:val="false"/>
        </w:rPr>
      </w:pPr>
      <w:r>
        <w:rPr>
          <w:b w:val="false"/>
          <w:bCs w:val="false"/>
        </w:rPr>
        <w:t>rights on the SoCalGas system is</w:t>
      </w:r>
    </w:p>
    <w:p>
      <w:pPr>
        <w:pStyle w:val="Heading"/>
        <w:ind w:start="2160" w:end="0"/>
        <w:jc w:val="start"/>
        <w:rPr>
          <w:b w:val="false"/>
          <w:bCs w:val="false"/>
        </w:rPr>
      </w:pPr>
      <w:r>
        <w:rPr>
          <w:b w:val="false"/>
          <w:bCs w:val="false"/>
        </w:rPr>
        <w:t>workable and not precluded by the</w:t>
      </w:r>
    </w:p>
    <w:p>
      <w:pPr>
        <w:pStyle w:val="Heading"/>
        <w:ind w:start="2160" w:end="0"/>
        <w:jc w:val="start"/>
        <w:rPr>
          <w:b w:val="false"/>
          <w:bCs w:val="false"/>
        </w:rPr>
      </w:pPr>
      <w:r>
        <w:rPr>
          <w:b w:val="false"/>
          <w:bCs w:val="false"/>
        </w:rPr>
        <w:t>physical nature of SoCalGas’ system………</w:t>
        <w:tab/>
        <w:t xml:space="preserve"> 7</w:t>
      </w:r>
    </w:p>
    <w:p>
      <w:pPr>
        <w:pStyle w:val="Heading"/>
        <w:jc w:val="start"/>
        <w:rPr>
          <w:b w:val="false"/>
          <w:bCs w:val="false"/>
        </w:rPr>
      </w:pPr>
      <w:r>
        <w:rPr>
          <w:b w:val="false"/>
          <w:bCs w:val="false"/>
        </w:rPr>
        <w:tab/>
        <w:tab/>
        <w:t>2.</w:t>
        <w:tab/>
        <w:t>The SoCalGas intrastate transmission</w:t>
      </w:r>
    </w:p>
    <w:p>
      <w:pPr>
        <w:pStyle w:val="Heading"/>
        <w:jc w:val="start"/>
        <w:rPr>
          <w:b w:val="false"/>
          <w:bCs w:val="false"/>
        </w:rPr>
      </w:pPr>
      <w:r>
        <w:rPr>
          <w:b w:val="false"/>
          <w:bCs w:val="false"/>
        </w:rPr>
        <w:tab/>
        <w:tab/>
        <w:tab/>
        <w:t>system is not a “bottleneck”………………………</w:t>
        <w:tab/>
        <w:t xml:space="preserve"> 8</w:t>
      </w:r>
    </w:p>
    <w:p>
      <w:pPr>
        <w:pStyle w:val="Heading"/>
        <w:jc w:val="start"/>
        <w:rPr>
          <w:b w:val="false"/>
          <w:bCs w:val="false"/>
        </w:rPr>
      </w:pPr>
      <w:r>
        <w:rPr>
          <w:b w:val="false"/>
          <w:bCs w:val="false"/>
        </w:rPr>
        <w:tab/>
        <w:tab/>
        <w:t>3.</w:t>
        <w:tab/>
        <w:t>Holders of firm intrastate capacity</w:t>
      </w:r>
    </w:p>
    <w:p>
      <w:pPr>
        <w:pStyle w:val="Heading"/>
        <w:ind w:start="2160" w:end="0"/>
        <w:jc w:val="start"/>
        <w:rPr>
          <w:b w:val="false"/>
          <w:bCs w:val="false"/>
        </w:rPr>
      </w:pPr>
      <w:r>
        <w:rPr>
          <w:b w:val="false"/>
          <w:bCs w:val="false"/>
        </w:rPr>
        <w:t>rights on SoCalGas’ system could not exercise market power…………………………………………</w:t>
        <w:tab/>
        <w:t>19</w:t>
      </w:r>
    </w:p>
    <w:p>
      <w:pPr>
        <w:pStyle w:val="Heading"/>
        <w:jc w:val="start"/>
        <w:rPr>
          <w:b w:val="false"/>
          <w:bCs w:val="false"/>
        </w:rPr>
      </w:pPr>
      <w:r>
        <w:rPr>
          <w:b w:val="false"/>
          <w:bCs w:val="false"/>
        </w:rPr>
        <w:tab/>
        <w:tab/>
        <w:t>4.</w:t>
        <w:tab/>
        <w:t>The Comprehensive Settlement’s open</w:t>
      </w:r>
    </w:p>
    <w:p>
      <w:pPr>
        <w:pStyle w:val="Heading"/>
        <w:ind w:firstLine="720" w:start="1440" w:end="0"/>
        <w:jc w:val="start"/>
        <w:rPr>
          <w:b w:val="false"/>
          <w:bCs w:val="false"/>
        </w:rPr>
      </w:pPr>
      <w:r>
        <w:rPr>
          <w:b w:val="false"/>
          <w:bCs w:val="false"/>
        </w:rPr>
        <w:t>season provisions will protect gas</w:t>
      </w:r>
    </w:p>
    <w:p>
      <w:pPr>
        <w:pStyle w:val="Heading"/>
        <w:ind w:firstLine="720" w:start="1440" w:end="0"/>
        <w:jc w:val="start"/>
        <w:rPr>
          <w:b w:val="false"/>
          <w:bCs w:val="false"/>
        </w:rPr>
      </w:pPr>
      <w:r>
        <w:rPr>
          <w:b w:val="false"/>
          <w:bCs w:val="false"/>
        </w:rPr>
        <w:t>consumers…………………………………………………………………………</w:t>
        <w:tab/>
        <w:t>22</w:t>
      </w:r>
    </w:p>
    <w:p>
      <w:pPr>
        <w:pStyle w:val="Heading"/>
        <w:jc w:val="start"/>
        <w:rPr>
          <w:b w:val="false"/>
          <w:bCs w:val="false"/>
        </w:rPr>
      </w:pPr>
      <w:r>
        <w:rPr>
          <w:b w:val="false"/>
          <w:bCs w:val="false"/>
        </w:rPr>
        <w:tab/>
        <w:tab/>
        <w:t>5.</w:t>
        <w:tab/>
        <w:t>Use of a price auction in the</w:t>
      </w:r>
    </w:p>
    <w:p>
      <w:pPr>
        <w:pStyle w:val="Heading"/>
        <w:ind w:start="2160" w:end="0"/>
        <w:jc w:val="start"/>
        <w:rPr>
          <w:b w:val="false"/>
          <w:bCs w:val="false"/>
        </w:rPr>
      </w:pPr>
      <w:r>
        <w:rPr>
          <w:b w:val="false"/>
          <w:bCs w:val="false"/>
        </w:rPr>
        <w:t>transmission open season is neither necessary nor desired by most</w:t>
      </w:r>
    </w:p>
    <w:p>
      <w:pPr>
        <w:pStyle w:val="Heading"/>
        <w:ind w:start="2160" w:end="0"/>
        <w:jc w:val="start"/>
        <w:rPr>
          <w:b w:val="false"/>
          <w:bCs w:val="false"/>
        </w:rPr>
      </w:pPr>
      <w:r>
        <w:rPr>
          <w:b w:val="false"/>
          <w:bCs w:val="false"/>
        </w:rPr>
        <w:t>customers…………………………………………………………………………</w:t>
        <w:tab/>
        <w:t>26</w:t>
      </w:r>
    </w:p>
    <w:p>
      <w:pPr>
        <w:pStyle w:val="Heading"/>
        <w:jc w:val="start"/>
        <w:rPr>
          <w:b w:val="false"/>
          <w:bCs w:val="false"/>
        </w:rPr>
      </w:pPr>
      <w:r>
        <w:rPr>
          <w:b w:val="false"/>
          <w:bCs w:val="false"/>
        </w:rPr>
        <w:tab/>
        <w:tab/>
        <w:t>6.</w:t>
        <w:tab/>
        <w:t>Reservation charges for backbone</w:t>
      </w:r>
    </w:p>
    <w:p>
      <w:pPr>
        <w:pStyle w:val="Heading"/>
        <w:jc w:val="start"/>
        <w:rPr>
          <w:b w:val="false"/>
          <w:bCs w:val="false"/>
        </w:rPr>
      </w:pPr>
      <w:r>
        <w:rPr>
          <w:b w:val="false"/>
          <w:bCs w:val="false"/>
        </w:rPr>
        <w:tab/>
        <w:tab/>
        <w:tab/>
        <w:t>transmission capacity are reasonable</w:t>
      </w:r>
    </w:p>
    <w:p>
      <w:pPr>
        <w:pStyle w:val="Heading"/>
        <w:jc w:val="start"/>
        <w:rPr>
          <w:b w:val="false"/>
          <w:bCs w:val="false"/>
        </w:rPr>
      </w:pPr>
      <w:r>
        <w:rPr>
          <w:b w:val="false"/>
          <w:bCs w:val="false"/>
        </w:rPr>
        <w:tab/>
        <w:tab/>
        <w:tab/>
        <w:t>and necessary………………………………………………………………</w:t>
        <w:tab/>
        <w:t>29</w:t>
      </w:r>
    </w:p>
    <w:p>
      <w:pPr>
        <w:pStyle w:val="Heading"/>
        <w:jc w:val="start"/>
        <w:rPr>
          <w:b w:val="false"/>
          <w:bCs w:val="false"/>
        </w:rPr>
      </w:pPr>
      <w:r>
        <w:rPr>
          <w:b w:val="false"/>
          <w:bCs w:val="false"/>
        </w:rPr>
        <w:tab/>
        <w:tab/>
        <w:t>7.</w:t>
        <w:tab/>
        <w:t>Shareholder risk for backbone</w:t>
      </w:r>
    </w:p>
    <w:p>
      <w:pPr>
        <w:pStyle w:val="Heading"/>
        <w:ind w:start="2160" w:end="0"/>
        <w:jc w:val="start"/>
        <w:rPr>
          <w:b w:val="false"/>
          <w:bCs w:val="false"/>
        </w:rPr>
      </w:pPr>
      <w:r>
        <w:rPr>
          <w:b w:val="false"/>
          <w:bCs w:val="false"/>
        </w:rPr>
        <w:t>transmission is appropriate under the Comprehensive Settlement…………………………………</w:t>
        <w:tab/>
        <w:t>36</w:t>
      </w:r>
    </w:p>
    <w:p>
      <w:pPr>
        <w:pStyle w:val="Heading"/>
        <w:jc w:val="start"/>
        <w:rPr>
          <w:b w:val="false"/>
          <w:bCs w:val="false"/>
        </w:rPr>
      </w:pPr>
      <w:r>
        <w:rPr>
          <w:b w:val="false"/>
          <w:bCs w:val="false"/>
        </w:rPr>
        <w:tab/>
        <w:t>B.</w:t>
        <w:tab/>
        <w:t>STORAGE ISSUES…………………………………………………………………………</w:t>
        <w:tab/>
        <w:t>37</w:t>
      </w:r>
    </w:p>
    <w:p>
      <w:pPr>
        <w:pStyle w:val="Heading"/>
        <w:jc w:val="start"/>
        <w:rPr>
          <w:b w:val="false"/>
          <w:bCs w:val="false"/>
        </w:rPr>
      </w:pPr>
      <w:r>
        <w:rPr>
          <w:b w:val="false"/>
          <w:bCs w:val="false"/>
        </w:rPr>
        <w:tab/>
        <w:tab/>
        <w:t>1.</w:t>
        <w:tab/>
        <w:t>The Post-Interim Settlement unfairly</w:t>
      </w:r>
    </w:p>
    <w:p>
      <w:pPr>
        <w:pStyle w:val="Heading"/>
        <w:jc w:val="start"/>
        <w:rPr>
          <w:b w:val="false"/>
          <w:bCs w:val="false"/>
        </w:rPr>
      </w:pPr>
      <w:r>
        <w:rPr>
          <w:b w:val="false"/>
          <w:bCs w:val="false"/>
        </w:rPr>
        <w:tab/>
        <w:tab/>
        <w:tab/>
        <w:t>and unlawfully retroactively removes</w:t>
      </w:r>
    </w:p>
    <w:p>
      <w:pPr>
        <w:pStyle w:val="Heading"/>
        <w:jc w:val="start"/>
        <w:rPr>
          <w:b w:val="false"/>
          <w:bCs w:val="false"/>
        </w:rPr>
      </w:pPr>
      <w:r>
        <w:rPr>
          <w:b w:val="false"/>
          <w:bCs w:val="false"/>
        </w:rPr>
        <w:tab/>
        <w:tab/>
        <w:tab/>
        <w:t>the cost of the Montebello storage</w:t>
      </w:r>
    </w:p>
    <w:p>
      <w:pPr>
        <w:pStyle w:val="Heading"/>
        <w:jc w:val="start"/>
        <w:rPr>
          <w:b w:val="false"/>
          <w:bCs w:val="false"/>
        </w:rPr>
      </w:pPr>
      <w:r>
        <w:rPr>
          <w:b w:val="false"/>
          <w:bCs w:val="false"/>
        </w:rPr>
        <w:tab/>
        <w:tab/>
        <w:tab/>
        <w:t>field from SoCalGas’ rates……………………………</w:t>
        <w:tab/>
        <w:t>37</w:t>
      </w:r>
    </w:p>
    <w:p>
      <w:pPr>
        <w:pStyle w:val="Heading"/>
        <w:jc w:val="start"/>
        <w:rPr>
          <w:b w:val="false"/>
          <w:bCs w:val="false"/>
        </w:rPr>
      </w:pPr>
      <w:r>
        <w:rPr>
          <w:b w:val="false"/>
          <w:bCs w:val="false"/>
        </w:rPr>
        <w:tab/>
        <w:tab/>
        <w:t>2.</w:t>
        <w:tab/>
        <w:t>Unbundling reliability storage for</w:t>
      </w:r>
    </w:p>
    <w:p>
      <w:pPr>
        <w:pStyle w:val="Heading"/>
        <w:jc w:val="start"/>
        <w:rPr>
          <w:b w:val="false"/>
          <w:bCs w:val="false"/>
        </w:rPr>
      </w:pPr>
      <w:r>
        <w:rPr>
          <w:b w:val="false"/>
          <w:bCs w:val="false"/>
        </w:rPr>
        <w:tab/>
        <w:tab/>
        <w:tab/>
        <w:t>CTAs is appropriate now……………………………………</w:t>
        <w:tab/>
        <w:t>40</w:t>
      </w:r>
    </w:p>
    <w:p>
      <w:pPr>
        <w:pStyle w:val="Heading"/>
        <w:jc w:val="start"/>
        <w:rPr>
          <w:b w:val="false"/>
          <w:bCs w:val="false"/>
        </w:rPr>
      </w:pPr>
      <w:r>
        <w:rPr>
          <w:b w:val="false"/>
          <w:bCs w:val="false"/>
        </w:rPr>
        <w:tab/>
        <w:tab/>
        <w:t>3.</w:t>
        <w:tab/>
        <w:t>Use of the ALTRA trading platforms for</w:t>
      </w:r>
    </w:p>
    <w:p>
      <w:pPr>
        <w:pStyle w:val="Heading"/>
        <w:jc w:val="start"/>
        <w:rPr>
          <w:b w:val="false"/>
          <w:bCs w:val="false"/>
        </w:rPr>
      </w:pPr>
      <w:r>
        <w:rPr>
          <w:b w:val="false"/>
          <w:bCs w:val="false"/>
        </w:rPr>
        <w:tab/>
        <w:tab/>
        <w:tab/>
        <w:t>a fee with revenues retained in part</w:t>
      </w:r>
    </w:p>
    <w:p>
      <w:pPr>
        <w:pStyle w:val="Heading"/>
        <w:jc w:val="start"/>
        <w:rPr>
          <w:b w:val="false"/>
          <w:bCs w:val="false"/>
        </w:rPr>
      </w:pPr>
      <w:r>
        <w:rPr>
          <w:b w:val="false"/>
          <w:bCs w:val="false"/>
        </w:rPr>
        <w:tab/>
        <w:tab/>
        <w:tab/>
        <w:t>by SoCalGas is appropriate……………………………</w:t>
        <w:tab/>
        <w:t>41</w:t>
      </w:r>
    </w:p>
    <w:p>
      <w:pPr>
        <w:pStyle w:val="Heading"/>
        <w:jc w:val="start"/>
        <w:rPr>
          <w:b w:val="false"/>
          <w:bCs w:val="false"/>
        </w:rPr>
      </w:pPr>
      <w:r>
        <w:rPr>
          <w:b w:val="false"/>
          <w:bCs w:val="false"/>
        </w:rPr>
        <w:tab/>
        <w:tab/>
        <w:t>4.</w:t>
        <w:tab/>
        <w:t>Storage risk provisions under the</w:t>
      </w:r>
    </w:p>
    <w:p>
      <w:pPr>
        <w:pStyle w:val="Heading"/>
        <w:jc w:val="start"/>
        <w:rPr>
          <w:b w:val="false"/>
          <w:bCs w:val="false"/>
        </w:rPr>
      </w:pPr>
      <w:r>
        <w:rPr>
          <w:b w:val="false"/>
          <w:bCs w:val="false"/>
        </w:rPr>
        <w:tab/>
        <w:tab/>
        <w:tab/>
        <w:t>Comprehensive Settlement are better</w:t>
      </w:r>
    </w:p>
    <w:p>
      <w:pPr>
        <w:pStyle w:val="Heading"/>
        <w:jc w:val="start"/>
        <w:rPr>
          <w:b w:val="false"/>
          <w:bCs w:val="false"/>
        </w:rPr>
      </w:pPr>
      <w:r>
        <w:rPr>
          <w:b w:val="false"/>
          <w:bCs w:val="false"/>
        </w:rPr>
        <w:tab/>
        <w:tab/>
        <w:tab/>
        <w:t>For gas consumers that the provisions</w:t>
      </w:r>
    </w:p>
    <w:p>
      <w:pPr>
        <w:pStyle w:val="Heading"/>
        <w:jc w:val="start"/>
        <w:rPr>
          <w:b w:val="false"/>
          <w:bCs w:val="false"/>
        </w:rPr>
      </w:pPr>
      <w:r>
        <w:rPr>
          <w:b w:val="false"/>
          <w:bCs w:val="false"/>
        </w:rPr>
        <w:tab/>
        <w:tab/>
        <w:tab/>
        <w:t>Of the Post-Interim Settlement…………………</w:t>
        <w:tab/>
        <w:t>46</w:t>
      </w:r>
    </w:p>
    <w:p>
      <w:pPr>
        <w:pStyle w:val="Heading"/>
        <w:ind w:start="1440" w:end="0"/>
        <w:jc w:val="start"/>
        <w:rPr>
          <w:b w:val="false"/>
          <w:bCs w:val="false"/>
        </w:rPr>
      </w:pPr>
      <w:r>
        <w:rPr>
          <w:b w:val="false"/>
          <w:bCs w:val="false"/>
        </w:rPr>
      </w:r>
    </w:p>
    <w:p>
      <w:pPr>
        <w:pStyle w:val="Heading"/>
        <w:ind w:start="1440" w:end="0"/>
        <w:jc w:val="start"/>
        <w:rPr>
          <w:b w:val="false"/>
          <w:bCs w:val="false"/>
        </w:rPr>
      </w:pPr>
      <w:r>
        <w:rPr>
          <w:b w:val="false"/>
          <w:bCs w:val="false"/>
        </w:rPr>
      </w:r>
    </w:p>
    <w:p>
      <w:pPr>
        <w:pStyle w:val="Heading"/>
        <w:ind w:start="1440" w:end="0"/>
        <w:rPr>
          <w:b w:val="false"/>
          <w:bCs w:val="false"/>
          <w:sz w:val="20"/>
          <w:szCs w:val="20"/>
        </w:rPr>
      </w:pPr>
      <w:r>
        <w:rPr>
          <w:b w:val="false"/>
          <w:bCs w:val="false"/>
          <w:sz w:val="20"/>
          <w:szCs w:val="20"/>
        </w:rPr>
        <w:t>i</w:t>
      </w:r>
    </w:p>
    <w:p>
      <w:pPr>
        <w:pStyle w:val="Heading"/>
        <w:ind w:start="1440" w:end="0"/>
        <w:jc w:val="start"/>
        <w:rPr>
          <w:b w:val="false"/>
          <w:bCs w:val="false"/>
        </w:rPr>
      </w:pPr>
      <w:r>
        <w:rPr>
          <w:b w:val="false"/>
          <w:bCs w:val="false"/>
        </w:rPr>
        <w:t>5.</w:t>
        <w:tab/>
        <w:t>Storage pricing flexibility under the</w:t>
        <w:tab/>
        <w:tab/>
        <w:tab/>
        <w:t>Comprehensive Settlement is</w:t>
      </w:r>
    </w:p>
    <w:p>
      <w:pPr>
        <w:pStyle w:val="Heading"/>
        <w:ind w:start="1440" w:end="0"/>
        <w:jc w:val="start"/>
        <w:rPr>
          <w:b w:val="false"/>
          <w:bCs w:val="false"/>
        </w:rPr>
      </w:pPr>
      <w:r>
        <w:rPr>
          <w:b w:val="false"/>
          <w:bCs w:val="false"/>
        </w:rPr>
        <w:tab/>
        <w:t>reasonable………………………………………………………………………</w:t>
        <w:tab/>
        <w:t>47</w:t>
      </w:r>
    </w:p>
    <w:p>
      <w:pPr>
        <w:pStyle w:val="Heading"/>
        <w:ind w:start="1440" w:end="0"/>
        <w:jc w:val="start"/>
        <w:rPr>
          <w:b w:val="false"/>
          <w:bCs w:val="false"/>
        </w:rPr>
      </w:pPr>
      <w:r>
        <w:rPr>
          <w:b w:val="false"/>
          <w:bCs w:val="false"/>
        </w:rPr>
        <w:t>6.</w:t>
        <w:tab/>
        <w:t>The Comprehensive Settlement’s open</w:t>
      </w:r>
    </w:p>
    <w:p>
      <w:pPr>
        <w:pStyle w:val="Heading"/>
        <w:ind w:start="1440" w:end="0"/>
        <w:jc w:val="start"/>
        <w:rPr>
          <w:b w:val="false"/>
          <w:bCs w:val="false"/>
        </w:rPr>
      </w:pPr>
      <w:r>
        <w:rPr>
          <w:b w:val="false"/>
          <w:bCs w:val="false"/>
        </w:rPr>
        <w:tab/>
        <w:t>seasons for storage offer reasonable</w:t>
      </w:r>
    </w:p>
    <w:p>
      <w:pPr>
        <w:pStyle w:val="Heading"/>
        <w:ind w:start="1440" w:end="0"/>
        <w:jc w:val="start"/>
        <w:rPr>
          <w:b w:val="false"/>
          <w:bCs w:val="false"/>
        </w:rPr>
      </w:pPr>
      <w:r>
        <w:rPr>
          <w:b w:val="false"/>
          <w:bCs w:val="false"/>
        </w:rPr>
        <w:tab/>
        <w:t>packages of storage products………………………</w:t>
        <w:tab/>
        <w:t>50</w:t>
      </w:r>
    </w:p>
    <w:p>
      <w:pPr>
        <w:pStyle w:val="Heading"/>
        <w:jc w:val="start"/>
        <w:rPr>
          <w:b w:val="false"/>
          <w:bCs w:val="false"/>
        </w:rPr>
      </w:pPr>
      <w:r>
        <w:rPr>
          <w:b w:val="false"/>
          <w:bCs w:val="false"/>
        </w:rPr>
        <w:tab/>
        <w:t>C.</w:t>
        <w:tab/>
        <w:t>BALANCING ISSUES……………………………………………………………………</w:t>
        <w:tab/>
        <w:t>52</w:t>
      </w:r>
    </w:p>
    <w:p>
      <w:pPr>
        <w:pStyle w:val="Heading"/>
        <w:jc w:val="start"/>
        <w:rPr>
          <w:b w:val="false"/>
          <w:bCs w:val="false"/>
        </w:rPr>
      </w:pPr>
      <w:r>
        <w:rPr>
          <w:b w:val="false"/>
          <w:bCs w:val="false"/>
        </w:rPr>
        <w:tab/>
        <w:tab/>
        <w:t>1.</w:t>
        <w:tab/>
        <w:t>The Comprehensive Settlement complies</w:t>
      </w:r>
    </w:p>
    <w:p>
      <w:pPr>
        <w:pStyle w:val="Heading"/>
        <w:jc w:val="start"/>
        <w:rPr>
          <w:b w:val="false"/>
          <w:bCs w:val="false"/>
        </w:rPr>
      </w:pPr>
      <w:r>
        <w:rPr>
          <w:b w:val="false"/>
          <w:bCs w:val="false"/>
        </w:rPr>
        <w:tab/>
        <w:tab/>
        <w:tab/>
        <w:t>with the Promising Options decision</w:t>
      </w:r>
    </w:p>
    <w:p>
      <w:pPr>
        <w:pStyle w:val="Heading"/>
        <w:jc w:val="start"/>
        <w:rPr>
          <w:b w:val="false"/>
          <w:bCs w:val="false"/>
        </w:rPr>
      </w:pPr>
      <w:r>
        <w:rPr>
          <w:b w:val="false"/>
          <w:bCs w:val="false"/>
        </w:rPr>
        <w:tab/>
        <w:tab/>
        <w:tab/>
        <w:t>provisions for balancing, and the</w:t>
      </w:r>
    </w:p>
    <w:p>
      <w:pPr>
        <w:pStyle w:val="Heading"/>
        <w:jc w:val="start"/>
        <w:rPr>
          <w:b w:val="false"/>
          <w:bCs w:val="false"/>
        </w:rPr>
      </w:pPr>
      <w:r>
        <w:rPr>
          <w:b w:val="false"/>
          <w:bCs w:val="false"/>
        </w:rPr>
        <w:tab/>
        <w:tab/>
        <w:tab/>
        <w:t>Post-Interim Settlement does not……………</w:t>
        <w:tab/>
        <w:t>52</w:t>
      </w:r>
    </w:p>
    <w:p>
      <w:pPr>
        <w:pStyle w:val="Heading"/>
        <w:jc w:val="start"/>
        <w:rPr>
          <w:b w:val="false"/>
          <w:bCs w:val="false"/>
        </w:rPr>
      </w:pPr>
      <w:r>
        <w:rPr>
          <w:b w:val="false"/>
          <w:bCs w:val="false"/>
        </w:rPr>
        <w:tab/>
        <w:tab/>
        <w:t>2.</w:t>
        <w:tab/>
        <w:t>The Self-Balancing Option is good for</w:t>
      </w:r>
    </w:p>
    <w:p>
      <w:pPr>
        <w:pStyle w:val="Heading"/>
        <w:jc w:val="start"/>
        <w:rPr>
          <w:b w:val="false"/>
          <w:bCs w:val="false"/>
        </w:rPr>
      </w:pPr>
      <w:r>
        <w:rPr>
          <w:b w:val="false"/>
          <w:bCs w:val="false"/>
        </w:rPr>
        <w:tab/>
        <w:tab/>
        <w:tab/>
        <w:t>gas consumers and should be approved…</w:t>
        <w:tab/>
        <w:t>54</w:t>
      </w:r>
    </w:p>
    <w:p>
      <w:pPr>
        <w:pStyle w:val="Heading"/>
        <w:jc w:val="start"/>
        <w:rPr>
          <w:b w:val="false"/>
          <w:bCs w:val="false"/>
        </w:rPr>
      </w:pPr>
      <w:r>
        <w:rPr>
          <w:b w:val="false"/>
          <w:bCs w:val="false"/>
        </w:rPr>
        <w:tab/>
        <w:t>D.</w:t>
        <w:tab/>
        <w:t>OTHER CAPACITY-RELATED ISSUES…………………………………</w:t>
        <w:tab/>
        <w:t>55</w:t>
      </w:r>
    </w:p>
    <w:p>
      <w:pPr>
        <w:pStyle w:val="Heading"/>
        <w:jc w:val="start"/>
        <w:rPr>
          <w:b w:val="false"/>
          <w:bCs w:val="false"/>
        </w:rPr>
      </w:pPr>
      <w:r>
        <w:rPr>
          <w:b w:val="false"/>
          <w:bCs w:val="false"/>
        </w:rPr>
        <w:tab/>
        <w:tab/>
        <w:t>1.</w:t>
        <w:tab/>
        <w:t>The Comprehensive Settlement</w:t>
      </w:r>
    </w:p>
    <w:p>
      <w:pPr>
        <w:pStyle w:val="Heading"/>
        <w:jc w:val="start"/>
        <w:rPr>
          <w:b w:val="false"/>
          <w:bCs w:val="false"/>
        </w:rPr>
      </w:pPr>
      <w:r>
        <w:rPr>
          <w:b w:val="false"/>
          <w:bCs w:val="false"/>
        </w:rPr>
        <w:tab/>
        <w:tab/>
        <w:tab/>
        <w:t>appropriately allows hub services to</w:t>
      </w:r>
    </w:p>
    <w:p>
      <w:pPr>
        <w:pStyle w:val="Heading"/>
        <w:jc w:val="start"/>
        <w:rPr>
          <w:b w:val="false"/>
          <w:bCs w:val="false"/>
        </w:rPr>
      </w:pPr>
      <w:r>
        <w:rPr>
          <w:b w:val="false"/>
          <w:bCs w:val="false"/>
        </w:rPr>
        <w:tab/>
        <w:tab/>
        <w:tab/>
        <w:t>be offered independently by SoCalGas’</w:t>
      </w:r>
    </w:p>
    <w:p>
      <w:pPr>
        <w:pStyle w:val="Heading"/>
        <w:jc w:val="start"/>
        <w:rPr>
          <w:b w:val="false"/>
          <w:bCs w:val="false"/>
        </w:rPr>
      </w:pPr>
      <w:r>
        <w:rPr>
          <w:b w:val="false"/>
          <w:bCs w:val="false"/>
        </w:rPr>
        <w:tab/>
        <w:tab/>
        <w:tab/>
        <w:t>Gas Acquisition and Gas Operations</w:t>
      </w:r>
    </w:p>
    <w:p>
      <w:pPr>
        <w:pStyle w:val="Heading"/>
        <w:jc w:val="start"/>
        <w:rPr>
          <w:b w:val="false"/>
          <w:bCs w:val="false"/>
        </w:rPr>
      </w:pPr>
      <w:r>
        <w:rPr>
          <w:b w:val="false"/>
          <w:bCs w:val="false"/>
        </w:rPr>
        <w:tab/>
        <w:tab/>
        <w:tab/>
        <w:t>Departments……………………………………………………………………</w:t>
        <w:tab/>
        <w:t>55</w:t>
      </w:r>
    </w:p>
    <w:p>
      <w:pPr>
        <w:pStyle w:val="Heading"/>
        <w:jc w:val="start"/>
        <w:rPr>
          <w:b w:val="false"/>
          <w:bCs w:val="false"/>
        </w:rPr>
      </w:pPr>
      <w:r>
        <w:rPr>
          <w:b w:val="false"/>
          <w:bCs w:val="false"/>
        </w:rPr>
        <w:tab/>
        <w:tab/>
        <w:t>2.</w:t>
        <w:tab/>
        <w:t>The Comprehensive Settlement’s pooling</w:t>
      </w:r>
    </w:p>
    <w:p>
      <w:pPr>
        <w:pStyle w:val="Heading"/>
        <w:jc w:val="start"/>
        <w:rPr>
          <w:b w:val="false"/>
          <w:bCs w:val="false"/>
        </w:rPr>
      </w:pPr>
      <w:r>
        <w:rPr>
          <w:b w:val="false"/>
          <w:bCs w:val="false"/>
        </w:rPr>
        <w:tab/>
        <w:tab/>
        <w:tab/>
        <w:t>service is reasonable…………………………………………</w:t>
        <w:tab/>
        <w:t>58</w:t>
        <w:tab/>
      </w:r>
    </w:p>
    <w:p>
      <w:pPr>
        <w:pStyle w:val="Heading"/>
        <w:jc w:val="start"/>
        <w:rPr>
          <w:b w:val="false"/>
          <w:bCs w:val="false"/>
        </w:rPr>
      </w:pPr>
      <w:r>
        <w:rPr>
          <w:b w:val="false"/>
          <w:bCs w:val="false"/>
        </w:rPr>
        <w:tab/>
        <w:tab/>
        <w:t>3.</w:t>
        <w:tab/>
        <w:t>The Comprehensive Settlement’s</w:t>
      </w:r>
    </w:p>
    <w:p>
      <w:pPr>
        <w:pStyle w:val="Heading"/>
        <w:jc w:val="start"/>
        <w:rPr>
          <w:b w:val="false"/>
          <w:bCs w:val="false"/>
        </w:rPr>
      </w:pPr>
      <w:r>
        <w:rPr>
          <w:b w:val="false"/>
          <w:bCs w:val="false"/>
        </w:rPr>
        <w:tab/>
        <w:tab/>
        <w:tab/>
        <w:t>provisions on disclosure of completed</w:t>
      </w:r>
    </w:p>
    <w:p>
      <w:pPr>
        <w:pStyle w:val="Heading"/>
        <w:jc w:val="start"/>
        <w:rPr>
          <w:b w:val="false"/>
          <w:bCs w:val="false"/>
        </w:rPr>
      </w:pPr>
      <w:r>
        <w:rPr>
          <w:b w:val="false"/>
          <w:bCs w:val="false"/>
        </w:rPr>
        <w:tab/>
        <w:tab/>
        <w:tab/>
        <w:t>transactions (contracts) are</w:t>
      </w:r>
    </w:p>
    <w:p>
      <w:pPr>
        <w:pStyle w:val="Heading"/>
        <w:jc w:val="start"/>
        <w:rPr>
          <w:b w:val="false"/>
          <w:bCs w:val="false"/>
        </w:rPr>
      </w:pPr>
      <w:r>
        <w:rPr>
          <w:b w:val="false"/>
          <w:bCs w:val="false"/>
        </w:rPr>
        <w:tab/>
        <w:tab/>
        <w:tab/>
        <w:t>consistent with law………………………………………………</w:t>
        <w:tab/>
        <w:t>59</w:t>
      </w:r>
    </w:p>
    <w:p>
      <w:pPr>
        <w:pStyle w:val="Heading"/>
        <w:jc w:val="start"/>
        <w:rPr>
          <w:b w:val="false"/>
          <w:bCs w:val="false"/>
        </w:rPr>
      </w:pPr>
      <w:r>
        <w:rPr>
          <w:b w:val="false"/>
          <w:bCs w:val="false"/>
        </w:rPr>
        <w:tab/>
        <w:tab/>
        <w:t>4.</w:t>
        <w:tab/>
        <w:t>Implementation costs for capacity-</w:t>
      </w:r>
    </w:p>
    <w:p>
      <w:pPr>
        <w:pStyle w:val="Heading"/>
        <w:jc w:val="start"/>
        <w:rPr>
          <w:b w:val="false"/>
          <w:bCs w:val="false"/>
        </w:rPr>
      </w:pPr>
      <w:r>
        <w:rPr>
          <w:b w:val="false"/>
          <w:bCs w:val="false"/>
        </w:rPr>
        <w:tab/>
        <w:tab/>
        <w:tab/>
        <w:t>related provisions are treated</w:t>
      </w:r>
    </w:p>
    <w:p>
      <w:pPr>
        <w:pStyle w:val="Heading"/>
        <w:jc w:val="start"/>
        <w:rPr>
          <w:b w:val="false"/>
          <w:bCs w:val="false"/>
        </w:rPr>
      </w:pPr>
      <w:r>
        <w:rPr>
          <w:b w:val="false"/>
          <w:bCs w:val="false"/>
        </w:rPr>
        <w:tab/>
        <w:tab/>
        <w:tab/>
        <w:t>reasonably under the Comprehensive</w:t>
      </w:r>
    </w:p>
    <w:p>
      <w:pPr>
        <w:pStyle w:val="Heading"/>
        <w:jc w:val="start"/>
        <w:rPr>
          <w:b w:val="false"/>
          <w:bCs w:val="false"/>
        </w:rPr>
      </w:pPr>
      <w:r>
        <w:rPr>
          <w:b w:val="false"/>
          <w:bCs w:val="false"/>
        </w:rPr>
        <w:tab/>
        <w:tab/>
        <w:tab/>
        <w:t>Settlement………………………………………………………………………</w:t>
        <w:tab/>
        <w:t>61</w:t>
      </w:r>
    </w:p>
    <w:p>
      <w:pPr>
        <w:pStyle w:val="Heading"/>
        <w:jc w:val="start"/>
        <w:rPr>
          <w:b w:val="false"/>
          <w:bCs w:val="false"/>
        </w:rPr>
      </w:pPr>
      <w:r>
        <w:rPr>
          <w:b w:val="false"/>
          <w:bCs w:val="false"/>
        </w:rPr>
        <w:tab/>
        <w:tab/>
        <w:t>5.</w:t>
        <w:tab/>
        <w:t>Shareholder absorption of 25% of ITCS</w:t>
      </w:r>
    </w:p>
    <w:p>
      <w:pPr>
        <w:pStyle w:val="Heading"/>
        <w:jc w:val="start"/>
        <w:rPr>
          <w:b w:val="false"/>
          <w:bCs w:val="false"/>
        </w:rPr>
      </w:pPr>
      <w:r>
        <w:rPr>
          <w:b w:val="false"/>
          <w:bCs w:val="false"/>
        </w:rPr>
        <w:tab/>
        <w:tab/>
        <w:tab/>
        <w:t>costs under the Post-Interim Settlement</w:t>
      </w:r>
    </w:p>
    <w:p>
      <w:pPr>
        <w:pStyle w:val="Heading"/>
        <w:ind w:firstLine="720" w:start="1440" w:end="0"/>
        <w:jc w:val="start"/>
        <w:rPr>
          <w:b w:val="false"/>
          <w:bCs w:val="false"/>
        </w:rPr>
      </w:pPr>
      <w:r>
        <w:rPr>
          <w:b w:val="false"/>
          <w:bCs w:val="false"/>
        </w:rPr>
        <w:t>is unreasonable, contrary to prior</w:t>
      </w:r>
    </w:p>
    <w:p>
      <w:pPr>
        <w:pStyle w:val="Heading"/>
        <w:ind w:firstLine="720" w:start="1440" w:end="0"/>
        <w:jc w:val="start"/>
        <w:rPr>
          <w:b w:val="false"/>
          <w:bCs w:val="false"/>
        </w:rPr>
      </w:pPr>
      <w:r>
        <w:rPr>
          <w:b w:val="false"/>
          <w:bCs w:val="false"/>
        </w:rPr>
        <w:t>Commission decisions and settlements,</w:t>
      </w:r>
    </w:p>
    <w:p>
      <w:pPr>
        <w:pStyle w:val="Heading"/>
        <w:ind w:firstLine="720" w:start="1440" w:end="0"/>
        <w:jc w:val="start"/>
        <w:rPr>
          <w:b w:val="false"/>
          <w:bCs w:val="false"/>
        </w:rPr>
      </w:pPr>
      <w:r>
        <w:rPr>
          <w:b w:val="false"/>
          <w:bCs w:val="false"/>
        </w:rPr>
        <w:t>And unlawful…………………………………………………………………</w:t>
        <w:tab/>
        <w:t>61</w:t>
      </w:r>
    </w:p>
    <w:p>
      <w:pPr>
        <w:pStyle w:val="Heading"/>
        <w:jc w:val="start"/>
        <w:rPr>
          <w:b w:val="false"/>
          <w:bCs w:val="false"/>
        </w:rPr>
      </w:pPr>
      <w:r>
        <w:rPr>
          <w:b w:val="false"/>
          <w:bCs w:val="false"/>
        </w:rPr>
        <w:tab/>
        <w:t>E.</w:t>
        <w:tab/>
        <w:t>The Comprehensive Settlement is preferable</w:t>
      </w:r>
    </w:p>
    <w:p>
      <w:pPr>
        <w:pStyle w:val="Heading"/>
        <w:ind w:firstLine="720" w:start="720" w:end="0"/>
        <w:jc w:val="start"/>
        <w:rPr>
          <w:b w:val="false"/>
          <w:bCs w:val="false"/>
        </w:rPr>
      </w:pPr>
      <w:r>
        <w:rPr>
          <w:b w:val="false"/>
          <w:bCs w:val="false"/>
        </w:rPr>
        <w:t>for retail core customers relative to the</w:t>
      </w:r>
    </w:p>
    <w:p>
      <w:pPr>
        <w:pStyle w:val="Heading"/>
        <w:ind w:start="1440" w:end="0"/>
        <w:jc w:val="start"/>
        <w:rPr>
          <w:b w:val="false"/>
          <w:bCs w:val="false"/>
        </w:rPr>
      </w:pPr>
      <w:r>
        <w:rPr>
          <w:b w:val="false"/>
          <w:bCs w:val="false"/>
        </w:rPr>
        <w:t>post-interim settlement…………………………………………………</w:t>
        <w:tab/>
        <w:t>63</w:t>
      </w:r>
    </w:p>
    <w:p>
      <w:pPr>
        <w:pStyle w:val="Heading"/>
        <w:jc w:val="start"/>
        <w:rPr>
          <w:b w:val="false"/>
          <w:bCs w:val="false"/>
        </w:rPr>
      </w:pPr>
      <w:r>
        <w:rPr>
          <w:b w:val="false"/>
          <w:bCs w:val="false"/>
        </w:rPr>
        <w:tab/>
        <w:tab/>
        <w:t>1.</w:t>
        <w:tab/>
        <w:t>Unbundling transmission and storage</w:t>
      </w:r>
    </w:p>
    <w:p>
      <w:pPr>
        <w:pStyle w:val="Heading"/>
        <w:jc w:val="start"/>
        <w:rPr>
          <w:b w:val="false"/>
          <w:bCs w:val="false"/>
        </w:rPr>
      </w:pPr>
      <w:r>
        <w:rPr>
          <w:b w:val="false"/>
          <w:bCs w:val="false"/>
        </w:rPr>
        <w:tab/>
        <w:tab/>
        <w:tab/>
        <w:t>on this basis of embedded costs does</w:t>
      </w:r>
    </w:p>
    <w:p>
      <w:pPr>
        <w:pStyle w:val="Heading"/>
        <w:jc w:val="start"/>
        <w:rPr>
          <w:b w:val="false"/>
          <w:bCs w:val="false"/>
        </w:rPr>
      </w:pPr>
      <w:r>
        <w:rPr>
          <w:b w:val="false"/>
          <w:bCs w:val="false"/>
        </w:rPr>
        <w:tab/>
        <w:tab/>
        <w:tab/>
        <w:t>not harm core customers……………………………………</w:t>
        <w:tab/>
        <w:t>64</w:t>
      </w:r>
    </w:p>
    <w:p>
      <w:pPr>
        <w:pStyle w:val="Heading"/>
        <w:jc w:val="start"/>
        <w:rPr>
          <w:b w:val="false"/>
          <w:bCs w:val="false"/>
        </w:rPr>
      </w:pPr>
      <w:r>
        <w:rPr>
          <w:b w:val="false"/>
          <w:bCs w:val="false"/>
        </w:rPr>
        <w:tab/>
        <w:tab/>
        <w:t>2.</w:t>
        <w:tab/>
        <w:t>Allocating less storage inventory to</w:t>
      </w:r>
    </w:p>
    <w:p>
      <w:pPr>
        <w:pStyle w:val="Heading"/>
        <w:jc w:val="start"/>
        <w:rPr>
          <w:b w:val="false"/>
          <w:bCs w:val="false"/>
        </w:rPr>
      </w:pPr>
      <w:r>
        <w:rPr>
          <w:b w:val="false"/>
          <w:bCs w:val="false"/>
        </w:rPr>
        <w:tab/>
        <w:tab/>
        <w:tab/>
        <w:t>core customers does not harm them…………</w:t>
        <w:tab/>
        <w:t>66</w:t>
      </w:r>
    </w:p>
    <w:p>
      <w:pPr>
        <w:pStyle w:val="Heading"/>
        <w:jc w:val="start"/>
        <w:rPr>
          <w:b w:val="false"/>
          <w:bCs w:val="false"/>
        </w:rPr>
      </w:pPr>
      <w:r>
        <w:rPr>
          <w:b w:val="false"/>
          <w:bCs w:val="false"/>
        </w:rPr>
      </w:r>
    </w:p>
    <w:p>
      <w:pPr>
        <w:pStyle w:val="Heading"/>
        <w:jc w:val="start"/>
        <w:rPr>
          <w:b w:val="false"/>
          <w:bCs w:val="false"/>
        </w:rPr>
      </w:pPr>
      <w:r>
        <w:rPr>
          <w:b w:val="false"/>
          <w:bCs w:val="false"/>
        </w:rPr>
      </w:r>
    </w:p>
    <w:p>
      <w:pPr>
        <w:pStyle w:val="Heading"/>
        <w:jc w:val="start"/>
        <w:rPr>
          <w:b w:val="false"/>
          <w:bCs w:val="false"/>
        </w:rPr>
      </w:pPr>
      <w:r>
        <w:rPr>
          <w:b w:val="false"/>
          <w:bCs w:val="false"/>
        </w:rPr>
      </w:r>
    </w:p>
    <w:p>
      <w:pPr>
        <w:pStyle w:val="Heading"/>
        <w:jc w:val="start"/>
        <w:rPr>
          <w:b w:val="false"/>
          <w:bCs w:val="false"/>
        </w:rPr>
      </w:pPr>
      <w:r>
        <w:rPr>
          <w:b w:val="false"/>
          <w:bCs w:val="false"/>
        </w:rPr>
      </w:r>
    </w:p>
    <w:p>
      <w:pPr>
        <w:pStyle w:val="Heading"/>
        <w:rPr>
          <w:b w:val="false"/>
          <w:bCs w:val="false"/>
          <w:sz w:val="20"/>
          <w:szCs w:val="20"/>
        </w:rPr>
      </w:pPr>
      <w:r>
        <w:rPr>
          <w:b w:val="false"/>
          <w:bCs w:val="false"/>
          <w:sz w:val="20"/>
          <w:szCs w:val="20"/>
        </w:rPr>
        <w:t>ii</w:t>
      </w:r>
    </w:p>
    <w:p>
      <w:pPr>
        <w:pStyle w:val="Heading"/>
        <w:jc w:val="start"/>
        <w:rPr>
          <w:b w:val="false"/>
          <w:bCs w:val="false"/>
          <w:sz w:val="20"/>
          <w:szCs w:val="20"/>
        </w:rPr>
      </w:pPr>
      <w:r>
        <w:rPr>
          <w:b w:val="false"/>
          <w:bCs w:val="false"/>
          <w:sz w:val="20"/>
          <w:szCs w:val="20"/>
        </w:rPr>
      </w:r>
    </w:p>
    <w:p>
      <w:pPr>
        <w:pStyle w:val="Heading"/>
        <w:jc w:val="start"/>
        <w:rPr>
          <w:b w:val="false"/>
          <w:bCs w:val="false"/>
        </w:rPr>
      </w:pPr>
      <w:r>
        <w:rPr>
          <w:b w:val="false"/>
          <w:bCs w:val="false"/>
        </w:rPr>
      </w:r>
    </w:p>
    <w:p>
      <w:pPr>
        <w:pStyle w:val="Heading"/>
        <w:jc w:val="start"/>
        <w:rPr>
          <w:b w:val="false"/>
          <w:bCs w:val="false"/>
        </w:rPr>
      </w:pPr>
      <w:r>
        <w:rPr>
          <w:b w:val="false"/>
          <w:bCs w:val="false"/>
        </w:rPr>
        <w:tab/>
        <w:tab/>
        <w:t>3.</w:t>
        <w:tab/>
        <w:t>An allocation of 1,000 MMcfd of</w:t>
      </w:r>
    </w:p>
    <w:p>
      <w:pPr>
        <w:pStyle w:val="Heading"/>
        <w:jc w:val="start"/>
        <w:rPr>
          <w:b w:val="false"/>
          <w:bCs w:val="false"/>
        </w:rPr>
      </w:pPr>
      <w:r>
        <w:rPr>
          <w:b w:val="false"/>
          <w:bCs w:val="false"/>
        </w:rPr>
        <w:tab/>
        <w:tab/>
        <w:tab/>
        <w:t>backbone capacity to retail core</w:t>
      </w:r>
    </w:p>
    <w:p>
      <w:pPr>
        <w:pStyle w:val="Heading"/>
        <w:jc w:val="start"/>
        <w:rPr>
          <w:b w:val="false"/>
          <w:bCs w:val="false"/>
        </w:rPr>
      </w:pPr>
      <w:r>
        <w:rPr>
          <w:b w:val="false"/>
          <w:bCs w:val="false"/>
        </w:rPr>
        <w:tab/>
        <w:tab/>
        <w:tab/>
        <w:t>customers under the Comprehensive</w:t>
      </w:r>
    </w:p>
    <w:p>
      <w:pPr>
        <w:pStyle w:val="Heading"/>
        <w:jc w:val="start"/>
        <w:rPr>
          <w:b w:val="false"/>
          <w:bCs w:val="false"/>
        </w:rPr>
      </w:pPr>
      <w:r>
        <w:rPr>
          <w:b w:val="false"/>
          <w:bCs w:val="false"/>
        </w:rPr>
        <w:tab/>
        <w:tab/>
        <w:tab/>
        <w:t>Settlement will not increase the costs</w:t>
      </w:r>
    </w:p>
    <w:p>
      <w:pPr>
        <w:pStyle w:val="Heading"/>
        <w:jc w:val="start"/>
        <w:rPr>
          <w:b w:val="false"/>
          <w:bCs w:val="false"/>
        </w:rPr>
      </w:pPr>
      <w:r>
        <w:rPr>
          <w:b w:val="false"/>
          <w:bCs w:val="false"/>
        </w:rPr>
        <w:tab/>
        <w:tab/>
        <w:tab/>
        <w:t>they pay……………………………………………………………………………</w:t>
        <w:tab/>
        <w:t>67</w:t>
      </w:r>
    </w:p>
    <w:p>
      <w:pPr>
        <w:pStyle w:val="Heading"/>
        <w:jc w:val="start"/>
        <w:rPr>
          <w:b w:val="false"/>
          <w:bCs w:val="false"/>
        </w:rPr>
      </w:pPr>
      <w:r>
        <w:rPr>
          <w:b w:val="false"/>
          <w:bCs w:val="false"/>
        </w:rPr>
        <w:tab/>
        <w:tab/>
        <w:t>4.</w:t>
        <w:tab/>
        <w:t>There is no mismatch of core intrastate</w:t>
      </w:r>
    </w:p>
    <w:p>
      <w:pPr>
        <w:pStyle w:val="Heading"/>
        <w:jc w:val="start"/>
        <w:rPr>
          <w:b w:val="false"/>
          <w:bCs w:val="false"/>
        </w:rPr>
      </w:pPr>
      <w:r>
        <w:rPr>
          <w:b w:val="false"/>
          <w:bCs w:val="false"/>
        </w:rPr>
        <w:tab/>
        <w:tab/>
        <w:tab/>
        <w:t>and interstate capacity that will cause</w:t>
      </w:r>
    </w:p>
    <w:p>
      <w:pPr>
        <w:pStyle w:val="Heading"/>
        <w:jc w:val="start"/>
        <w:rPr>
          <w:b w:val="false"/>
          <w:bCs w:val="false"/>
        </w:rPr>
      </w:pPr>
      <w:r>
        <w:rPr>
          <w:b w:val="false"/>
          <w:bCs w:val="false"/>
        </w:rPr>
        <w:tab/>
        <w:tab/>
        <w:tab/>
        <w:t>increased stranded interstate costs</w:t>
      </w:r>
    </w:p>
    <w:p>
      <w:pPr>
        <w:pStyle w:val="Heading"/>
        <w:jc w:val="start"/>
        <w:rPr>
          <w:b w:val="false"/>
          <w:bCs w:val="false"/>
        </w:rPr>
      </w:pPr>
      <w:r>
        <w:rPr>
          <w:b w:val="false"/>
          <w:bCs w:val="false"/>
        </w:rPr>
        <w:tab/>
        <w:tab/>
        <w:tab/>
        <w:t>under the Comprehensive Settlement………</w:t>
        <w:tab/>
        <w:t>70</w:t>
      </w:r>
    </w:p>
    <w:p>
      <w:pPr>
        <w:pStyle w:val="Heading"/>
        <w:jc w:val="start"/>
        <w:rPr>
          <w:b w:val="false"/>
          <w:bCs w:val="false"/>
        </w:rPr>
      </w:pPr>
      <w:r>
        <w:rPr>
          <w:b w:val="false"/>
          <w:bCs w:val="false"/>
        </w:rPr>
        <w:tab/>
        <w:tab/>
        <w:t>5.</w:t>
        <w:tab/>
        <w:t>Allocation of stranded core interstate</w:t>
      </w:r>
    </w:p>
    <w:p>
      <w:pPr>
        <w:pStyle w:val="Heading"/>
        <w:jc w:val="start"/>
        <w:rPr>
          <w:b w:val="false"/>
          <w:bCs w:val="false"/>
        </w:rPr>
      </w:pPr>
      <w:r>
        <w:rPr>
          <w:b w:val="false"/>
          <w:bCs w:val="false"/>
        </w:rPr>
        <w:tab/>
        <w:tab/>
        <w:tab/>
        <w:t>costs under the Comprehensive</w:t>
      </w:r>
    </w:p>
    <w:p>
      <w:pPr>
        <w:pStyle w:val="Heading"/>
        <w:jc w:val="start"/>
        <w:rPr>
          <w:b w:val="false"/>
          <w:bCs w:val="false"/>
        </w:rPr>
      </w:pPr>
      <w:r>
        <w:rPr>
          <w:b w:val="false"/>
          <w:bCs w:val="false"/>
        </w:rPr>
        <w:tab/>
        <w:tab/>
        <w:tab/>
        <w:t>Settlement will not increase costs to</w:t>
      </w:r>
    </w:p>
    <w:p>
      <w:pPr>
        <w:pStyle w:val="Heading"/>
        <w:jc w:val="start"/>
        <w:rPr>
          <w:b w:val="false"/>
          <w:bCs w:val="false"/>
        </w:rPr>
      </w:pPr>
      <w:r>
        <w:rPr>
          <w:b w:val="false"/>
          <w:bCs w:val="false"/>
        </w:rPr>
        <w:tab/>
        <w:tab/>
        <w:tab/>
        <w:t>The core and is reasonable……………………………</w:t>
        <w:tab/>
        <w:t>73</w:t>
      </w:r>
    </w:p>
    <w:p>
      <w:pPr>
        <w:pStyle w:val="Heading"/>
        <w:jc w:val="start"/>
        <w:rPr>
          <w:b w:val="false"/>
          <w:bCs w:val="false"/>
        </w:rPr>
      </w:pPr>
      <w:r>
        <w:rPr>
          <w:b w:val="false"/>
          <w:bCs w:val="false"/>
        </w:rPr>
        <w:tab/>
        <w:tab/>
        <w:t>6.</w:t>
        <w:tab/>
        <w:t>The Comprehensive Settlement does not</w:t>
      </w:r>
    </w:p>
    <w:p>
      <w:pPr>
        <w:pStyle w:val="Heading"/>
        <w:jc w:val="start"/>
        <w:rPr>
          <w:b w:val="false"/>
          <w:bCs w:val="false"/>
        </w:rPr>
      </w:pPr>
      <w:r>
        <w:rPr>
          <w:b w:val="false"/>
          <w:bCs w:val="false"/>
        </w:rPr>
        <w:tab/>
        <w:tab/>
        <w:tab/>
        <w:t>increase core gas commodity costs by</w:t>
      </w:r>
    </w:p>
    <w:p>
      <w:pPr>
        <w:pStyle w:val="Heading"/>
        <w:jc w:val="start"/>
        <w:rPr>
          <w:b w:val="false"/>
          <w:bCs w:val="false"/>
        </w:rPr>
      </w:pPr>
      <w:r>
        <w:rPr>
          <w:b w:val="false"/>
          <w:bCs w:val="false"/>
        </w:rPr>
        <w:tab/>
        <w:tab/>
        <w:tab/>
        <w:t>setting core storage injection rights</w:t>
      </w:r>
    </w:p>
    <w:p>
      <w:pPr>
        <w:pStyle w:val="Heading"/>
        <w:jc w:val="start"/>
        <w:rPr>
          <w:b w:val="false"/>
          <w:bCs w:val="false"/>
        </w:rPr>
      </w:pPr>
      <w:r>
        <w:rPr>
          <w:b w:val="false"/>
          <w:bCs w:val="false"/>
        </w:rPr>
        <w:tab/>
        <w:tab/>
        <w:tab/>
        <w:t>at 327 MMcfd…………………………………………………………………</w:t>
        <w:tab/>
        <w:t>75</w:t>
      </w:r>
    </w:p>
    <w:p>
      <w:pPr>
        <w:pStyle w:val="Heading"/>
        <w:jc w:val="start"/>
        <w:rPr>
          <w:b w:val="false"/>
          <w:bCs w:val="false"/>
        </w:rPr>
      </w:pPr>
      <w:r>
        <w:rPr>
          <w:b w:val="false"/>
          <w:bCs w:val="false"/>
        </w:rPr>
        <w:tab/>
        <w:tab/>
        <w:t>7.</w:t>
        <w:tab/>
        <w:t>The Comprehensive Settlement benefits</w:t>
      </w:r>
    </w:p>
    <w:p>
      <w:pPr>
        <w:pStyle w:val="Heading"/>
        <w:jc w:val="start"/>
        <w:rPr>
          <w:b w:val="false"/>
          <w:bCs w:val="false"/>
        </w:rPr>
      </w:pPr>
      <w:r>
        <w:rPr>
          <w:b w:val="false"/>
          <w:bCs w:val="false"/>
        </w:rPr>
        <w:tab/>
        <w:tab/>
        <w:tab/>
        <w:t>retail core customers by its</w:t>
      </w:r>
    </w:p>
    <w:p>
      <w:pPr>
        <w:pStyle w:val="Heading"/>
        <w:jc w:val="start"/>
        <w:rPr>
          <w:b w:val="false"/>
          <w:bCs w:val="false"/>
        </w:rPr>
      </w:pPr>
      <w:r>
        <w:rPr>
          <w:b w:val="false"/>
          <w:bCs w:val="false"/>
        </w:rPr>
        <w:tab/>
        <w:tab/>
        <w:tab/>
        <w:t>allocation of intrastate backbone</w:t>
      </w:r>
    </w:p>
    <w:p>
      <w:pPr>
        <w:pStyle w:val="Heading"/>
        <w:jc w:val="start"/>
        <w:rPr>
          <w:b w:val="false"/>
          <w:bCs w:val="false"/>
        </w:rPr>
      </w:pPr>
      <w:r>
        <w:rPr>
          <w:b w:val="false"/>
          <w:bCs w:val="false"/>
        </w:rPr>
        <w:tab/>
        <w:tab/>
        <w:tab/>
        <w:t>capacity at Topock…………………………………………………</w:t>
        <w:tab/>
        <w:t>77</w:t>
      </w:r>
    </w:p>
    <w:p>
      <w:pPr>
        <w:pStyle w:val="Heading"/>
        <w:jc w:val="start"/>
        <w:rPr>
          <w:b w:val="false"/>
          <w:bCs w:val="false"/>
        </w:rPr>
      </w:pPr>
      <w:r>
        <w:rPr>
          <w:b w:val="false"/>
          <w:bCs w:val="false"/>
        </w:rPr>
        <w:tab/>
        <w:tab/>
        <w:t>8.</w:t>
        <w:tab/>
        <w:t>The allocation of the cost of the</w:t>
      </w:r>
    </w:p>
    <w:p>
      <w:pPr>
        <w:pStyle w:val="Heading"/>
        <w:jc w:val="start"/>
        <w:rPr>
          <w:b w:val="false"/>
          <w:bCs w:val="false"/>
        </w:rPr>
      </w:pPr>
      <w:r>
        <w:rPr>
          <w:b w:val="false"/>
          <w:bCs w:val="false"/>
        </w:rPr>
        <w:tab/>
        <w:tab/>
        <w:tab/>
        <w:t>Montebello field under the</w:t>
      </w:r>
    </w:p>
    <w:p>
      <w:pPr>
        <w:pStyle w:val="Heading"/>
        <w:jc w:val="start"/>
        <w:rPr>
          <w:b w:val="false"/>
          <w:bCs w:val="false"/>
        </w:rPr>
      </w:pPr>
      <w:r>
        <w:rPr>
          <w:b w:val="false"/>
          <w:bCs w:val="false"/>
        </w:rPr>
        <w:tab/>
        <w:tab/>
        <w:tab/>
        <w:t>Comprehensive Settlement does not shift</w:t>
      </w:r>
    </w:p>
    <w:p>
      <w:pPr>
        <w:pStyle w:val="Heading"/>
        <w:jc w:val="start"/>
        <w:rPr>
          <w:b w:val="false"/>
          <w:bCs w:val="false"/>
        </w:rPr>
      </w:pPr>
      <w:r>
        <w:rPr>
          <w:b w:val="false"/>
          <w:bCs w:val="false"/>
        </w:rPr>
        <w:tab/>
        <w:tab/>
        <w:tab/>
        <w:t>Total costs to core customers……………………</w:t>
        <w:tab/>
        <w:t>78</w:t>
      </w:r>
    </w:p>
    <w:p>
      <w:pPr>
        <w:pStyle w:val="Heading"/>
        <w:jc w:val="start"/>
        <w:rPr>
          <w:b w:val="false"/>
          <w:bCs w:val="false"/>
        </w:rPr>
      </w:pPr>
      <w:r>
        <w:rPr>
          <w:b w:val="false"/>
          <w:bCs w:val="false"/>
        </w:rPr>
        <w:tab/>
        <w:tab/>
        <w:t>9.</w:t>
        <w:tab/>
        <w:t>When properly revised, TURN Table 3</w:t>
      </w:r>
    </w:p>
    <w:p>
      <w:pPr>
        <w:pStyle w:val="Heading"/>
        <w:jc w:val="start"/>
        <w:rPr>
          <w:b w:val="false"/>
          <w:bCs w:val="false"/>
        </w:rPr>
      </w:pPr>
      <w:r>
        <w:rPr>
          <w:b w:val="false"/>
          <w:bCs w:val="false"/>
        </w:rPr>
        <w:tab/>
        <w:tab/>
        <w:tab/>
        <w:t>shows the Comprehensive Settlement is</w:t>
      </w:r>
    </w:p>
    <w:p>
      <w:pPr>
        <w:pStyle w:val="Heading"/>
        <w:jc w:val="start"/>
        <w:rPr>
          <w:b w:val="false"/>
          <w:bCs w:val="false"/>
        </w:rPr>
      </w:pPr>
      <w:r>
        <w:rPr>
          <w:b w:val="false"/>
          <w:bCs w:val="false"/>
        </w:rPr>
        <w:tab/>
        <w:tab/>
        <w:tab/>
        <w:t>preferable to the Post-Interim</w:t>
      </w:r>
    </w:p>
    <w:p>
      <w:pPr>
        <w:pStyle w:val="Heading"/>
        <w:jc w:val="start"/>
        <w:rPr>
          <w:b w:val="false"/>
          <w:bCs w:val="false"/>
        </w:rPr>
      </w:pPr>
      <w:r>
        <w:rPr>
          <w:b w:val="false"/>
          <w:bCs w:val="false"/>
        </w:rPr>
        <w:tab/>
        <w:tab/>
        <w:tab/>
        <w:t>settlement with respect to cost</w:t>
      </w:r>
    </w:p>
    <w:p>
      <w:pPr>
        <w:pStyle w:val="Heading"/>
        <w:jc w:val="start"/>
        <w:rPr>
          <w:b w:val="false"/>
          <w:bCs w:val="false"/>
        </w:rPr>
      </w:pPr>
      <w:r>
        <w:rPr>
          <w:b w:val="false"/>
          <w:bCs w:val="false"/>
        </w:rPr>
        <w:tab/>
        <w:tab/>
        <w:tab/>
        <w:t>allocation to retail cost customers……</w:t>
        <w:tab/>
        <w:t>78</w:t>
      </w:r>
    </w:p>
    <w:p>
      <w:pPr>
        <w:pStyle w:val="Heading"/>
        <w:jc w:val="start"/>
        <w:rPr>
          <w:b w:val="false"/>
          <w:bCs w:val="false"/>
        </w:rPr>
      </w:pPr>
      <w:r>
        <w:rPr>
          <w:b w:val="false"/>
          <w:bCs w:val="false"/>
        </w:rPr>
      </w:r>
    </w:p>
    <w:p>
      <w:pPr>
        <w:pStyle w:val="Heading"/>
        <w:jc w:val="start"/>
        <w:rPr>
          <w:b w:val="false"/>
          <w:bCs w:val="false"/>
        </w:rPr>
      </w:pPr>
      <w:r>
        <w:rPr>
          <w:b w:val="false"/>
          <w:bCs w:val="false"/>
        </w:rPr>
      </w:r>
    </w:p>
    <w:p>
      <w:pPr>
        <w:pStyle w:val="Heading"/>
        <w:jc w:val="start"/>
        <w:rPr/>
      </w:pPr>
      <w:r>
        <w:rPr/>
        <w:t>II.</w:t>
        <w:tab/>
        <w:t>SOCALGAS CORE INTERSTATE CAPACITY UNBUNDLING</w:t>
      </w:r>
      <w:r>
        <w:rPr>
          <w:b w:val="false"/>
          <w:bCs w:val="false"/>
        </w:rPr>
        <w:t>………</w:t>
        <w:tab/>
        <w:t>80</w:t>
      </w:r>
    </w:p>
    <w:p>
      <w:pPr>
        <w:pStyle w:val="Heading"/>
        <w:jc w:val="start"/>
        <w:rPr>
          <w:b w:val="false"/>
          <w:bCs w:val="false"/>
        </w:rPr>
      </w:pPr>
      <w:r>
        <w:rPr>
          <w:b w:val="false"/>
          <w:bCs w:val="false"/>
        </w:rPr>
      </w:r>
    </w:p>
    <w:p>
      <w:pPr>
        <w:pStyle w:val="Heading"/>
        <w:jc w:val="start"/>
        <w:rPr>
          <w:b w:val="false"/>
          <w:bCs w:val="false"/>
        </w:rPr>
      </w:pPr>
      <w:r>
        <w:rPr>
          <w:b w:val="false"/>
          <w:bCs w:val="false"/>
        </w:rPr>
      </w:r>
    </w:p>
    <w:p>
      <w:pPr>
        <w:pStyle w:val="Heading"/>
        <w:jc w:val="start"/>
        <w:rPr/>
      </w:pPr>
      <w:r>
        <w:rPr/>
        <w:t>III.</w:t>
        <w:tab/>
        <w:t>“RETAIL” PROMISING OPTIONS</w:t>
      </w:r>
      <w:r>
        <w:rPr>
          <w:b w:val="false"/>
          <w:bCs w:val="false"/>
        </w:rPr>
        <w:t>………………………………………………………</w:t>
        <w:tab/>
        <w:t>83</w:t>
      </w:r>
    </w:p>
    <w:p>
      <w:pPr>
        <w:pStyle w:val="Heading"/>
        <w:jc w:val="start"/>
        <w:rPr>
          <w:b w:val="false"/>
          <w:bCs w:val="false"/>
        </w:rPr>
      </w:pPr>
      <w:r>
        <w:rPr>
          <w:b w:val="false"/>
          <w:bCs w:val="false"/>
        </w:rPr>
      </w:r>
    </w:p>
    <w:p>
      <w:pPr>
        <w:pStyle w:val="Heading"/>
        <w:jc w:val="start"/>
        <w:rPr>
          <w:b w:val="false"/>
          <w:bCs w:val="false"/>
        </w:rPr>
      </w:pPr>
      <w:r>
        <w:rPr>
          <w:b w:val="false"/>
          <w:bCs w:val="false"/>
        </w:rPr>
        <w:tab/>
        <w:t>A.</w:t>
        <w:tab/>
        <w:t>Price disclosure on CTA consolidated bills</w:t>
      </w:r>
    </w:p>
    <w:p>
      <w:pPr>
        <w:pStyle w:val="Heading"/>
        <w:jc w:val="start"/>
        <w:rPr>
          <w:b w:val="false"/>
          <w:bCs w:val="false"/>
        </w:rPr>
      </w:pPr>
      <w:r>
        <w:rPr>
          <w:b w:val="false"/>
          <w:bCs w:val="false"/>
        </w:rPr>
        <w:tab/>
        <w:tab/>
        <w:t>is not necessary or consistent with</w:t>
      </w:r>
    </w:p>
    <w:p>
      <w:pPr>
        <w:pStyle w:val="Heading"/>
        <w:jc w:val="start"/>
        <w:rPr>
          <w:b w:val="false"/>
          <w:bCs w:val="false"/>
        </w:rPr>
      </w:pPr>
      <w:r>
        <w:rPr>
          <w:b w:val="false"/>
          <w:bCs w:val="false"/>
        </w:rPr>
        <w:tab/>
        <w:tab/>
        <w:t>electric regulation……………………………………………………………</w:t>
        <w:tab/>
        <w:t>82</w:t>
      </w:r>
    </w:p>
    <w:p>
      <w:pPr>
        <w:pStyle w:val="Heading"/>
        <w:jc w:val="start"/>
        <w:rPr>
          <w:b w:val="false"/>
          <w:bCs w:val="false"/>
        </w:rPr>
      </w:pPr>
      <w:r>
        <w:rPr>
          <w:b w:val="false"/>
          <w:bCs w:val="false"/>
        </w:rPr>
      </w:r>
    </w:p>
    <w:p>
      <w:pPr>
        <w:pStyle w:val="Heading"/>
        <w:jc w:val="start"/>
        <w:rPr>
          <w:b w:val="false"/>
          <w:bCs w:val="false"/>
        </w:rPr>
      </w:pPr>
      <w:r>
        <w:rPr>
          <w:b w:val="false"/>
          <w:bCs w:val="false"/>
        </w:rPr>
      </w:r>
    </w:p>
    <w:p>
      <w:pPr>
        <w:pStyle w:val="Heading"/>
        <w:jc w:val="start"/>
        <w:rPr>
          <w:b w:val="false"/>
          <w:bCs w:val="false"/>
        </w:rPr>
      </w:pPr>
      <w:r>
        <w:rPr>
          <w:b w:val="false"/>
          <w:bCs w:val="false"/>
        </w:rPr>
      </w:r>
    </w:p>
    <w:p>
      <w:pPr>
        <w:pStyle w:val="Heading"/>
        <w:jc w:val="start"/>
        <w:rPr>
          <w:b w:val="false"/>
          <w:bCs w:val="false"/>
        </w:rPr>
      </w:pPr>
      <w:r>
        <w:rPr>
          <w:b w:val="false"/>
          <w:bCs w:val="false"/>
        </w:rPr>
      </w:r>
    </w:p>
    <w:p>
      <w:pPr>
        <w:pStyle w:val="Heading"/>
        <w:rPr>
          <w:b w:val="false"/>
          <w:bCs w:val="false"/>
          <w:sz w:val="20"/>
          <w:szCs w:val="20"/>
        </w:rPr>
      </w:pPr>
      <w:r>
        <w:rPr>
          <w:b w:val="false"/>
          <w:bCs w:val="false"/>
          <w:sz w:val="20"/>
          <w:szCs w:val="20"/>
        </w:rPr>
        <w:t>iii</w:t>
      </w:r>
    </w:p>
    <w:p>
      <w:pPr>
        <w:pStyle w:val="Heading"/>
        <w:jc w:val="start"/>
        <w:rPr>
          <w:b w:val="false"/>
          <w:bCs w:val="false"/>
        </w:rPr>
      </w:pPr>
      <w:r>
        <w:rPr>
          <w:b w:val="false"/>
          <w:bCs w:val="false"/>
        </w:rPr>
        <w:tab/>
        <w:t>B.</w:t>
        <w:tab/>
        <w:t>The Comprehensive Settlement’s provisions</w:t>
      </w:r>
    </w:p>
    <w:p>
      <w:pPr>
        <w:pStyle w:val="Heading"/>
        <w:jc w:val="start"/>
        <w:rPr>
          <w:b w:val="false"/>
          <w:bCs w:val="false"/>
        </w:rPr>
      </w:pPr>
      <w:r>
        <w:rPr>
          <w:b w:val="false"/>
          <w:bCs w:val="false"/>
        </w:rPr>
        <w:tab/>
        <w:tab/>
        <w:t>Are reasonable regarding recovery of the</w:t>
      </w:r>
    </w:p>
    <w:p>
      <w:pPr>
        <w:pStyle w:val="Heading"/>
        <w:jc w:val="start"/>
        <w:rPr>
          <w:b w:val="false"/>
          <w:bCs w:val="false"/>
        </w:rPr>
      </w:pPr>
      <w:r>
        <w:rPr>
          <w:b w:val="false"/>
          <w:bCs w:val="false"/>
        </w:rPr>
        <w:tab/>
        <w:tab/>
        <w:t>Cost to implement retail and core</w:t>
      </w:r>
    </w:p>
    <w:p>
      <w:pPr>
        <w:pStyle w:val="Heading"/>
        <w:jc w:val="start"/>
        <w:rPr>
          <w:b w:val="false"/>
          <w:bCs w:val="false"/>
        </w:rPr>
      </w:pPr>
      <w:r>
        <w:rPr>
          <w:b w:val="false"/>
          <w:bCs w:val="false"/>
        </w:rPr>
        <w:tab/>
        <w:tab/>
        <w:t>Interstate provisions………………………………………………………</w:t>
        <w:tab/>
        <w:t>84</w:t>
      </w:r>
    </w:p>
    <w:p>
      <w:pPr>
        <w:pStyle w:val="Heading"/>
        <w:jc w:val="start"/>
        <w:rPr>
          <w:b w:val="false"/>
          <w:bCs w:val="false"/>
        </w:rPr>
      </w:pPr>
      <w:r>
        <w:rPr>
          <w:b w:val="false"/>
          <w:bCs w:val="false"/>
        </w:rPr>
      </w:r>
    </w:p>
    <w:p>
      <w:pPr>
        <w:pStyle w:val="Heading"/>
        <w:jc w:val="start"/>
        <w:rPr>
          <w:b w:val="false"/>
          <w:bCs w:val="false"/>
        </w:rPr>
      </w:pPr>
      <w:r>
        <w:rPr>
          <w:b w:val="false"/>
          <w:bCs w:val="false"/>
        </w:rPr>
        <w:tab/>
        <w:t>C.</w:t>
        <w:tab/>
        <w:t>Elimination of core subscription</w:t>
      </w:r>
    </w:p>
    <w:p>
      <w:pPr>
        <w:pStyle w:val="Heading"/>
        <w:jc w:val="start"/>
        <w:rPr>
          <w:b w:val="false"/>
          <w:bCs w:val="false"/>
        </w:rPr>
      </w:pPr>
      <w:r>
        <w:rPr>
          <w:b w:val="false"/>
          <w:bCs w:val="false"/>
        </w:rPr>
        <w:tab/>
        <w:tab/>
        <w:t>Implements promising options and is</w:t>
      </w:r>
    </w:p>
    <w:p>
      <w:pPr>
        <w:pStyle w:val="Heading"/>
        <w:jc w:val="start"/>
        <w:rPr>
          <w:b w:val="false"/>
          <w:bCs w:val="false"/>
        </w:rPr>
      </w:pPr>
      <w:r>
        <w:rPr>
          <w:b w:val="false"/>
          <w:bCs w:val="false"/>
        </w:rPr>
        <w:tab/>
        <w:tab/>
        <w:t>Consistent with PG&amp;E…………………………………………………………</w:t>
        <w:tab/>
        <w:t>86</w:t>
      </w:r>
    </w:p>
    <w:p>
      <w:pPr>
        <w:pStyle w:val="Heading"/>
        <w:jc w:val="start"/>
        <w:rPr>
          <w:b w:val="false"/>
          <w:bCs w:val="false"/>
        </w:rPr>
      </w:pPr>
      <w:r>
        <w:rPr>
          <w:b w:val="false"/>
          <w:bCs w:val="false"/>
        </w:rPr>
      </w:r>
    </w:p>
    <w:p>
      <w:pPr>
        <w:pStyle w:val="Heading"/>
        <w:jc w:val="start"/>
        <w:rPr/>
      </w:pPr>
      <w:r>
        <w:rPr/>
        <w:t>CONCLUSION</w:t>
      </w:r>
      <w:r>
        <w:rPr>
          <w:b w:val="false"/>
          <w:bCs w:val="false"/>
        </w:rPr>
        <w:t>………………………………………………………………………………………………………………   87</w:t>
      </w:r>
    </w:p>
    <w:p>
      <w:pPr>
        <w:pStyle w:val="Heading"/>
        <w:jc w:val="start"/>
        <w:rPr>
          <w:b w:val="false"/>
          <w:bCs w:val="false"/>
        </w:rPr>
      </w:pPr>
      <w:r>
        <w:rPr>
          <w:b w:val="false"/>
          <w:bCs w:val="false"/>
        </w:rPr>
      </w:r>
    </w:p>
    <w:p>
      <w:pPr>
        <w:pStyle w:val="Heading"/>
        <w:jc w:val="start"/>
        <w:rPr/>
      </w:pPr>
      <w:r>
        <w:rPr/>
        <w:t>APPENDIX</w:t>
      </w:r>
    </w:p>
    <w:p>
      <w:pPr>
        <w:pStyle w:val="Heading"/>
        <w:rPr/>
      </w:pPr>
      <w:r>
        <w:rPr/>
      </w:r>
    </w:p>
    <w:p>
      <w:pPr>
        <w:pStyle w:val="Heading"/>
        <w:rPr/>
      </w:pPr>
      <w:r>
        <w:rPr/>
      </w:r>
    </w:p>
    <w:p>
      <w:pPr>
        <w:pStyle w:val="Heading"/>
        <w:rPr/>
      </w:pPr>
      <w:r>
        <w:rPr/>
      </w:r>
    </w:p>
    <w:p>
      <w:pPr>
        <w:pStyle w:val="Heading"/>
        <w:rPr/>
      </w:pPr>
      <w:r>
        <w:rPr/>
      </w:r>
    </w:p>
    <w:p>
      <w:pPr>
        <w:pStyle w:val="Heading"/>
        <w:rPr/>
      </w:pPr>
      <w:r>
        <w:rPr/>
      </w:r>
    </w:p>
    <w:p>
      <w:pPr>
        <w:pStyle w:val="Heading"/>
        <w:rPr/>
      </w:pPr>
      <w:r>
        <w:rPr/>
      </w:r>
    </w:p>
    <w:p>
      <w:pPr>
        <w:pStyle w:val="Heading"/>
        <w:rPr/>
      </w:pPr>
      <w:r>
        <w:rPr/>
      </w:r>
    </w:p>
    <w:p>
      <w:pPr>
        <w:pStyle w:val="Heading"/>
        <w:rPr/>
      </w:pPr>
      <w:r>
        <w:rPr/>
      </w:r>
    </w:p>
    <w:p>
      <w:pPr>
        <w:pStyle w:val="Heading"/>
        <w:rPr/>
      </w:pPr>
      <w:r>
        <w:rPr/>
      </w:r>
    </w:p>
    <w:p>
      <w:pPr>
        <w:pStyle w:val="Heading"/>
        <w:rPr/>
      </w:pPr>
      <w:r>
        <w:rPr/>
      </w:r>
    </w:p>
    <w:p>
      <w:pPr>
        <w:pStyle w:val="Heading"/>
        <w:rPr/>
      </w:pPr>
      <w:r>
        <w:rPr/>
      </w:r>
    </w:p>
    <w:p>
      <w:pPr>
        <w:pStyle w:val="Heading"/>
        <w:rPr/>
      </w:pPr>
      <w:r>
        <w:rPr/>
      </w:r>
    </w:p>
    <w:p>
      <w:pPr>
        <w:pStyle w:val="Heading"/>
        <w:rPr/>
      </w:pPr>
      <w:r>
        <w:rPr/>
      </w:r>
    </w:p>
    <w:p>
      <w:pPr>
        <w:pStyle w:val="Heading"/>
        <w:rPr/>
      </w:pPr>
      <w:r>
        <w:rPr/>
      </w:r>
    </w:p>
    <w:p>
      <w:pPr>
        <w:pStyle w:val="Heading"/>
        <w:rPr/>
      </w:pPr>
      <w:r>
        <w:rPr/>
      </w:r>
    </w:p>
    <w:p>
      <w:pPr>
        <w:pStyle w:val="Heading"/>
        <w:rPr/>
      </w:pPr>
      <w:r>
        <w:rPr/>
      </w:r>
    </w:p>
    <w:p>
      <w:pPr>
        <w:pStyle w:val="Heading"/>
        <w:rPr/>
      </w:pPr>
      <w:r>
        <w:rPr/>
      </w:r>
    </w:p>
    <w:p>
      <w:pPr>
        <w:pStyle w:val="Heading"/>
        <w:rPr/>
      </w:pPr>
      <w:r>
        <w:rPr/>
      </w:r>
    </w:p>
    <w:p>
      <w:pPr>
        <w:pStyle w:val="Heading"/>
        <w:rPr/>
      </w:pPr>
      <w:r>
        <w:rPr/>
      </w:r>
    </w:p>
    <w:p>
      <w:pPr>
        <w:pStyle w:val="Heading"/>
        <w:rPr/>
      </w:pPr>
      <w:r>
        <w:rPr/>
      </w:r>
    </w:p>
    <w:p>
      <w:pPr>
        <w:pStyle w:val="Heading"/>
        <w:rPr/>
      </w:pPr>
      <w:r>
        <w:rPr/>
      </w:r>
    </w:p>
    <w:p>
      <w:pPr>
        <w:pStyle w:val="Heading"/>
        <w:rPr/>
      </w:pPr>
      <w:r>
        <w:rPr/>
      </w:r>
    </w:p>
    <w:p>
      <w:pPr>
        <w:pStyle w:val="Heading"/>
        <w:rPr/>
      </w:pPr>
      <w:r>
        <w:rPr/>
      </w:r>
    </w:p>
    <w:p>
      <w:pPr>
        <w:pStyle w:val="Heading"/>
        <w:rPr/>
      </w:pPr>
      <w:r>
        <w:rPr/>
      </w:r>
    </w:p>
    <w:p>
      <w:pPr>
        <w:pStyle w:val="Heading"/>
        <w:rPr/>
      </w:pPr>
      <w:r>
        <w:rPr/>
      </w:r>
    </w:p>
    <w:p>
      <w:pPr>
        <w:pStyle w:val="Heading"/>
        <w:rPr/>
      </w:pPr>
      <w:r>
        <w:rPr/>
      </w:r>
    </w:p>
    <w:p>
      <w:pPr>
        <w:pStyle w:val="Heading"/>
        <w:rPr/>
      </w:pPr>
      <w:r>
        <w:rPr/>
      </w:r>
    </w:p>
    <w:p>
      <w:pPr>
        <w:pStyle w:val="Heading"/>
        <w:rPr/>
      </w:pPr>
      <w:r>
        <w:rPr/>
      </w:r>
    </w:p>
    <w:p>
      <w:pPr>
        <w:pStyle w:val="Heading"/>
        <w:rPr/>
      </w:pPr>
      <w:r>
        <w:rPr/>
      </w:r>
    </w:p>
    <w:p>
      <w:pPr>
        <w:pStyle w:val="Heading"/>
        <w:rPr/>
      </w:pPr>
      <w:r>
        <w:rPr/>
      </w:r>
    </w:p>
    <w:p>
      <w:pPr>
        <w:pStyle w:val="Heading"/>
        <w:rPr/>
      </w:pPr>
      <w:r>
        <w:rPr/>
      </w:r>
    </w:p>
    <w:p>
      <w:pPr>
        <w:pStyle w:val="Heading"/>
        <w:rPr/>
      </w:pPr>
      <w:r>
        <w:rPr/>
      </w:r>
    </w:p>
    <w:p>
      <w:pPr>
        <w:pStyle w:val="Heading"/>
        <w:rPr>
          <w:b w:val="false"/>
          <w:bCs w:val="false"/>
          <w:sz w:val="20"/>
          <w:szCs w:val="20"/>
        </w:rPr>
      </w:pPr>
      <w:r>
        <w:rPr>
          <w:b w:val="false"/>
          <w:bCs w:val="false"/>
          <w:sz w:val="20"/>
          <w:szCs w:val="20"/>
        </w:rPr>
        <w:t>iv</w:t>
      </w:r>
    </w:p>
    <w:p>
      <w:pPr>
        <w:sectPr>
          <w:footerReference w:type="default" r:id="rId4"/>
          <w:footerReference w:type="first" r:id="rId5"/>
          <w:type w:val="nextPage"/>
          <w:pgSz w:w="12240" w:h="15840"/>
          <w:pgMar w:left="1800" w:right="1800" w:gutter="0" w:header="0" w:top="1440" w:footer="720" w:bottom="1440"/>
          <w:pgNumType w:fmt="decimal"/>
          <w:formProt w:val="false"/>
          <w:titlePg/>
          <w:textDirection w:val="lrTb"/>
        </w:sectPr>
        <w:pStyle w:val="Heading"/>
        <w:rPr>
          <w:b w:val="false"/>
          <w:bCs w:val="false"/>
          <w:sz w:val="20"/>
          <w:szCs w:val="20"/>
        </w:rPr>
      </w:pPr>
      <w:r>
        <w:rPr>
          <w:b w:val="false"/>
          <w:bCs w:val="false"/>
          <w:sz w:val="20"/>
          <w:szCs w:val="20"/>
        </w:rPr>
      </w:r>
    </w:p>
    <w:p>
      <w:pPr>
        <w:pStyle w:val="Heading"/>
        <w:jc w:val="start"/>
        <w:rPr>
          <w:b w:val="false"/>
          <w:bCs w:val="false"/>
        </w:rPr>
      </w:pPr>
      <w:r>
        <w:rPr>
          <w:b w:val="false"/>
          <w:bCs w:val="false"/>
        </w:rPr>
      </w:r>
    </w:p>
    <w:p>
      <w:pPr>
        <w:pStyle w:val="Heading"/>
        <w:rPr/>
      </w:pPr>
      <w:r>
        <w:rPr/>
        <w:t>TABLE OF AUTHORITIES</w:t>
      </w:r>
    </w:p>
    <w:p>
      <w:pPr>
        <w:pStyle w:val="Heading"/>
        <w:rPr/>
      </w:pPr>
      <w:r>
        <w:rPr/>
      </w:r>
    </w:p>
    <w:p>
      <w:pPr>
        <w:pStyle w:val="Heading"/>
        <w:rPr/>
      </w:pPr>
      <w:r>
        <w:rPr/>
      </w:r>
    </w:p>
    <w:p>
      <w:pPr>
        <w:pStyle w:val="Subtitle"/>
        <w:tabs>
          <w:tab w:val="clear" w:pos="720"/>
          <w:tab w:val="left" w:pos="7470" w:leader="none"/>
        </w:tabs>
        <w:jc w:val="start"/>
        <w:rPr>
          <w:rFonts w:ascii="Courier New" w:hAnsi="Courier New" w:eastAsia="Courier New" w:cs="Courier New"/>
        </w:rPr>
      </w:pPr>
      <w:r>
        <w:rPr>
          <w:rFonts w:eastAsia="Courier New" w:cs="Courier New" w:ascii="Courier New" w:hAnsi="Courier New"/>
          <w:u w:val="none"/>
        </w:rPr>
        <w:tab/>
      </w:r>
    </w:p>
    <w:p>
      <w:pPr>
        <w:pStyle w:val="Subtitle"/>
        <w:tabs>
          <w:tab w:val="clear" w:pos="720"/>
          <w:tab w:val="left" w:pos="7470" w:leader="none"/>
        </w:tabs>
        <w:jc w:val="start"/>
        <w:rPr/>
      </w:pPr>
      <w:r>
        <w:rPr>
          <w:rFonts w:eastAsia="Courier New" w:cs="Courier New" w:ascii="Courier New" w:hAnsi="Courier New"/>
        </w:rPr>
        <w:t>CPUC DECISIONS</w:t>
      </w:r>
      <w:r>
        <w:rPr>
          <w:rFonts w:eastAsia="Courier New" w:cs="Courier New" w:ascii="Courier New" w:hAnsi="Courier New"/>
          <w:u w:val="none"/>
        </w:rPr>
        <w:tab/>
      </w:r>
      <w:r>
        <w:rPr>
          <w:rFonts w:eastAsia="Courier New" w:cs="Courier New" w:ascii="Courier New" w:hAnsi="Courier New"/>
        </w:rPr>
        <w:t>Page</w:t>
      </w:r>
    </w:p>
    <w:p>
      <w:pPr>
        <w:pStyle w:val="Heading4"/>
        <w:tabs>
          <w:tab w:val="left" w:pos="0" w:leader="none"/>
          <w:tab w:val="right" w:pos="7920" w:leader="dot"/>
        </w:tabs>
        <w:ind w:hanging="0" w:start="0"/>
        <w:rPr>
          <w:rFonts w:ascii="Courier New" w:hAnsi="Courier New" w:eastAsia="Courier New" w:cs="Courier New"/>
        </w:rPr>
      </w:pPr>
      <w:r>
        <w:rPr>
          <w:rFonts w:eastAsia="Courier New" w:cs="Courier New"/>
        </w:rPr>
      </w:r>
    </w:p>
    <w:p>
      <w:pPr>
        <w:pStyle w:val="Heading3"/>
        <w:tabs>
          <w:tab w:val="clear" w:pos="720"/>
          <w:tab w:val="left" w:pos="7200" w:leader="dot"/>
          <w:tab w:val="left" w:pos="7380" w:leader="none"/>
        </w:tabs>
        <w:spacing w:lineRule="auto" w:line="240" w:before="0" w:after="0"/>
        <w:ind w:hanging="0" w:start="0" w:end="-360"/>
        <w:rPr>
          <w:rFonts w:ascii="Courier New" w:hAnsi="Courier New" w:eastAsia="Courier New" w:cs="Courier New"/>
        </w:rPr>
      </w:pPr>
      <w:r>
        <w:rPr>
          <w:rFonts w:eastAsia="Courier New" w:cs="Courier New" w:ascii="Courier New" w:hAnsi="Courier New"/>
        </w:rPr>
        <w:t>D.90-02-016, 35 CPUC2d 196 .</w:t>
        <w:tab/>
        <w:t xml:space="preserve"> 10-13, 18</w:t>
      </w:r>
    </w:p>
    <w:p>
      <w:pPr>
        <w:pStyle w:val="Heading3"/>
        <w:tabs>
          <w:tab w:val="clear" w:pos="720"/>
          <w:tab w:val="left" w:pos="7200" w:leader="dot"/>
          <w:tab w:val="left" w:pos="7380" w:leader="none"/>
        </w:tabs>
        <w:spacing w:lineRule="auto" w:line="240" w:before="0" w:after="0"/>
        <w:ind w:hanging="0" w:start="0" w:end="-360"/>
        <w:rPr>
          <w:rFonts w:ascii="Courier New" w:hAnsi="Courier New" w:eastAsia="Courier New" w:cs="Courier New"/>
        </w:rPr>
      </w:pPr>
      <w:r>
        <w:rPr>
          <w:rFonts w:eastAsia="Courier New" w:cs="Courier New" w:ascii="Courier New" w:hAnsi="Courier New"/>
        </w:rPr>
        <w:t>D.97-06-110, 73 CPUC2d 337</w:t>
        <w:tab/>
        <w:t xml:space="preserve"> 60</w:t>
      </w:r>
    </w:p>
    <w:p>
      <w:pPr>
        <w:pStyle w:val="Normal"/>
        <w:tabs>
          <w:tab w:val="clear" w:pos="720"/>
          <w:tab w:val="left" w:pos="7200" w:leader="dot"/>
          <w:tab w:val="left" w:pos="7380" w:leader="none"/>
        </w:tabs>
        <w:ind w:end="-360"/>
        <w:rPr/>
      </w:pPr>
      <w:r>
        <w:rPr/>
        <w:t>D.97-08-055, 73 CPUC2d 754</w:t>
        <w:tab/>
        <w:tab/>
        <w:t>30</w:t>
      </w:r>
    </w:p>
    <w:p>
      <w:pPr>
        <w:pStyle w:val="Normal"/>
        <w:tabs>
          <w:tab w:val="clear" w:pos="720"/>
          <w:tab w:val="left" w:pos="7200" w:leader="dot"/>
          <w:tab w:val="left" w:pos="7380" w:leader="none"/>
        </w:tabs>
        <w:ind w:end="-360"/>
        <w:rPr/>
      </w:pPr>
      <w:r>
        <w:rPr/>
        <w:t>D.99-07-003</w:t>
        <w:tab/>
        <w:tab/>
        <w:t>4</w:t>
      </w:r>
    </w:p>
    <w:p>
      <w:pPr>
        <w:pStyle w:val="Heading3"/>
        <w:tabs>
          <w:tab w:val="clear" w:pos="720"/>
          <w:tab w:val="left" w:pos="7200" w:leader="dot"/>
          <w:tab w:val="left" w:pos="7380" w:leader="none"/>
        </w:tabs>
        <w:spacing w:lineRule="auto" w:line="240" w:before="0" w:after="0"/>
        <w:ind w:hanging="0" w:start="0" w:end="-360"/>
        <w:rPr>
          <w:rFonts w:ascii="Courier New" w:hAnsi="Courier New" w:eastAsia="Courier New" w:cs="Courier New"/>
        </w:rPr>
      </w:pPr>
      <w:r>
        <w:rPr>
          <w:rFonts w:eastAsia="Courier New" w:cs="Courier New" w:ascii="Courier New" w:hAnsi="Courier New"/>
        </w:rPr>
        <w:t>D.99-07-015</w:t>
        <w:tab/>
        <w:tab/>
      </w:r>
      <w:r>
        <w:rPr>
          <w:rFonts w:eastAsia="Courier New" w:cs="Courier New" w:ascii="Courier New" w:hAnsi="Courier New"/>
          <w:i/>
          <w:iCs/>
        </w:rPr>
        <w:t>passim</w:t>
      </w:r>
    </w:p>
    <w:p>
      <w:pPr>
        <w:pStyle w:val="Heading3"/>
        <w:tabs>
          <w:tab w:val="clear" w:pos="720"/>
          <w:tab w:val="left" w:pos="7200" w:leader="dot"/>
          <w:tab w:val="left" w:pos="7380" w:leader="none"/>
        </w:tabs>
        <w:spacing w:lineRule="auto" w:line="240" w:before="0" w:after="0"/>
        <w:ind w:hanging="0" w:start="0" w:end="-360"/>
        <w:rPr>
          <w:rFonts w:ascii="Courier New" w:hAnsi="Courier New" w:eastAsia="Courier New" w:cs="Courier New"/>
        </w:rPr>
      </w:pPr>
      <w:r>
        <w:rPr>
          <w:rFonts w:eastAsia="Courier New" w:cs="Courier New" w:ascii="Courier New" w:hAnsi="Courier New"/>
        </w:rPr>
        <w:t>D.00-02-024</w:t>
        <w:tab/>
        <w:tab/>
        <w:t>38</w:t>
      </w:r>
    </w:p>
    <w:p>
      <w:pPr>
        <w:pStyle w:val="Heading3"/>
        <w:tabs>
          <w:tab w:val="clear" w:pos="720"/>
          <w:tab w:val="left" w:pos="7200" w:leader="dot"/>
          <w:tab w:val="left" w:pos="7380" w:leader="none"/>
        </w:tabs>
        <w:spacing w:lineRule="auto" w:line="240" w:before="0" w:after="0"/>
        <w:ind w:hanging="0" w:start="0" w:end="-900"/>
        <w:rPr>
          <w:rFonts w:ascii="Courier New" w:hAnsi="Courier New" w:eastAsia="Courier New" w:cs="Courier New"/>
        </w:rPr>
      </w:pPr>
      <w:r>
        <w:rPr>
          <w:rFonts w:eastAsia="Courier New" w:cs="Courier New" w:ascii="Courier New" w:hAnsi="Courier New"/>
        </w:rPr>
        <w:t>D.00-04-060</w:t>
        <w:tab/>
        <w:tab/>
        <w:t>31, 46</w:t>
      </w:r>
    </w:p>
    <w:p>
      <w:pPr>
        <w:pStyle w:val="Heading3"/>
        <w:tabs>
          <w:tab w:val="clear" w:pos="720"/>
          <w:tab w:val="left" w:pos="7200" w:leader="dot"/>
          <w:tab w:val="left" w:pos="7380" w:leader="none"/>
        </w:tabs>
        <w:spacing w:lineRule="auto" w:line="240" w:before="0" w:after="0"/>
        <w:ind w:hanging="7380" w:start="7380" w:end="-360"/>
        <w:rPr>
          <w:rFonts w:ascii="Courier New" w:hAnsi="Courier New" w:eastAsia="Courier New" w:cs="Courier New"/>
        </w:rPr>
      </w:pPr>
      <w:r>
        <w:rPr>
          <w:rFonts w:eastAsia="Courier New" w:cs="Courier New" w:ascii="Courier New" w:hAnsi="Courier New"/>
        </w:rPr>
        <w:t>D.00-05-049</w:t>
        <w:tab/>
        <w:tab/>
        <w:t>5, 72, 59, 87</w:t>
      </w:r>
    </w:p>
    <w:p>
      <w:pPr>
        <w:pStyle w:val="Normal"/>
        <w:rPr>
          <w:rFonts w:ascii="Courier New" w:hAnsi="Courier New" w:eastAsia="Courier New" w:cs="Courier New"/>
        </w:rPr>
      </w:pPr>
      <w:r>
        <w:rPr>
          <w:rFonts w:eastAsia="Courier New" w:cs="Courier New"/>
        </w:rPr>
      </w:r>
    </w:p>
    <w:p>
      <w:pPr>
        <w:pStyle w:val="Heading3"/>
        <w:tabs>
          <w:tab w:val="clear" w:pos="720"/>
          <w:tab w:val="right" w:pos="6912" w:leader="none"/>
          <w:tab w:val="right" w:pos="8280" w:leader="dot"/>
        </w:tabs>
        <w:ind w:hanging="0" w:start="0"/>
        <w:rPr>
          <w:rFonts w:ascii="Courier New" w:hAnsi="Courier New" w:eastAsia="Courier New" w:cs="Courier New"/>
          <w:b/>
          <w:bCs/>
          <w:u w:val="single"/>
        </w:rPr>
      </w:pPr>
      <w:r>
        <w:rPr>
          <w:rFonts w:eastAsia="Courier New" w:cs="Courier New" w:ascii="Courier New" w:hAnsi="Courier New"/>
          <w:b/>
          <w:bCs/>
          <w:u w:val="single"/>
        </w:rPr>
        <w:t>STATUTES</w:t>
      </w:r>
    </w:p>
    <w:p>
      <w:pPr>
        <w:pStyle w:val="Normal"/>
        <w:tabs>
          <w:tab w:val="left" w:pos="720" w:leader="none"/>
          <w:tab w:val="left" w:pos="7200" w:leader="dot"/>
          <w:tab w:val="left" w:pos="7387" w:leader="none"/>
        </w:tabs>
        <w:rPr>
          <w:rFonts w:ascii="Courier New" w:hAnsi="Courier New" w:eastAsia="Courier New" w:cs="Courier New"/>
          <w:b/>
          <w:bCs/>
          <w:u w:val="single"/>
        </w:rPr>
      </w:pPr>
      <w:r>
        <w:rPr>
          <w:rFonts w:eastAsia="Courier New" w:cs="Courier New"/>
          <w:b/>
          <w:bCs/>
          <w:u w:val="single"/>
        </w:rPr>
      </w:r>
    </w:p>
    <w:p>
      <w:pPr>
        <w:pStyle w:val="Normal"/>
        <w:tabs>
          <w:tab w:val="left" w:pos="720" w:leader="none"/>
          <w:tab w:val="left" w:pos="7200" w:leader="dot"/>
          <w:tab w:val="left" w:pos="7387" w:leader="none"/>
        </w:tabs>
        <w:rPr/>
      </w:pPr>
      <w:r>
        <w:rPr/>
        <w:t>Cal. Public Utilities Code §489</w:t>
        <w:tab/>
        <w:tab/>
        <w:t>60</w:t>
      </w:r>
    </w:p>
    <w:p>
      <w:pPr>
        <w:pStyle w:val="Normal"/>
        <w:tabs>
          <w:tab w:val="left" w:pos="720" w:leader="none"/>
          <w:tab w:val="left" w:pos="7200" w:leader="dot"/>
          <w:tab w:val="left" w:pos="7387" w:leader="none"/>
        </w:tabs>
        <w:rPr>
          <w:b/>
          <w:bCs/>
        </w:rPr>
      </w:pPr>
      <w:r>
        <w:rPr/>
        <w:t>Cal. Public Utilities Code §489.1</w:t>
        <w:tab/>
        <w:tab/>
        <w:t>60</w:t>
      </w:r>
    </w:p>
    <w:p>
      <w:pPr>
        <w:pStyle w:val="Heading"/>
        <w:jc w:val="start"/>
        <w:rPr>
          <w:b w:val="false"/>
          <w:bCs w:val="false"/>
        </w:rPr>
      </w:pPr>
      <w:r>
        <w:rPr>
          <w:b w:val="false"/>
          <w:bCs w:val="false"/>
        </w:rPr>
      </w:r>
    </w:p>
    <w:p>
      <w:pPr>
        <w:pStyle w:val="Heading"/>
        <w:jc w:val="start"/>
        <w:rPr/>
      </w:pPr>
      <w:r>
        <w:rPr/>
      </w:r>
    </w:p>
    <w:p>
      <w:pPr>
        <w:pStyle w:val="Heading"/>
        <w:jc w:val="start"/>
        <w:rPr/>
      </w:pPr>
      <w:r>
        <w:rPr/>
      </w:r>
    </w:p>
    <w:p>
      <w:pPr>
        <w:pStyle w:val="Heading"/>
        <w:jc w:val="start"/>
        <w:rPr/>
      </w:pPr>
      <w:r>
        <w:rPr/>
      </w:r>
    </w:p>
    <w:p>
      <w:pPr>
        <w:pStyle w:val="Heading"/>
        <w:jc w:val="start"/>
        <w:rPr/>
      </w:pPr>
      <w:r>
        <w:rPr/>
      </w:r>
    </w:p>
    <w:p>
      <w:pPr>
        <w:pStyle w:val="Heading"/>
        <w:jc w:val="start"/>
        <w:rPr/>
      </w:pPr>
      <w:r>
        <w:rPr/>
      </w:r>
    </w:p>
    <w:p>
      <w:pPr>
        <w:pStyle w:val="Heading"/>
        <w:jc w:val="start"/>
        <w:rPr/>
      </w:pPr>
      <w:r>
        <w:rPr/>
      </w:r>
    </w:p>
    <w:p>
      <w:pPr>
        <w:pStyle w:val="Heading"/>
        <w:jc w:val="start"/>
        <w:rPr/>
      </w:pPr>
      <w:r>
        <w:rPr/>
      </w:r>
    </w:p>
    <w:p>
      <w:pPr>
        <w:pStyle w:val="Heading"/>
        <w:jc w:val="start"/>
        <w:rPr/>
      </w:pPr>
      <w:r>
        <w:rPr/>
      </w:r>
    </w:p>
    <w:p>
      <w:pPr>
        <w:pStyle w:val="Heading"/>
        <w:jc w:val="start"/>
        <w:rPr/>
      </w:pPr>
      <w:r>
        <w:rPr/>
      </w:r>
    </w:p>
    <w:p>
      <w:pPr>
        <w:pStyle w:val="Heading"/>
        <w:jc w:val="start"/>
        <w:rPr/>
      </w:pPr>
      <w:r>
        <w:rPr/>
      </w:r>
    </w:p>
    <w:p>
      <w:pPr>
        <w:pStyle w:val="Heading"/>
        <w:jc w:val="start"/>
        <w:rPr/>
      </w:pPr>
      <w:r>
        <w:rPr/>
      </w:r>
    </w:p>
    <w:p>
      <w:pPr>
        <w:pStyle w:val="Heading"/>
        <w:jc w:val="start"/>
        <w:rPr/>
      </w:pPr>
      <w:r>
        <w:rPr/>
      </w:r>
    </w:p>
    <w:p>
      <w:pPr>
        <w:pStyle w:val="Heading"/>
        <w:jc w:val="start"/>
        <w:rPr/>
      </w:pPr>
      <w:r>
        <w:rPr/>
      </w:r>
    </w:p>
    <w:p>
      <w:pPr>
        <w:pStyle w:val="Heading"/>
        <w:jc w:val="start"/>
        <w:rPr/>
      </w:pPr>
      <w:r>
        <w:rPr/>
      </w:r>
    </w:p>
    <w:p>
      <w:pPr>
        <w:pStyle w:val="Heading"/>
        <w:jc w:val="start"/>
        <w:rPr/>
      </w:pPr>
      <w:r>
        <w:rPr/>
      </w:r>
    </w:p>
    <w:p>
      <w:pPr>
        <w:pStyle w:val="Heading"/>
        <w:jc w:val="start"/>
        <w:rPr/>
      </w:pPr>
      <w:r>
        <w:rPr/>
      </w:r>
    </w:p>
    <w:p>
      <w:pPr>
        <w:pStyle w:val="Heading"/>
        <w:jc w:val="start"/>
        <w:rPr/>
      </w:pPr>
      <w:r>
        <w:rPr/>
      </w:r>
    </w:p>
    <w:p>
      <w:pPr>
        <w:pStyle w:val="Heading"/>
        <w:jc w:val="start"/>
        <w:rPr/>
      </w:pPr>
      <w:r>
        <w:rPr/>
      </w:r>
    </w:p>
    <w:p>
      <w:pPr>
        <w:pStyle w:val="Heading"/>
        <w:jc w:val="start"/>
        <w:rPr/>
      </w:pPr>
      <w:r>
        <w:rPr/>
      </w:r>
    </w:p>
    <w:p>
      <w:pPr>
        <w:pStyle w:val="Heading"/>
        <w:jc w:val="start"/>
        <w:rPr/>
      </w:pPr>
      <w:r>
        <w:rPr/>
      </w:r>
    </w:p>
    <w:p>
      <w:pPr>
        <w:pStyle w:val="Heading"/>
        <w:jc w:val="start"/>
        <w:rPr/>
      </w:pPr>
      <w:r>
        <w:rPr/>
      </w:r>
    </w:p>
    <w:p>
      <w:pPr>
        <w:pStyle w:val="Heading"/>
        <w:jc w:val="start"/>
        <w:rPr/>
      </w:pPr>
      <w:r>
        <w:rPr/>
      </w:r>
    </w:p>
    <w:p>
      <w:pPr>
        <w:pStyle w:val="Heading"/>
        <w:jc w:val="start"/>
        <w:rPr/>
      </w:pPr>
      <w:r>
        <w:rPr/>
      </w:r>
    </w:p>
    <w:p>
      <w:pPr>
        <w:sectPr>
          <w:footerReference w:type="default" r:id="rId6"/>
          <w:footerReference w:type="first" r:id="rId7"/>
          <w:type w:val="nextPage"/>
          <w:pgSz w:w="12240" w:h="15840"/>
          <w:pgMar w:left="1800" w:right="1800" w:gutter="0" w:header="0" w:top="1440" w:footer="0" w:bottom="1440"/>
          <w:pgNumType w:fmt="decimal"/>
          <w:formProt w:val="false"/>
          <w:titlePg/>
          <w:textDirection w:val="lrTb"/>
        </w:sectPr>
        <w:pStyle w:val="Heading"/>
        <w:rPr>
          <w:b w:val="false"/>
          <w:bCs w:val="false"/>
          <w:sz w:val="20"/>
          <w:szCs w:val="20"/>
        </w:rPr>
      </w:pPr>
      <w:r>
        <w:rPr>
          <w:b w:val="false"/>
          <w:bCs w:val="false"/>
          <w:sz w:val="20"/>
          <w:szCs w:val="20"/>
        </w:rPr>
        <w:t>v</w:t>
      </w:r>
    </w:p>
    <w:p>
      <w:pPr>
        <w:pStyle w:val="Heading"/>
        <w:rPr/>
      </w:pPr>
      <w:r>
        <w:rPr/>
        <w:t>BEFORE THE</w:t>
      </w:r>
    </w:p>
    <w:p>
      <w:pPr>
        <w:pStyle w:val="Normal"/>
        <w:jc w:val="center"/>
        <w:rPr>
          <w:b/>
          <w:bCs/>
        </w:rPr>
      </w:pPr>
      <w:r>
        <w:rPr>
          <w:b/>
          <w:bCs/>
        </w:rPr>
        <w:t>PUBLIC UTILITIES COMMISSION</w:t>
      </w:r>
    </w:p>
    <w:p>
      <w:pPr>
        <w:pStyle w:val="Normal"/>
        <w:jc w:val="center"/>
        <w:rPr>
          <w:b/>
          <w:bCs/>
        </w:rPr>
      </w:pPr>
      <w:r>
        <w:rPr>
          <w:b/>
          <w:bCs/>
        </w:rPr>
        <w:t>OF THE</w:t>
      </w:r>
    </w:p>
    <w:p>
      <w:pPr>
        <w:pStyle w:val="Normal"/>
        <w:jc w:val="center"/>
        <w:rPr>
          <w:b/>
          <w:bCs/>
        </w:rPr>
      </w:pPr>
      <w:r>
        <w:rPr>
          <w:b/>
          <w:bCs/>
        </w:rPr>
        <w:t>STATE OF CALIFORNIA</w:t>
      </w:r>
    </w:p>
    <w:p>
      <w:pPr>
        <w:pStyle w:val="Normal"/>
        <w:jc w:val="center"/>
        <w:rPr>
          <w:b/>
          <w:bCs/>
        </w:rPr>
      </w:pPr>
      <w:r>
        <w:rPr>
          <w:b/>
          <w:bCs/>
        </w:rPr>
      </w:r>
    </w:p>
    <w:p>
      <w:pPr>
        <w:pStyle w:val="Normal"/>
        <w:jc w:val="center"/>
        <w:rPr>
          <w:b/>
          <w:bCs/>
        </w:rPr>
      </w:pPr>
      <w:r>
        <w:rPr>
          <w:b/>
          <w:bCs/>
        </w:rPr>
      </w:r>
    </w:p>
    <w:p>
      <w:pPr>
        <w:pStyle w:val="BodyText"/>
        <w:spacing w:lineRule="auto" w:line="240"/>
        <w:rPr>
          <w:rFonts w:ascii="Courier New" w:hAnsi="Courier New" w:eastAsia="Courier New" w:cs="Courier New"/>
          <w:b/>
          <w:bCs/>
        </w:rPr>
      </w:pPr>
      <w:r>
        <w:rPr>
          <w:rFonts w:eastAsia="Courier New" w:cs="Courier New" w:ascii="Courier New" w:hAnsi="Courier New"/>
          <w:b/>
          <w:bCs/>
        </w:rPr>
        <w:t>Investigation on the Commission’s Own Motion  )</w:t>
      </w:r>
    </w:p>
    <w:p>
      <w:pPr>
        <w:pStyle w:val="BodyText"/>
        <w:spacing w:lineRule="auto" w:line="240"/>
        <w:rPr>
          <w:rFonts w:ascii="Courier New" w:hAnsi="Courier New" w:eastAsia="Courier New" w:cs="Courier New"/>
          <w:b/>
          <w:bCs/>
        </w:rPr>
      </w:pPr>
      <w:r>
        <w:rPr>
          <w:rFonts w:eastAsia="Courier New" w:cs="Courier New" w:ascii="Courier New" w:hAnsi="Courier New"/>
          <w:b/>
          <w:bCs/>
        </w:rPr>
        <w:t>To Consider the Costs and Benefits of Various ) I.99-07-003</w:t>
      </w:r>
    </w:p>
    <w:p>
      <w:pPr>
        <w:pStyle w:val="BodyText"/>
        <w:spacing w:lineRule="auto" w:line="240"/>
        <w:rPr>
          <w:rFonts w:ascii="Courier New" w:hAnsi="Courier New" w:eastAsia="Courier New" w:cs="Courier New"/>
          <w:b/>
          <w:bCs/>
        </w:rPr>
      </w:pPr>
      <w:r>
        <w:rPr>
          <w:rFonts w:eastAsia="Courier New" w:cs="Courier New" w:ascii="Courier New" w:hAnsi="Courier New"/>
          <w:b/>
          <w:bCs/>
        </w:rPr>
        <w:t>Promising Revisions to the Regulatory and     )</w:t>
      </w:r>
    </w:p>
    <w:p>
      <w:pPr>
        <w:pStyle w:val="BodyText"/>
        <w:spacing w:lineRule="auto" w:line="240"/>
        <w:rPr>
          <w:rFonts w:ascii="Courier New" w:hAnsi="Courier New" w:eastAsia="Courier New" w:cs="Courier New"/>
          <w:b/>
          <w:bCs/>
        </w:rPr>
      </w:pPr>
      <w:r>
        <w:rPr>
          <w:rFonts w:eastAsia="Courier New" w:cs="Courier New" w:ascii="Courier New" w:hAnsi="Courier New"/>
          <w:b/>
          <w:bCs/>
        </w:rPr>
        <w:t>Market Structure Governing California’s       )</w:t>
      </w:r>
    </w:p>
    <w:p>
      <w:pPr>
        <w:pStyle w:val="BodyText"/>
        <w:spacing w:lineRule="auto" w:line="240"/>
        <w:rPr>
          <w:rFonts w:ascii="Courier New" w:hAnsi="Courier New" w:eastAsia="Courier New" w:cs="Courier New"/>
          <w:b/>
          <w:bCs/>
        </w:rPr>
      </w:pPr>
      <w:r>
        <w:rPr>
          <w:rFonts w:eastAsia="Courier New" w:cs="Courier New" w:ascii="Courier New" w:hAnsi="Courier New"/>
          <w:b/>
          <w:bCs/>
        </w:rPr>
        <w:t>Natural Gas Industry and to Report to the     )</w:t>
      </w:r>
    </w:p>
    <w:p>
      <w:pPr>
        <w:pStyle w:val="BodyText"/>
        <w:spacing w:lineRule="auto" w:line="240"/>
        <w:rPr>
          <w:rFonts w:ascii="Courier New" w:hAnsi="Courier New" w:eastAsia="Courier New" w:cs="Courier New"/>
          <w:b/>
          <w:bCs/>
        </w:rPr>
      </w:pPr>
      <w:r>
        <w:rPr>
          <w:rFonts w:eastAsia="Courier New" w:cs="Courier New" w:ascii="Courier New" w:hAnsi="Courier New"/>
          <w:b/>
          <w:bCs/>
        </w:rPr>
        <w:t>California Legislature on the Commission’s    )</w:t>
      </w:r>
    </w:p>
    <w:p>
      <w:pPr>
        <w:pStyle w:val="BodyText"/>
        <w:spacing w:lineRule="auto" w:line="240"/>
        <w:rPr>
          <w:rFonts w:ascii="Courier New" w:hAnsi="Courier New" w:eastAsia="Courier New" w:cs="Courier New"/>
          <w:b/>
          <w:bCs/>
        </w:rPr>
      </w:pPr>
      <w:r>
        <w:rPr>
          <w:rFonts w:eastAsia="Courier New" w:cs="Courier New" w:ascii="Courier New" w:hAnsi="Courier New"/>
          <w:b/>
          <w:bCs/>
        </w:rPr>
        <w:t>Findings                                      )</w:t>
      </w:r>
    </w:p>
    <w:p>
      <w:pPr>
        <w:pStyle w:val="BodyText"/>
        <w:spacing w:lineRule="auto" w:line="240"/>
        <w:rPr>
          <w:rFonts w:ascii="Courier New" w:hAnsi="Courier New" w:eastAsia="Courier New" w:cs="Courier New"/>
          <w:b/>
          <w:bCs/>
        </w:rPr>
      </w:pPr>
      <w:r>
        <w:rPr>
          <w:rFonts w:eastAsia="Courier New" w:cs="Courier New" w:ascii="Courier New" w:hAnsi="Courier New"/>
          <w:b/>
          <w:bCs/>
        </w:rPr>
        <w:t>______________________________________________)</w:t>
      </w:r>
    </w:p>
    <w:p>
      <w:pPr>
        <w:pStyle w:val="Footer"/>
        <w:tabs>
          <w:tab w:val="clear" w:pos="4320"/>
          <w:tab w:val="clear" w:pos="8640"/>
        </w:tabs>
        <w:rPr>
          <w:rFonts w:ascii="Courier New" w:hAnsi="Courier New" w:eastAsia="Courier New" w:cs="Courier New"/>
          <w:b/>
          <w:bCs/>
        </w:rPr>
      </w:pPr>
      <w:r>
        <w:rPr>
          <w:rFonts w:eastAsia="Courier New" w:cs="Courier New"/>
          <w:b/>
          <w:bCs/>
        </w:rPr>
      </w:r>
    </w:p>
    <w:p>
      <w:pPr>
        <w:pStyle w:val="Normal"/>
        <w:spacing w:lineRule="auto" w:line="360"/>
        <w:rPr/>
      </w:pPr>
      <w:r>
        <w:rPr/>
      </w:r>
    </w:p>
    <w:p>
      <w:pPr>
        <w:pStyle w:val="Normal"/>
        <w:jc w:val="center"/>
        <w:rPr>
          <w:b/>
          <w:bCs/>
        </w:rPr>
      </w:pPr>
      <w:r>
        <w:rPr>
          <w:b/>
          <w:bCs/>
        </w:rPr>
        <w:t>REPLY BRIEF OF</w:t>
      </w:r>
    </w:p>
    <w:p>
      <w:pPr>
        <w:pStyle w:val="Normal"/>
        <w:jc w:val="center"/>
        <w:rPr>
          <w:b/>
          <w:bCs/>
        </w:rPr>
      </w:pPr>
      <w:r>
        <w:rPr>
          <w:b/>
          <w:bCs/>
        </w:rPr>
        <w:t>SOUTHERN CALIFORNIA GAS COMPANY (U 904 G) AND</w:t>
      </w:r>
    </w:p>
    <w:p>
      <w:pPr>
        <w:pStyle w:val="Normal"/>
        <w:jc w:val="center"/>
        <w:rPr>
          <w:b/>
          <w:bCs/>
        </w:rPr>
      </w:pPr>
      <w:r>
        <w:rPr>
          <w:b/>
          <w:bCs/>
        </w:rPr>
        <w:t>SAN DIEGO GAS &amp; ELECTRIC COMPANY (U 902 G)</w:t>
      </w:r>
    </w:p>
    <w:p>
      <w:pPr>
        <w:pStyle w:val="Normal"/>
        <w:rPr>
          <w:b/>
          <w:bCs/>
        </w:rPr>
      </w:pPr>
      <w:r>
        <w:rPr>
          <w:b/>
          <w:bCs/>
        </w:rPr>
      </w:r>
    </w:p>
    <w:p>
      <w:pPr>
        <w:pStyle w:val="Normal"/>
        <w:jc w:val="center"/>
        <w:rPr>
          <w:b/>
          <w:bCs/>
        </w:rPr>
      </w:pPr>
      <w:r>
        <w:rPr>
          <w:b/>
          <w:bCs/>
        </w:rPr>
      </w:r>
    </w:p>
    <w:p>
      <w:pPr>
        <w:pStyle w:val="Normal"/>
        <w:jc w:val="center"/>
        <w:rPr/>
      </w:pPr>
      <w:r>
        <w:rPr/>
      </w:r>
    </w:p>
    <w:p>
      <w:pPr>
        <w:pStyle w:val="Normal"/>
        <w:spacing w:lineRule="auto" w:line="360"/>
        <w:rPr/>
      </w:pPr>
      <w:r>
        <w:rPr/>
        <w:tab/>
      </w:r>
    </w:p>
    <w:p>
      <w:pPr>
        <w:pStyle w:val="Normal"/>
        <w:spacing w:lineRule="auto" w:line="360"/>
        <w:ind w:firstLine="720" w:end="0"/>
        <w:rPr/>
      </w:pPr>
      <w:r>
        <w:rPr/>
        <w:t>Pursuant to the schedule adopted by ALJ Biren, Southern California Gas Company (“SoCalGas”) and San Diego Gas &amp; Electric Company (“SDG&amp;E”) hereby file their joint reply brief with respect to restructuring of the natural gas industry, especially as applied to the service they provide.</w:t>
      </w:r>
    </w:p>
    <w:p>
      <w:pPr>
        <w:pStyle w:val="Normal"/>
        <w:spacing w:lineRule="auto" w:line="360"/>
        <w:rPr/>
      </w:pPr>
      <w:r>
        <w:rPr/>
      </w:r>
    </w:p>
    <w:p>
      <w:pPr>
        <w:pStyle w:val="Heading1"/>
        <w:tabs>
          <w:tab w:val="clear" w:pos="720"/>
          <w:tab w:val="left" w:pos="0" w:leader="none"/>
        </w:tabs>
        <w:ind w:hanging="720" w:start="720"/>
        <w:rPr/>
      </w:pPr>
      <w:r>
        <w:rPr/>
        <w:t>INTRODUCTION</w:t>
      </w:r>
    </w:p>
    <w:p>
      <w:pPr>
        <w:pStyle w:val="Normal"/>
        <w:rPr/>
      </w:pPr>
      <w:r>
        <w:rPr/>
      </w:r>
    </w:p>
    <w:p>
      <w:pPr>
        <w:pStyle w:val="Normal"/>
        <w:rPr/>
      </w:pPr>
      <w:r>
        <w:rPr/>
      </w:r>
    </w:p>
    <w:p>
      <w:pPr>
        <w:pStyle w:val="Normal"/>
        <w:spacing w:lineRule="auto" w:line="360"/>
        <w:rPr/>
      </w:pPr>
      <w:r>
        <w:rPr/>
        <w:tab/>
        <w:t>The opening briefs filed on July 10 demonstrate that the Comprehensive Settlement will substantially benefit consumers, is the only proposal consistent with the options identified by the Commission as most promising, and is the only proposal that will provide consistency in gas markets between northern and southern California.</w:t>
      </w:r>
    </w:p>
    <w:p>
      <w:pPr>
        <w:pStyle w:val="Normal"/>
        <w:spacing w:lineRule="auto" w:line="360"/>
        <w:rPr/>
      </w:pPr>
      <w:r>
        <w:rPr/>
        <w:tab/>
        <w:t>SoCalGas and SDG&amp;E will rebut in detail later in this reply brief the criticisms of the Comprehensive Settlement made in the opening briefs of those parties who oppose it.  However, this introduction summarizes some of the key reasons why criticisms of the Comprehensive Settlement are without merit.</w:t>
      </w:r>
    </w:p>
    <w:p>
      <w:pPr>
        <w:pStyle w:val="Normal"/>
        <w:spacing w:lineRule="auto" w:line="360"/>
        <w:ind w:firstLine="720" w:end="0"/>
        <w:rPr/>
      </w:pPr>
      <w:r>
        <w:rPr/>
        <w:t>Given the events of this summer in the California wholesale electric generation market, it is obvious the Commission is going to consider their significance for further restructuring in the gas industry.  In particular, the question will be asked whether these events provide reasons not to proceed with the promising options identified by Commission in its July 1999 decision and with the Comprehensive Settlement that would implement essentially all of those promising options.</w:t>
      </w:r>
    </w:p>
    <w:p>
      <w:pPr>
        <w:pStyle w:val="Normal"/>
        <w:spacing w:lineRule="auto" w:line="360"/>
        <w:ind w:firstLine="720" w:end="0"/>
        <w:rPr/>
      </w:pPr>
      <w:r>
        <w:rPr/>
        <w:t>A reasoned consideration of events on the electric side, however, does not justify scrapping the gas promising options.  Regardless of one’s views on the way in which the electric industry has been restructured, the gas promising options and the Comprehensive Settlement are in the public interest.</w:t>
      </w:r>
    </w:p>
    <w:p>
      <w:pPr>
        <w:pStyle w:val="Normal"/>
        <w:spacing w:lineRule="auto" w:line="360"/>
        <w:rPr/>
      </w:pPr>
      <w:r>
        <w:rPr/>
        <w:tab/>
        <w:t>The changes that the gas promising options and the Comprehensive Settlement would make in the structure of the gas industry in southern California are simply not comparable to the changes in the electric industry that were adopted in Commission decisions in the 1990’s and in AB 1890.  Electric restructuring involved the divestiture of most of the utilities’ generation assets.  By contrast, the gas promising options and the Comprehensive Settlement do not involve the divestiture of any assets by SoCalGas (or SDG&amp;E).</w:t>
      </w:r>
      <w:r>
        <w:rPr>
          <w:rStyle w:val="FootnoteCharacters"/>
          <w:rStyle w:val="FootnoteReference"/>
        </w:rPr>
        <w:footnoteReference w:id="2"/>
      </w:r>
      <w:r>
        <w:rPr/>
        <w:t xml:space="preserve">  Electric restructuring ended price regulation of power generation.  By contrast, the Comprehensive Settlement guarantees that gas consumers can obtain both backbone transmission and storage services from SoCalGas in open seasons at rates based on earning a regulated rate of return on original cost less accumulated depreciation (i.e., embedded cost).  Reliability of the supply of electricity has been an issue this summer.  By contrast, the Comprehensive Settlement will do nothing to impair the reliability of gas service to consumers.  In fact, it will provide greater certainty in the gas marketplace by creating defined, firm capacity rights that can be held by market participants on SoCalGas’ system.</w:t>
      </w:r>
    </w:p>
    <w:p>
      <w:pPr>
        <w:pStyle w:val="Normal"/>
        <w:spacing w:lineRule="auto" w:line="360"/>
        <w:rPr/>
      </w:pPr>
      <w:r>
        <w:rPr/>
        <w:tab/>
        <w:t>In addition to mirroring the two PG&amp;E settlements in this proceeding that the Commission has already approved this year, the Comprehensive Settlement also adopts important provisions that mirror the PG&amp;E Gas Accord approved by the Commission in 1997.  The Gas Accord provisions have now been in effect long enough for the Commission to judge its effects.  The record is clear that the Gas Accord has had net beneficial effects for northern California gas consumers, and has not produced the dire results that a few parties claim the Comprehensive Settlement will produce.</w:t>
      </w:r>
    </w:p>
    <w:p>
      <w:pPr>
        <w:pStyle w:val="Normal"/>
        <w:spacing w:lineRule="auto" w:line="360"/>
        <w:rPr/>
      </w:pPr>
      <w:r>
        <w:rPr/>
        <w:tab/>
        <w:t xml:space="preserve">This summer’s events in the electric market do have one important message for the Commission in this proceeding.  SCGC is “crying poor” in this case, claiming that the backbone transmission reservation charges in the Comprehensive Settlement will force the closure of its members’ electric plants and endanger electric reliability.  The events of this summer highlight just how ludicrous this claim is.  Electric generators in California, including those in SoCalGas’ service territory, are being </w:t>
      </w:r>
      <w:r>
        <w:rPr>
          <w:u w:val="single"/>
        </w:rPr>
        <w:t>very</w:t>
      </w:r>
      <w:r>
        <w:rPr/>
        <w:t xml:space="preserve"> well-compensated in the wholesale generation market.  There is no danger that the Comprehensive Settlement’s very modest reservation charges could drive needed generation out of existence considering the very substantial prices they are receiving for the power they generate.</w:t>
      </w:r>
    </w:p>
    <w:p>
      <w:pPr>
        <w:pStyle w:val="Normal"/>
        <w:spacing w:lineRule="auto" w:line="360"/>
        <w:rPr/>
      </w:pPr>
      <w:r>
        <w:rPr/>
        <w:tab/>
        <w:t>SCGC’s opening brief expresses deep hostility toward gas marketers and the enhanced opportunities they would have to participate in the southern California marketplace under the Commission’s promising options and the Comprehensive Settlement.</w:t>
      </w:r>
      <w:r>
        <w:rPr>
          <w:rStyle w:val="FootnoteCharacters"/>
          <w:rStyle w:val="FootnoteReference"/>
        </w:rPr>
        <w:footnoteReference w:id="3"/>
      </w:r>
      <w:r>
        <w:rPr/>
        <w:t xml:space="preserve">  This hostility is odd, considering the participation of the SCGC members in selling power in the unregulated wholesale market.  It is even odder considering the SCGC membership includes Reliant and Williams, who are major electric (and gas) marketers.  Indeed, in the California electric generation market, Williams a marketer and not an owner of generation; it markets the output of the plants AES owns.</w:t>
      </w:r>
    </w:p>
    <w:p>
      <w:pPr>
        <w:pStyle w:val="Normal"/>
        <w:spacing w:lineRule="auto" w:line="360"/>
        <w:rPr/>
      </w:pPr>
      <w:r>
        <w:rPr/>
        <w:tab/>
        <w:t xml:space="preserve">The opening briefs filed by opponents of the Comprehensive Settlement studiously avoid the fact that the Comprehensive Settlement is the </w:t>
      </w:r>
      <w:r>
        <w:rPr>
          <w:u w:val="single"/>
        </w:rPr>
        <w:t>only</w:t>
      </w:r>
      <w:r>
        <w:rPr/>
        <w:t xml:space="preserve"> proposal in this proceeding that would implement the options the Commission identified as promising for southern California in D.99-07-003.  Indeed, in attacking the Comprehensive Settlement, its opponents really are attacking the policy preferences stated by the Commission last year.</w:t>
      </w:r>
    </w:p>
    <w:p>
      <w:pPr>
        <w:pStyle w:val="Normal"/>
        <w:spacing w:lineRule="auto" w:line="360"/>
        <w:rPr/>
      </w:pPr>
      <w:r>
        <w:rPr/>
        <w:tab/>
        <w:t>Opponents of the Comprehensive Settlement have also ignored the extent to which the Comprehensive Settlement is consistent (and the Post-Interim Settlement is not consistent) with the January 28, 2000 settlement for PG&amp;E that was approved by the Commission in D.00-05-049.</w:t>
      </w:r>
    </w:p>
    <w:p>
      <w:pPr>
        <w:pStyle w:val="Normal"/>
        <w:spacing w:lineRule="auto" w:line="360"/>
        <w:rPr/>
      </w:pPr>
      <w:r>
        <w:rPr/>
        <w:tab/>
        <w:t>All five of the current members of the Commission voted to approve the PG&amp;E January 28 settlement.  Indeed, this settlement was signed and supported by TURN, by Aglet, and by the Northern California Generation Coalition.</w:t>
      </w:r>
      <w:r>
        <w:rPr>
          <w:rStyle w:val="FootnoteCharacters"/>
          <w:rStyle w:val="FootnoteReference"/>
        </w:rPr>
        <w:footnoteReference w:id="4"/>
      </w:r>
      <w:r>
        <w:rPr/>
        <w:t xml:space="preserve">  Criticisms of the parts of the Comprehensive Settlement that specifically mirror the PG&amp;E January 28 settlement are particularly disingenuous and should be disregarded by the Commission.  Those provisions of the Comprehensive Settlement include the self-balancing option, fees for imbalance and backbone trading on an ALTRA platform (with the utility retaining a portion of those fees), and unbundling utility storage including for reliability for CTAs</w:t>
      </w:r>
      <w:r>
        <w:rPr>
          <w:rStyle w:val="FootnoteCharacters"/>
          <w:rStyle w:val="FootnoteReference"/>
        </w:rPr>
        <w:footnoteReference w:id="5"/>
      </w:r>
      <w:r>
        <w:rPr/>
        <w:t>.</w:t>
      </w:r>
    </w:p>
    <w:p>
      <w:pPr>
        <w:pStyle w:val="Normal"/>
        <w:spacing w:lineRule="auto" w:line="360"/>
        <w:ind w:firstLine="720" w:end="0"/>
        <w:rPr/>
      </w:pPr>
      <w:r>
        <w:rPr/>
        <w:t>SCGC claims (SCGC brief at p.3) that the Commission should reject the Comprehensive Settlement because “[p]erhaps the most adversely affected community would be San Diego, which needs the new generation facilities that would tend to be discouraged by the anti-generation features of the Comprehensive Settlement.”  SCGC’s alleged concern for the San Diego region is remarkably disingenuous.  In the recently-decided SoCalGas/SDG&amp;E BCAPs, it was clear that SCGC was concerned about keeping gas rates for generators in SoCalGas’ service territory lower than for those in SDG&amp;E’s service territory.  SCGC’s new-found solicitude for generators in the San Diego area is unconvincingly convenient.</w:t>
      </w:r>
    </w:p>
    <w:p>
      <w:pPr>
        <w:pStyle w:val="Normal"/>
        <w:spacing w:lineRule="auto" w:line="360"/>
        <w:ind w:firstLine="720" w:end="0"/>
        <w:rPr/>
      </w:pPr>
      <w:r>
        <w:rPr/>
        <w:t xml:space="preserve">SCGC cites several times a recent article by Leitzinger and Ostrover, </w:t>
      </w:r>
      <w:r>
        <w:rPr>
          <w:u w:val="single"/>
        </w:rPr>
        <w:t>What Can We Expect From Restructuring In Natural Gas Distribution</w:t>
      </w:r>
      <w:r>
        <w:rPr/>
        <w:t>, 21 Energy Law Journal 51 (2000), implying that somehow that it provides a basis for rejecting the Comprehensive Settlement.  Dr. Leitzinger was an expert witness for SoCalGas and SDG&amp;E in the Market Conditions phase of the predecessor proceeding, R.98-01-011.</w:t>
      </w:r>
    </w:p>
    <w:p>
      <w:pPr>
        <w:pStyle w:val="Normal"/>
        <w:spacing w:lineRule="auto" w:line="360"/>
        <w:rPr/>
      </w:pPr>
      <w:r>
        <w:rPr/>
        <w:tab/>
        <w:t xml:space="preserve">SoCalGas and SDG&amp;E cordially invite the Commission to read this article.  In no way does it provide any basis for rejecting the Commission’s promising options.  Indeed, it describes these options, including creating firm, tradable intrastate transmission rights as “modest” changes (p.73).  It does discuss the ways in which </w:t>
      </w:r>
      <w:r>
        <w:rPr>
          <w:u w:val="single"/>
        </w:rPr>
        <w:t>each</w:t>
      </w:r>
      <w:r>
        <w:rPr/>
        <w:t xml:space="preserve"> segment of the natural gas market can be expected to try to influence regulatory restructuring to the advantage of that segment.  While SCGC cites only its discussion of marketers, one might as easily cite its discussion of the interests and motives of large gas consumers like SCGC’s members, at p.74:</w:t>
      </w:r>
    </w:p>
    <w:p>
      <w:pPr>
        <w:pStyle w:val="Normal"/>
        <w:rPr/>
      </w:pPr>
      <w:r>
        <w:rPr/>
      </w:r>
    </w:p>
    <w:p>
      <w:pPr>
        <w:pStyle w:val="Document"/>
        <w:tabs>
          <w:tab w:val="clear" w:pos="0"/>
          <w:tab w:val="left" w:pos="440" w:leader="none"/>
          <w:tab w:val="left" w:pos="620" w:leader="none"/>
          <w:tab w:val="left" w:pos="720" w:leader="none"/>
        </w:tabs>
        <w:ind w:hanging="0" w:start="720" w:end="720"/>
        <w:jc w:val="start"/>
        <w:rPr>
          <w:rFonts w:ascii="Courier New" w:hAnsi="Courier New" w:eastAsia="Courier New" w:cs="Courier New"/>
          <w:sz w:val="24"/>
          <w:szCs w:val="24"/>
        </w:rPr>
      </w:pPr>
      <w:r>
        <w:rPr>
          <w:rFonts w:eastAsia="Courier New" w:cs="Courier New" w:ascii="Courier New" w:hAnsi="Courier New"/>
          <w:sz w:val="24"/>
          <w:szCs w:val="24"/>
        </w:rPr>
        <w:t>The parties who stand to gain from more competitive storage and delivery options are large customers, who can benefit from more flexibility in storage/delivery options, and unregulated storage/pipeline competitors.  The problem here is with incentives.  Large customers do have an interest in creating more competition.  But they also have an interest in maintaining the status quo for services that are provided under regulation at bargain rates and in changing those rules in their favor.  Hence, their restructuring agendas reflect a combination of steps genuinely designed to promote competition and other efforts to protect or — even better, favorably modify — the good deals regulation already provides.</w:t>
      </w:r>
    </w:p>
    <w:p>
      <w:pPr>
        <w:pStyle w:val="Normal"/>
        <w:tabs>
          <w:tab w:val="left" w:pos="720" w:leader="none"/>
        </w:tabs>
        <w:ind w:start="720" w:end="720"/>
        <w:rPr>
          <w:rFonts w:ascii="Courier New" w:hAnsi="Courier New" w:eastAsia="Courier New" w:cs="Courier New"/>
          <w:sz w:val="24"/>
          <w:szCs w:val="24"/>
        </w:rPr>
      </w:pPr>
      <w:r>
        <w:rPr>
          <w:rFonts w:eastAsia="Courier New" w:cs="Courier New"/>
          <w:sz w:val="24"/>
          <w:szCs w:val="24"/>
        </w:rPr>
      </w:r>
    </w:p>
    <w:p>
      <w:pPr>
        <w:pStyle w:val="Normal"/>
        <w:tabs>
          <w:tab w:val="left" w:pos="720" w:leader="none"/>
        </w:tabs>
        <w:ind w:start="720" w:end="720"/>
        <w:rPr/>
      </w:pPr>
      <w:r>
        <w:rPr/>
      </w:r>
    </w:p>
    <w:p>
      <w:pPr>
        <w:pStyle w:val="Normal"/>
        <w:spacing w:lineRule="auto" w:line="360"/>
        <w:ind w:firstLine="720" w:end="0"/>
        <w:rPr/>
      </w:pPr>
      <w:r>
        <w:rPr/>
        <w:tab/>
        <w:t>Furthermore, if SCGC wants to hold Dr. Leitzinger’s opinions up as persuasive, SoCalGas and SDG&amp;E recommend to the Commission a review of his market conditions testimony.  His testimony directly contradicts SCGC positions in this case, such as SCGC’s claim that SoCalGas has market power in storage service that it could exercise if the Comprehensive Settlement were approved.</w:t>
      </w:r>
    </w:p>
    <w:p>
      <w:pPr>
        <w:pStyle w:val="Normal"/>
        <w:spacing w:lineRule="auto" w:line="360"/>
        <w:ind w:firstLine="720" w:end="0"/>
        <w:rPr/>
      </w:pPr>
      <w:r>
        <w:rPr/>
      </w:r>
    </w:p>
    <w:p>
      <w:pPr>
        <w:pStyle w:val="Normal"/>
        <w:spacing w:lineRule="auto" w:line="360"/>
        <w:ind w:firstLine="720" w:end="0"/>
        <w:rPr/>
      </w:pPr>
      <w:r>
        <w:rPr/>
      </w:r>
    </w:p>
    <w:p>
      <w:pPr>
        <w:pStyle w:val="Heading1"/>
        <w:numPr>
          <w:ilvl w:val="0"/>
          <w:numId w:val="2"/>
        </w:numPr>
        <w:tabs>
          <w:tab w:val="clear" w:pos="720"/>
          <w:tab w:val="left" w:pos="0" w:leader="none"/>
        </w:tabs>
        <w:spacing w:lineRule="auto" w:line="360"/>
        <w:ind w:hanging="720" w:start="1440" w:end="0"/>
        <w:rPr/>
      </w:pPr>
      <w:r>
        <w:rPr/>
        <w:t>CAPACITY-RELATED MATTERS</w:t>
      </w:r>
    </w:p>
    <w:p>
      <w:pPr>
        <w:pStyle w:val="Normal"/>
        <w:rPr/>
      </w:pPr>
      <w:r>
        <w:rPr/>
      </w:r>
    </w:p>
    <w:p>
      <w:pPr>
        <w:pStyle w:val="Heading5"/>
        <w:numPr>
          <w:ilvl w:val="0"/>
          <w:numId w:val="3"/>
        </w:numPr>
        <w:tabs>
          <w:tab w:val="left" w:pos="0" w:leader="none"/>
          <w:tab w:val="left" w:pos="855" w:leader="none"/>
        </w:tabs>
        <w:ind w:firstLine="135" w:start="585"/>
        <w:rPr/>
      </w:pPr>
      <w:r>
        <w:rPr/>
        <w:t>INTRASTATE TRANSMISSION</w:t>
      </w:r>
    </w:p>
    <w:p>
      <w:pPr>
        <w:pStyle w:val="Normal"/>
        <w:tabs>
          <w:tab w:val="clear" w:pos="720"/>
          <w:tab w:val="left" w:pos="0" w:leader="none"/>
        </w:tabs>
        <w:ind w:firstLine="720" w:end="0"/>
        <w:rPr/>
      </w:pPr>
      <w:r>
        <w:rPr/>
      </w:r>
    </w:p>
    <w:p>
      <w:pPr>
        <w:pStyle w:val="Normal"/>
        <w:tabs>
          <w:tab w:val="clear" w:pos="720"/>
          <w:tab w:val="left" w:pos="-90" w:leader="none"/>
        </w:tabs>
        <w:ind w:hanging="1980" w:start="1980" w:end="0"/>
        <w:rPr>
          <w:b/>
          <w:bCs/>
        </w:rPr>
      </w:pPr>
      <w:r>
        <w:rPr>
          <w:b/>
          <w:bCs/>
        </w:rPr>
        <w:tab/>
        <w:t>1.  A system of backbone transmission rights on the SoCalGas system is workable and not precluded by the physical nature of SoCalGas’ system.</w:t>
      </w:r>
    </w:p>
    <w:p>
      <w:pPr>
        <w:pStyle w:val="Normal"/>
        <w:tabs>
          <w:tab w:val="clear" w:pos="720"/>
          <w:tab w:val="left" w:pos="0" w:leader="none"/>
        </w:tabs>
        <w:spacing w:lineRule="auto" w:line="360"/>
        <w:ind w:firstLine="720" w:end="0"/>
        <w:rPr/>
      </w:pPr>
      <w:r>
        <w:rPr/>
        <w:tab/>
      </w:r>
    </w:p>
    <w:p>
      <w:pPr>
        <w:pStyle w:val="Normal"/>
        <w:tabs>
          <w:tab w:val="left" w:pos="720" w:leader="none"/>
        </w:tabs>
        <w:spacing w:lineRule="auto" w:line="360"/>
        <w:rPr/>
      </w:pPr>
      <w:r>
        <w:rPr/>
        <w:tab/>
        <w:t>SCGC argues in its opening brief (pp.17-19) that a system of firm backbone capacity rights is inappropriate because the SoCalGas system operates more as a “grid” than PG&amp;E or than interstate pipelines.  This argument is an exercise in non-sequitur.  There is no dispute over the fact that SoCalGas’ ability to move gas away from individual receipt points on a firm basis is equal to the firm capacities identified in the Comprehensive Settlement.  There was no dispute about SoCalGas’ ability to move those fixed quantities on a firm basis to storage or what is defined in the Comprehensive Settlement as local transmission.  The “grid” nature of SoCalGas’ system allows SoCalGas to deliver the firm quantities from each receipt point to any of its storage fields or any point of interconnection with local transmission.  Thus, the structure of the Comprehensive Settlement fits the physical nature of the SoCalGas system.  It results in a workable system for allocating limited capacity to deliver gas by receipt point, as is the purpose of such a system.</w:t>
      </w:r>
    </w:p>
    <w:p>
      <w:pPr>
        <w:pStyle w:val="Normal"/>
        <w:tabs>
          <w:tab w:val="clear" w:pos="720"/>
          <w:tab w:val="left" w:pos="0" w:leader="none"/>
        </w:tabs>
        <w:spacing w:lineRule="auto" w:line="360"/>
        <w:ind w:firstLine="720" w:end="0"/>
        <w:rPr/>
      </w:pPr>
      <w:r>
        <w:rPr/>
      </w:r>
    </w:p>
    <w:p>
      <w:pPr>
        <w:pStyle w:val="Normal"/>
        <w:numPr>
          <w:ilvl w:val="0"/>
          <w:numId w:val="4"/>
        </w:numPr>
        <w:tabs>
          <w:tab w:val="clear" w:pos="720"/>
          <w:tab w:val="left" w:pos="0" w:leader="none"/>
        </w:tabs>
        <w:ind w:hanging="2615" w:start="4055" w:end="0"/>
        <w:rPr>
          <w:b/>
          <w:bCs/>
        </w:rPr>
      </w:pPr>
      <w:r>
        <w:rPr>
          <w:b/>
          <w:bCs/>
        </w:rPr>
        <w:t>The SoCalGas intrastate transmission system is not a “bottleneck”</w:t>
      </w:r>
    </w:p>
    <w:p>
      <w:pPr>
        <w:pStyle w:val="Normal"/>
        <w:spacing w:lineRule="auto" w:line="360"/>
        <w:ind w:start="1440" w:end="0"/>
        <w:rPr/>
      </w:pPr>
      <w:r>
        <w:rPr/>
      </w:r>
    </w:p>
    <w:p>
      <w:pPr>
        <w:pStyle w:val="Normal"/>
        <w:numPr>
          <w:ilvl w:val="0"/>
          <w:numId w:val="5"/>
        </w:numPr>
        <w:tabs>
          <w:tab w:val="clear" w:pos="720"/>
          <w:tab w:val="left" w:pos="0" w:leader="none"/>
        </w:tabs>
        <w:ind w:hanging="3200" w:start="5230" w:end="0"/>
        <w:rPr>
          <w:b/>
          <w:bCs/>
        </w:rPr>
      </w:pPr>
      <w:r>
        <w:rPr>
          <w:b/>
          <w:bCs/>
        </w:rPr>
        <w:t>SoCalGas is not “transmission poor”</w:t>
      </w:r>
    </w:p>
    <w:p>
      <w:pPr>
        <w:pStyle w:val="Normal"/>
        <w:numPr>
          <w:ilvl w:val="0"/>
          <w:numId w:val="0"/>
        </w:numPr>
        <w:ind w:hanging="0" w:start="2030" w:end="0"/>
        <w:rPr>
          <w:b/>
          <w:bCs/>
        </w:rPr>
      </w:pPr>
      <w:r>
        <w:rPr>
          <w:b/>
          <w:bCs/>
        </w:rPr>
      </w:r>
    </w:p>
    <w:p>
      <w:pPr>
        <w:pStyle w:val="BodyText2"/>
        <w:numPr>
          <w:ilvl w:val="0"/>
          <w:numId w:val="0"/>
        </w:numPr>
        <w:tabs>
          <w:tab w:val="left" w:pos="720" w:leader="none"/>
        </w:tabs>
        <w:spacing w:lineRule="auto" w:line="360"/>
        <w:ind w:hanging="0" w:start="0"/>
        <w:rPr/>
      </w:pPr>
      <w:r>
        <w:rPr/>
        <w:t>SCGC argues in its opening brief (p.19) that the SoCalGas system is “rich” in storage but “poor” in transmission compared to PG&amp;E.  Somehow, SCGC turns this alleged difference into a basis for not adopting a system of backbone transmission rights for SoCalGas.  SCGC’s factual predicate is simply wrong.  It is certainly true that SoCalGas has considerably more storage than PG&amp;E relative to the markets each serves.  This fact means that SoCalGas customers have more options to use storage in lieu of backbone transmission, especially at times of peak demand, than do PG&amp;E customers.  This would imply that there is less reason to be concerned about a backbone transmission “bottleneck” on SoCalGas than on PG&amp;E.</w:t>
      </w:r>
    </w:p>
    <w:p>
      <w:pPr>
        <w:pStyle w:val="BodyText2"/>
        <w:numPr>
          <w:ilvl w:val="0"/>
          <w:numId w:val="0"/>
        </w:numPr>
        <w:spacing w:lineRule="auto" w:line="360"/>
        <w:ind w:hanging="0" w:start="0"/>
        <w:rPr/>
      </w:pPr>
      <w:r>
        <w:rPr/>
        <w:t>However, SCGC is just plain wrong in arguing that SoCalGas is transmission “poor” relative to PG&amp;E.  As a first piece of evidence, the Commission can look at the fact that the PG&amp;E Gas Accord used an 87.5% backbone load factor for PG&amp;E (which admittedly included a slight “stretch factor” over Commission-adopted BCAP throughput forecasts for PG&amp;E), while the recent BCAP throughput forecast adopted by the Commission for SoCalGas is a 77% load factor (78% including fuel), and the Comprehensive Settlement calls for use of a 79% load factor for SoCalGas.  These numbers alone indicate a higher level of utilization of PG&amp;E’s backbone transmission system than of SoCalGas system.</w:t>
      </w:r>
    </w:p>
    <w:p>
      <w:pPr>
        <w:pStyle w:val="Normal"/>
        <w:numPr>
          <w:ilvl w:val="0"/>
          <w:numId w:val="0"/>
        </w:numPr>
        <w:tabs>
          <w:tab w:val="clear" w:pos="720"/>
          <w:tab w:val="left" w:pos="0" w:leader="none"/>
        </w:tabs>
        <w:spacing w:lineRule="auto" w:line="360"/>
        <w:ind w:hanging="0" w:start="0" w:end="0"/>
        <w:rPr/>
      </w:pPr>
      <w:r>
        <w:rPr/>
        <w:t>These figures are further confirmed by actual utilization of the two utilities’ systems in the two most recent years.  The 1999 California Gas Report Supplement shows PG&amp;E backbone capacity at 3,090 MMcfd (1800 MMcfd on Line 400/401, plus 1140 MMcfd from Topock, plus 150 MMcfd from California production) and actual average system throughput at a total of 2604 MMcfd</w:t>
      </w:r>
      <w:r>
        <w:rPr>
          <w:rStyle w:val="FootnoteCharacters"/>
          <w:rStyle w:val="FootnoteReference"/>
        </w:rPr>
        <w:footnoteReference w:id="6"/>
      </w:r>
      <w:r>
        <w:rPr/>
        <w:t>, for an average load factor of 84%.  By contrast, the 1999 CGR Supplement (p.25) shows SoCalGas throughput at 2689 MMcfd, so with backbone capacity of 3500 MMcfd, this is an average load factor of 77%.  Comparable recorded load factors for 1999 from the 2000 CGR just filed with the Commission on July 17, 2000, are 83% for PG&amp;E and 80% for SoCalGas.</w:t>
      </w:r>
    </w:p>
    <w:p>
      <w:pPr>
        <w:pStyle w:val="Normal"/>
        <w:numPr>
          <w:ilvl w:val="0"/>
          <w:numId w:val="0"/>
        </w:numPr>
        <w:tabs>
          <w:tab w:val="clear" w:pos="720"/>
          <w:tab w:val="left" w:pos="0" w:leader="none"/>
        </w:tabs>
        <w:spacing w:lineRule="auto" w:line="360"/>
        <w:ind w:hanging="0" w:start="0" w:end="0"/>
        <w:rPr/>
      </w:pPr>
      <w:r>
        <w:rPr/>
        <w:t>These facts show SoCalGas is has ample backbone transmission capacity, including relative to PG&amp;E, as well as being “storage rich”.  Therefore, even disregarding SoCalGas’ substantial storage capacity, there is no reason to be more concerned about market power being exercised by holders of SoCalGas backbone capacity under the Comprehensive Settlement than by holders of PG&amp;E backbone capacity.  The Commission approved the PG&amp;E Gas Accord and it has worked well; there is no reason to reject the Comprehensive Settlement in comparison.</w:t>
      </w:r>
    </w:p>
    <w:p>
      <w:pPr>
        <w:pStyle w:val="Normal"/>
        <w:numPr>
          <w:ilvl w:val="0"/>
          <w:numId w:val="0"/>
        </w:numPr>
        <w:tabs>
          <w:tab w:val="clear" w:pos="720"/>
          <w:tab w:val="left" w:pos="0" w:leader="none"/>
        </w:tabs>
        <w:spacing w:lineRule="auto" w:line="360"/>
        <w:ind w:hanging="0" w:start="0" w:end="0"/>
        <w:rPr/>
      </w:pPr>
      <w:r>
        <w:rPr/>
      </w:r>
    </w:p>
    <w:p>
      <w:pPr>
        <w:pStyle w:val="Normal"/>
        <w:numPr>
          <w:ilvl w:val="0"/>
          <w:numId w:val="5"/>
        </w:numPr>
        <w:tabs>
          <w:tab w:val="clear" w:pos="720"/>
          <w:tab w:val="left" w:pos="0" w:leader="none"/>
        </w:tabs>
        <w:ind w:hanging="3205" w:start="5235" w:end="0"/>
        <w:rPr>
          <w:b/>
          <w:bCs/>
        </w:rPr>
      </w:pPr>
      <w:r>
        <w:rPr>
          <w:b/>
          <w:bCs/>
        </w:rPr>
        <w:t>Commission’s decision on slack interstate capacity is irrelevant to whether firm intrastate capacity rights should be established.</w:t>
      </w:r>
    </w:p>
    <w:p>
      <w:pPr>
        <w:pStyle w:val="Normal"/>
        <w:numPr>
          <w:ilvl w:val="0"/>
          <w:numId w:val="0"/>
        </w:numPr>
        <w:spacing w:lineRule="auto" w:line="360"/>
        <w:ind w:hanging="0" w:start="2030" w:end="0"/>
        <w:rPr>
          <w:b/>
          <w:bCs/>
        </w:rPr>
      </w:pPr>
      <w:r>
        <w:rPr>
          <w:b/>
          <w:bCs/>
        </w:rPr>
      </w:r>
    </w:p>
    <w:p>
      <w:pPr>
        <w:pStyle w:val="Normal"/>
        <w:numPr>
          <w:ilvl w:val="0"/>
          <w:numId w:val="0"/>
        </w:numPr>
        <w:tabs>
          <w:tab w:val="clear" w:pos="720"/>
          <w:tab w:val="left" w:pos="0" w:leader="none"/>
        </w:tabs>
        <w:spacing w:lineRule="auto" w:line="360"/>
        <w:ind w:hanging="0" w:start="0" w:end="0"/>
        <w:rPr/>
      </w:pPr>
      <w:r>
        <w:rPr/>
        <w:t>At pp.22-23, SCGC argues that while there is ample “slack” interstate capacity to southern California, the amount of “slack” capacity on the SoCalGas transmission system is less than the Commission has found necessary to allow for sufficient competition between gas supplies.  SCGC argues that the allegedly insufficient amount of slack capacity on the SoCalGas transmission system could allow marketers to exploit control of this alleged “bottleneck”.</w:t>
      </w:r>
    </w:p>
    <w:p>
      <w:pPr>
        <w:pStyle w:val="Normal"/>
        <w:numPr>
          <w:ilvl w:val="0"/>
          <w:numId w:val="0"/>
        </w:numPr>
        <w:tabs>
          <w:tab w:val="clear" w:pos="720"/>
          <w:tab w:val="left" w:pos="0" w:leader="none"/>
        </w:tabs>
        <w:spacing w:lineRule="auto" w:line="360"/>
        <w:ind w:hanging="0" w:start="0" w:end="0"/>
        <w:rPr/>
      </w:pPr>
      <w:r>
        <w:rPr/>
        <w:t>SCGC’s arguments are invalid, for several reasons.</w:t>
      </w:r>
    </w:p>
    <w:p>
      <w:pPr>
        <w:pStyle w:val="Normal"/>
        <w:numPr>
          <w:ilvl w:val="0"/>
          <w:numId w:val="0"/>
        </w:numPr>
        <w:tabs>
          <w:tab w:val="clear" w:pos="720"/>
          <w:tab w:val="left" w:pos="0" w:leader="none"/>
        </w:tabs>
        <w:spacing w:lineRule="auto" w:line="360"/>
        <w:ind w:hanging="0" w:start="0" w:end="0"/>
        <w:rPr/>
      </w:pPr>
      <w:r>
        <w:rPr/>
        <w:t xml:space="preserve">First, SCGC seriously misconstrues and misuses D.90-02-016 (35 CPUC2d 196), the Commission’s decision of ten years ago regarding the desirable level of interstate pipeline capacity to serve California.  One must question the relevance of this ten year-old decision, which the Commission has not revisited any time recently.  Also, the decision specifically refers to the level of </w:t>
      </w:r>
      <w:r>
        <w:rPr>
          <w:u w:val="single"/>
        </w:rPr>
        <w:t>interstate</w:t>
      </w:r>
      <w:r>
        <w:rPr/>
        <w:t xml:space="preserve"> pipeline capacity.  The Commission has not used the analysis in that decision as a basis for deciding whether California gas utilities should construct, maintain, and charge their customers for </w:t>
      </w:r>
      <w:r>
        <w:rPr>
          <w:u w:val="single"/>
        </w:rPr>
        <w:t>intrastate</w:t>
      </w:r>
      <w:r>
        <w:rPr/>
        <w:t xml:space="preserve"> transmission facilities necessary to maintain a 10% to 20% capacity slack factor over demand.</w:t>
      </w:r>
    </w:p>
    <w:p>
      <w:pPr>
        <w:pStyle w:val="Normal"/>
        <w:numPr>
          <w:ilvl w:val="0"/>
          <w:numId w:val="0"/>
        </w:numPr>
        <w:tabs>
          <w:tab w:val="clear" w:pos="720"/>
          <w:tab w:val="left" w:pos="0" w:leader="none"/>
        </w:tabs>
        <w:spacing w:lineRule="auto" w:line="360"/>
        <w:ind w:hanging="0" w:start="0" w:end="0"/>
        <w:rPr/>
      </w:pPr>
      <w:r>
        <w:rPr/>
        <w:t>Nevertheless, assuming continued vitality to that decision, it still does not support SCGC’s position.  SCGC deliberately confuses the issue of whether there should be firm, tradable capacity rights (regardless of the level of physical intrastate capacity) with the issue of what level of physical capacity should be constructed and maintained.  The two issues are simply different.  The decision addressed the two issues separately.</w:t>
      </w:r>
    </w:p>
    <w:p>
      <w:pPr>
        <w:pStyle w:val="Normal"/>
        <w:numPr>
          <w:ilvl w:val="0"/>
          <w:numId w:val="0"/>
        </w:numPr>
        <w:tabs>
          <w:tab w:val="clear" w:pos="720"/>
          <w:tab w:val="left" w:pos="0" w:leader="none"/>
        </w:tabs>
        <w:spacing w:lineRule="auto" w:line="360"/>
        <w:ind w:hanging="0" w:start="0" w:end="0"/>
        <w:rPr/>
      </w:pPr>
      <w:r>
        <w:rPr/>
        <w:t>In fact, D.90-02-016 strongly supported establishing the right to trade (or “broker”) firm interstate pipeline capacity rights – exactly the step SCGC seeks to block on the intrastate pipeline system.  As the Commission stated at 35 CPUC2d 242:</w:t>
      </w:r>
    </w:p>
    <w:p>
      <w:pPr>
        <w:pStyle w:val="Normal"/>
        <w:numPr>
          <w:ilvl w:val="0"/>
          <w:numId w:val="0"/>
        </w:numPr>
        <w:tabs>
          <w:tab w:val="clear" w:pos="720"/>
          <w:tab w:val="left" w:pos="0" w:leader="none"/>
        </w:tabs>
        <w:spacing w:lineRule="auto" w:line="360"/>
        <w:ind w:hanging="0" w:start="0" w:end="0"/>
        <w:rPr/>
      </w:pPr>
      <w:r>
        <w:rPr/>
      </w:r>
    </w:p>
    <w:p>
      <w:pPr>
        <w:pStyle w:val="BlockText"/>
        <w:numPr>
          <w:ilvl w:val="0"/>
          <w:numId w:val="0"/>
        </w:numPr>
        <w:ind w:hanging="0" w:start="720"/>
        <w:rPr/>
      </w:pPr>
      <w:r>
        <w:rPr/>
        <w:t>We conclude that a properly constructed brokering program can work to the benefit of everyone concerned with the natural gas industry, including producers, transporters, and consumers.  Such a program is an essential element in the “unbundled” gas industry structure that this Commission and the FERC have fostered.</w:t>
      </w:r>
    </w:p>
    <w:p>
      <w:pPr>
        <w:pStyle w:val="Normal"/>
        <w:numPr>
          <w:ilvl w:val="0"/>
          <w:numId w:val="0"/>
        </w:numPr>
        <w:tabs>
          <w:tab w:val="clear" w:pos="720"/>
          <w:tab w:val="left" w:pos="0" w:leader="none"/>
        </w:tabs>
        <w:spacing w:lineRule="auto" w:line="360"/>
        <w:ind w:hanging="0" w:start="0" w:end="0"/>
        <w:rPr/>
      </w:pPr>
      <w:r>
        <w:rPr/>
      </w:r>
    </w:p>
    <w:p>
      <w:pPr>
        <w:pStyle w:val="Normal"/>
        <w:numPr>
          <w:ilvl w:val="0"/>
          <w:numId w:val="0"/>
        </w:numPr>
        <w:tabs>
          <w:tab w:val="clear" w:pos="720"/>
          <w:tab w:val="left" w:pos="0" w:leader="none"/>
        </w:tabs>
        <w:spacing w:lineRule="auto" w:line="360"/>
        <w:ind w:hanging="0" w:start="0" w:end="0"/>
        <w:rPr/>
      </w:pPr>
      <w:r>
        <w:rPr/>
        <w:t xml:space="preserve">Although the decision also supported the desirability of a “slack factor” of 10% to 20% in physical capacity for interstate capacity, it did not condition the desirability of the right to trade firm capacity rights on the existence of such a slack factor.  In fact, in D.90-02-016, the Commission saw the creation of the right to trade firm capacity rights as </w:t>
      </w:r>
      <w:r>
        <w:rPr>
          <w:u w:val="single"/>
        </w:rPr>
        <w:t>contributing</w:t>
      </w:r>
      <w:r>
        <w:rPr/>
        <w:t xml:space="preserve"> to the availability of capacity:  </w:t>
      </w:r>
    </w:p>
    <w:p>
      <w:pPr>
        <w:pStyle w:val="Normal"/>
        <w:numPr>
          <w:ilvl w:val="0"/>
          <w:numId w:val="0"/>
        </w:numPr>
        <w:tabs>
          <w:tab w:val="clear" w:pos="720"/>
          <w:tab w:val="left" w:pos="0" w:leader="none"/>
        </w:tabs>
        <w:spacing w:lineRule="auto" w:line="360"/>
        <w:ind w:hanging="0" w:start="0" w:end="0"/>
        <w:rPr/>
      </w:pPr>
      <w:r>
        <w:rPr/>
      </w:r>
    </w:p>
    <w:p>
      <w:pPr>
        <w:pStyle w:val="Normal"/>
        <w:numPr>
          <w:ilvl w:val="0"/>
          <w:numId w:val="0"/>
        </w:numPr>
        <w:tabs>
          <w:tab w:val="left" w:pos="720" w:leader="none"/>
        </w:tabs>
        <w:ind w:hanging="0" w:start="720" w:end="720"/>
        <w:rPr/>
      </w:pPr>
      <w:r>
        <w:rPr/>
        <w:t>By giving gas purchasers access to capacity when they need it, a brokering program could increase pipeline load factors, in effect ‘adding’ capacity.</w:t>
      </w:r>
    </w:p>
    <w:p>
      <w:pPr>
        <w:pStyle w:val="Normal"/>
        <w:numPr>
          <w:ilvl w:val="0"/>
          <w:numId w:val="0"/>
        </w:numPr>
        <w:tabs>
          <w:tab w:val="clear" w:pos="720"/>
          <w:tab w:val="left" w:pos="0" w:leader="none"/>
        </w:tabs>
        <w:spacing w:lineRule="auto" w:line="360"/>
        <w:ind w:hanging="0" w:start="0" w:end="0"/>
        <w:rPr/>
      </w:pPr>
      <w:r>
        <w:rPr/>
        <w:tab/>
        <w:tab/>
        <w:tab/>
        <w:t>(35 CPUC2d at 242)</w:t>
      </w:r>
    </w:p>
    <w:p>
      <w:pPr>
        <w:pStyle w:val="Normal"/>
        <w:numPr>
          <w:ilvl w:val="0"/>
          <w:numId w:val="0"/>
        </w:numPr>
        <w:tabs>
          <w:tab w:val="clear" w:pos="720"/>
          <w:tab w:val="left" w:pos="0" w:leader="none"/>
        </w:tabs>
        <w:spacing w:lineRule="auto" w:line="360"/>
        <w:ind w:hanging="0" w:start="0" w:end="0"/>
        <w:rPr/>
      </w:pPr>
      <w:r>
        <w:rPr/>
      </w:r>
    </w:p>
    <w:p>
      <w:pPr>
        <w:pStyle w:val="Normal"/>
        <w:numPr>
          <w:ilvl w:val="0"/>
          <w:numId w:val="0"/>
        </w:numPr>
        <w:tabs>
          <w:tab w:val="clear" w:pos="720"/>
          <w:tab w:val="left" w:pos="0" w:leader="none"/>
        </w:tabs>
        <w:spacing w:lineRule="auto" w:line="360"/>
        <w:ind w:hanging="0" w:start="0" w:end="0"/>
        <w:rPr/>
      </w:pPr>
      <w:r>
        <w:rPr/>
      </w:r>
    </w:p>
    <w:p>
      <w:pPr>
        <w:pStyle w:val="Normal"/>
        <w:numPr>
          <w:ilvl w:val="0"/>
          <w:numId w:val="5"/>
        </w:numPr>
        <w:tabs>
          <w:tab w:val="clear" w:pos="720"/>
          <w:tab w:val="left" w:pos="0" w:leader="none"/>
        </w:tabs>
        <w:ind w:hanging="3205" w:start="5235" w:end="0"/>
        <w:rPr>
          <w:b/>
          <w:bCs/>
        </w:rPr>
      </w:pPr>
      <w:r>
        <w:rPr>
          <w:b/>
          <w:bCs/>
        </w:rPr>
        <w:t>Even if D.90-02-016 applied, it would be satisfied by the “slack factor” on SoCalGas’ intrastate system.</w:t>
      </w:r>
    </w:p>
    <w:p>
      <w:pPr>
        <w:pStyle w:val="Normal"/>
        <w:numPr>
          <w:ilvl w:val="0"/>
          <w:numId w:val="0"/>
        </w:numPr>
        <w:spacing w:lineRule="auto" w:line="360"/>
        <w:ind w:hanging="0" w:start="2030" w:end="0"/>
        <w:rPr>
          <w:b/>
          <w:bCs/>
        </w:rPr>
      </w:pPr>
      <w:r>
        <w:rPr>
          <w:b/>
          <w:bCs/>
        </w:rPr>
      </w:r>
    </w:p>
    <w:p>
      <w:pPr>
        <w:pStyle w:val="Normal"/>
        <w:numPr>
          <w:ilvl w:val="0"/>
          <w:numId w:val="0"/>
        </w:numPr>
        <w:tabs>
          <w:tab w:val="clear" w:pos="720"/>
          <w:tab w:val="left" w:pos="0" w:leader="none"/>
        </w:tabs>
        <w:spacing w:lineRule="auto" w:line="360"/>
        <w:ind w:hanging="0" w:start="0" w:end="0"/>
        <w:rPr/>
      </w:pPr>
      <w:r>
        <w:rPr/>
        <w:t>Even if D.90-02-016 had conditioned support for firm, tradable transmission capacity rights on the existence of a 10% to 20% slack factor (which it did not), that condition would be no impediment to the adoption of the intrastate backbone transmission capacity rights provisions of the Comprehensive Settlement.</w:t>
      </w:r>
    </w:p>
    <w:p>
      <w:pPr>
        <w:pStyle w:val="Normal"/>
        <w:numPr>
          <w:ilvl w:val="0"/>
          <w:numId w:val="0"/>
        </w:numPr>
        <w:tabs>
          <w:tab w:val="clear" w:pos="720"/>
          <w:tab w:val="left" w:pos="0" w:leader="none"/>
        </w:tabs>
        <w:spacing w:lineRule="auto" w:line="360"/>
        <w:ind w:hanging="0" w:start="0" w:end="0"/>
        <w:rPr/>
      </w:pPr>
      <w:r>
        <w:rPr/>
        <w:t xml:space="preserve">First, SCGC errs in the way that it calculates the “slack factor” relative to the 10% to 20% range the Commission found prudent for interstate capacity in D.90-02-016.  SCGC in its opening brief consistently calculates the percentage by dividing the difference between demand and capacity </w:t>
      </w:r>
      <w:r>
        <w:rPr>
          <w:u w:val="single"/>
        </w:rPr>
        <w:t>by capacity</w:t>
      </w:r>
      <w:r>
        <w:rPr/>
        <w:t>.  This is not the way the Commission calculated the 10% to 20% slack factor in D.90-02-016.  In that decision, the Commission said capacity should be 10% to 20% greater than demand.  In other words, the 10% or 20% was a percentage of demand, not of capacity.  For instance, see the calculations of the 10% and 20% factors in Finding of Fact 16 at p.35 CPUC2d 252.  The highest level in the Commission’s desired  range was 20% of average year throughput above cold year throughput (see Finding 16).  When one correctly divides by average year demand, the current SoCalGas intrastate slack factor is 30% (3500 MMcfd – 2690 MMcfd average demand / 2690 MMcfd = 30%), not the 22% SCGC claims at p.23 of its brief.  Using cold year demand of 2806 for SoCalGas (SCGC p.23), the excess of 694 MMcfd still provides a slack factor of more than 25% (694/2690 = 25.8%)!  SoCalGas intrastate capacity is well above the upper range the Commission thought prudent to facilitate gas-on-gas competition.  It is certainly no impediment to implementing the Comprehensive Settlement.</w:t>
      </w:r>
    </w:p>
    <w:p>
      <w:pPr>
        <w:pStyle w:val="Normal"/>
        <w:numPr>
          <w:ilvl w:val="0"/>
          <w:numId w:val="0"/>
        </w:numPr>
        <w:tabs>
          <w:tab w:val="clear" w:pos="720"/>
          <w:tab w:val="left" w:pos="0" w:leader="none"/>
        </w:tabs>
        <w:spacing w:lineRule="auto" w:line="360"/>
        <w:ind w:hanging="0" w:start="0" w:end="0"/>
        <w:rPr/>
      </w:pPr>
      <w:r>
        <w:rPr/>
        <w:t xml:space="preserve">At p.23 of SCGC’s opening brief, it argues that the “slack factor” on SoCalGas’ intrastate transmission system will decline further over time because SoCalGas forecast in the 1998 California Gas Report that demand on its system would increase by about 17% over 15 years.  Use of a forecast for 15 years out is inappropriate because the Comprehensive Settlement would expire on August 31, 2006.  The more relevant number from the 1998 CGR would have been the forecast increase in SoCalGas load between 2000 and 2005 of 6.5%.  Even a load increase of 6.5% would result in a correctly-calculated slack factor for the end of the Comprehensive Settlement period being approximately 19% of average year throughput in excess of cold year throughput, still almost at the top end of the range referenced in D.90-02-016.  However, the 2000 California Gas Report has since been filed on July 17, 2000.  The 2000 CGR forecasts a 15.4% </w:t>
      </w:r>
      <w:r>
        <w:rPr>
          <w:u w:val="single"/>
        </w:rPr>
        <w:t>decline</w:t>
      </w:r>
      <w:r>
        <w:rPr/>
        <w:t xml:space="preserve"> in annual throughput on the SoCalGas system.  Thus, the “slack” capacity on SoCalGas’ transmission system is likely increase even more above the top of the range during the life of the Comprehensive Settlement, not decline.</w:t>
      </w:r>
    </w:p>
    <w:p>
      <w:pPr>
        <w:pStyle w:val="Normal"/>
        <w:numPr>
          <w:ilvl w:val="0"/>
          <w:numId w:val="0"/>
        </w:numPr>
        <w:tabs>
          <w:tab w:val="clear" w:pos="720"/>
          <w:tab w:val="left" w:pos="0" w:leader="none"/>
        </w:tabs>
        <w:spacing w:lineRule="auto" w:line="360"/>
        <w:ind w:hanging="0" w:start="0" w:end="0"/>
        <w:rPr/>
      </w:pPr>
      <w:r>
        <w:rPr/>
      </w:r>
    </w:p>
    <w:p>
      <w:pPr>
        <w:pStyle w:val="Normal"/>
        <w:numPr>
          <w:ilvl w:val="0"/>
          <w:numId w:val="5"/>
        </w:numPr>
        <w:tabs>
          <w:tab w:val="clear" w:pos="720"/>
          <w:tab w:val="left" w:pos="0" w:leader="none"/>
        </w:tabs>
        <w:ind w:hanging="3205" w:start="5235" w:end="0"/>
        <w:rPr>
          <w:b/>
          <w:bCs/>
        </w:rPr>
      </w:pPr>
      <w:r>
        <w:rPr>
          <w:b/>
          <w:bCs/>
        </w:rPr>
        <w:t>There is no significant difference in interstate and intrastate “slack factors”.</w:t>
      </w:r>
    </w:p>
    <w:p>
      <w:pPr>
        <w:pStyle w:val="Normal"/>
        <w:numPr>
          <w:ilvl w:val="0"/>
          <w:numId w:val="0"/>
        </w:numPr>
        <w:spacing w:lineRule="auto" w:line="360"/>
        <w:ind w:hanging="0" w:start="2030" w:end="0"/>
        <w:rPr>
          <w:b/>
          <w:bCs/>
        </w:rPr>
      </w:pPr>
      <w:r>
        <w:rPr>
          <w:b/>
          <w:bCs/>
        </w:rPr>
      </w:r>
    </w:p>
    <w:p>
      <w:pPr>
        <w:pStyle w:val="Normal"/>
        <w:numPr>
          <w:ilvl w:val="0"/>
          <w:numId w:val="0"/>
        </w:numPr>
        <w:tabs>
          <w:tab w:val="clear" w:pos="720"/>
          <w:tab w:val="left" w:pos="0" w:leader="none"/>
        </w:tabs>
        <w:spacing w:lineRule="auto" w:line="360"/>
        <w:ind w:hanging="0" w:start="0" w:end="0"/>
        <w:rPr/>
      </w:pPr>
      <w:r>
        <w:rPr/>
        <w:t>SCGC also makes an argument about the relative level of slack factor between interstate and intrastate capacity. SCGC claims that the SoCalGas system represents a “bottleneck” because it allegedly has a “slack factor” that is much less than the “slack factor” of interstate capacity to southern California (i.e., 21% vs. 36%).</w:t>
      </w:r>
    </w:p>
    <w:p>
      <w:pPr>
        <w:pStyle w:val="Normal"/>
        <w:numPr>
          <w:ilvl w:val="0"/>
          <w:numId w:val="0"/>
        </w:numPr>
        <w:tabs>
          <w:tab w:val="clear" w:pos="720"/>
          <w:tab w:val="left" w:pos="0" w:leader="none"/>
        </w:tabs>
        <w:spacing w:lineRule="auto" w:line="360"/>
        <w:ind w:hanging="0" w:start="0" w:end="0"/>
        <w:rPr/>
      </w:pPr>
      <w:r>
        <w:rPr/>
        <w:t>It is not clear whether SCGC is claiming that an alleged relatively lower slack factor on the intrastate system is a reason not to implement intrastate transmission capacity rights, even if the intrastate capacity slack factor exceeds the 20% top end of the alleged Commission range.  In fact, it would make no sense to say that intrastate “slack factor” above the high end of the range SCGC claims is applicable is not good enough just because interstate capacity is even more in oversupply.  The Comprehensive Settlement will not eliminate California border pricing from the market, any more than the PG&amp;E Gas Accord eliminated a border price market.  It will simply provide an additional pricing point at the southern California “citygate”.  No bottleneck is created; an additional market pricing point is created.</w:t>
      </w:r>
    </w:p>
    <w:p>
      <w:pPr>
        <w:pStyle w:val="Normal"/>
        <w:numPr>
          <w:ilvl w:val="0"/>
          <w:numId w:val="0"/>
        </w:numPr>
        <w:tabs>
          <w:tab w:val="clear" w:pos="720"/>
          <w:tab w:val="left" w:pos="0" w:leader="none"/>
        </w:tabs>
        <w:spacing w:lineRule="auto" w:line="360"/>
        <w:ind w:hanging="0" w:start="0" w:end="0"/>
        <w:rPr/>
      </w:pPr>
      <w:r>
        <w:rPr/>
        <w:t>However, even if this argument made any sense, SCGC has erred seriously in its calculation of the relative slack factors of intrastate and interstate capacity.</w:t>
      </w:r>
    </w:p>
    <w:p>
      <w:pPr>
        <w:pStyle w:val="Normal"/>
        <w:numPr>
          <w:ilvl w:val="0"/>
          <w:numId w:val="0"/>
        </w:numPr>
        <w:tabs>
          <w:tab w:val="clear" w:pos="720"/>
          <w:tab w:val="left" w:pos="0" w:leader="none"/>
        </w:tabs>
        <w:spacing w:lineRule="auto" w:line="360"/>
        <w:ind w:hanging="0" w:start="0" w:end="0"/>
        <w:rPr/>
      </w:pPr>
      <w:r>
        <w:rPr/>
        <w:t xml:space="preserve">SCGC errs substantially in its calculation of an alleged 36% “slack factor” for interstate capacity.  SCGC assumes that 6,150 MMcfd of capacity is available on a regular basis to serve an average load of 3,912 MMcfd, </w:t>
      </w:r>
    </w:p>
    <w:p>
      <w:pPr>
        <w:pStyle w:val="Normal"/>
        <w:numPr>
          <w:ilvl w:val="0"/>
          <w:numId w:val="0"/>
        </w:numPr>
        <w:tabs>
          <w:tab w:val="clear" w:pos="720"/>
          <w:tab w:val="left" w:pos="0" w:leader="none"/>
        </w:tabs>
        <w:spacing w:lineRule="auto" w:line="360"/>
        <w:ind w:hanging="0" w:start="0"/>
        <w:rPr/>
      </w:pPr>
      <w:r>
        <w:rPr/>
        <w:t>resulting an interstate “slack factor” of 36% (6,150 – 3,910 / 6,150 = 36%).</w:t>
      </w:r>
      <w:r>
        <w:rPr>
          <w:rStyle w:val="FootnoteCharacters"/>
          <w:rStyle w:val="FootnoteReference"/>
        </w:rPr>
        <w:footnoteReference w:id="7"/>
      </w:r>
      <w:r>
        <w:br w:type="page"/>
      </w:r>
    </w:p>
    <w:p>
      <w:pPr>
        <w:pStyle w:val="Normal"/>
        <w:numPr>
          <w:ilvl w:val="0"/>
          <w:numId w:val="0"/>
        </w:numPr>
        <w:tabs>
          <w:tab w:val="clear" w:pos="720"/>
          <w:tab w:val="left" w:pos="0" w:leader="none"/>
        </w:tabs>
        <w:spacing w:lineRule="auto" w:line="360"/>
        <w:ind w:hanging="0" w:start="0" w:end="0"/>
        <w:rPr/>
      </w:pPr>
      <w:r>
        <w:rPr/>
        <w:t xml:space="preserve">In fact, not all of the 6,150 MMcfd of upstream capacity that theoretically could flow to southern California can actually be counted on by southern California gas consumers to be available to them on a </w:t>
      </w:r>
    </w:p>
    <w:p>
      <w:pPr>
        <w:pStyle w:val="Normal"/>
        <w:numPr>
          <w:ilvl w:val="0"/>
          <w:numId w:val="0"/>
        </w:numPr>
        <w:tabs>
          <w:tab w:val="clear" w:pos="720"/>
          <w:tab w:val="left" w:pos="0" w:leader="none"/>
        </w:tabs>
        <w:spacing w:lineRule="auto" w:line="360"/>
        <w:ind w:hanging="0" w:start="0"/>
        <w:rPr/>
      </w:pPr>
      <w:r>
        <w:rPr/>
        <w:t xml:space="preserve">regular basis.  Thus, not all of that 6,150 MMcfd should be included in any calculation of interstate pipeline “slack </w:t>
      </w:r>
    </w:p>
    <w:p>
      <w:pPr>
        <w:pStyle w:val="Normal"/>
        <w:numPr>
          <w:ilvl w:val="0"/>
          <w:numId w:val="0"/>
        </w:numPr>
        <w:tabs>
          <w:tab w:val="clear" w:pos="720"/>
          <w:tab w:val="left" w:pos="0" w:leader="none"/>
        </w:tabs>
        <w:spacing w:lineRule="auto" w:line="360"/>
        <w:ind w:hanging="0" w:start="0"/>
        <w:rPr/>
      </w:pPr>
      <w:r>
        <w:rPr/>
        <w:t>capacity” to southern California.  The reason can readily be demonstrated by comparing actual demand on the PG&amp;E system to the capacity that use of a 6,150 MMcfd capacity figure for southern California implies is left available to serve customers on the PG&amp;E system.  Implied in SCGC’s slack factor calculation for southern California is the allocation of upstream capacity resources to serve demand on the PG&amp;E system as follows:  612 MMcfd average daily flow on PG&amp;E Line 300 to northern California, plus 150 of California production, plus 1,200 of Line 400/401 capacity (the total Line 400/401 capacity of 1,800 MMcfd less the 600 MMcfd of PG&amp;E capacity included in the 6,150 MMcfd available to southern California at Wheeler Ridge in SCGC’s calculation).  That adds up to only 1,962 MMcfd of upstream capacity available to serve demand of customers on the PG&amp;E system.</w:t>
      </w:r>
    </w:p>
    <w:p>
      <w:pPr>
        <w:pStyle w:val="Normal"/>
        <w:numPr>
          <w:ilvl w:val="0"/>
          <w:numId w:val="0"/>
        </w:numPr>
        <w:tabs>
          <w:tab w:val="clear" w:pos="720"/>
          <w:tab w:val="left" w:pos="0" w:leader="none"/>
        </w:tabs>
        <w:spacing w:lineRule="auto" w:line="360"/>
        <w:ind w:hanging="0" w:start="0" w:end="0"/>
        <w:rPr/>
      </w:pPr>
      <w:r>
        <w:rPr/>
        <w:t xml:space="preserve">However, we know that the actual average daily consumption in 1998 of customers on the PG&amp;E system was </w:t>
      </w:r>
    </w:p>
    <w:p>
      <w:pPr>
        <w:pStyle w:val="Normal"/>
        <w:numPr>
          <w:ilvl w:val="0"/>
          <w:numId w:val="0"/>
        </w:numPr>
        <w:tabs>
          <w:tab w:val="clear" w:pos="720"/>
          <w:tab w:val="left" w:pos="0" w:leader="none"/>
        </w:tabs>
        <w:spacing w:lineRule="auto" w:line="360"/>
        <w:ind w:hanging="0" w:start="0"/>
        <w:rPr/>
      </w:pPr>
      <w:r>
        <w:rPr/>
        <w:t>2,305 MMcfd.  It was slightly higher in 1999.  An average annual daily demand of 2,305 MMcfd cannot be met by only 1,962 MMcfd of upstream capacity!  Something is clearly wrong in how SCGC calculates the upstream capacity “slack factor” for southern California.</w:t>
      </w:r>
    </w:p>
    <w:p>
      <w:pPr>
        <w:pStyle w:val="Normal"/>
        <w:numPr>
          <w:ilvl w:val="0"/>
          <w:numId w:val="0"/>
        </w:numPr>
        <w:tabs>
          <w:tab w:val="clear" w:pos="720"/>
          <w:tab w:val="left" w:pos="0" w:leader="none"/>
        </w:tabs>
        <w:spacing w:lineRule="auto" w:line="360"/>
        <w:ind w:hanging="0" w:start="0" w:end="0"/>
        <w:rPr/>
      </w:pPr>
      <w:r>
        <w:rPr/>
        <w:t>A couple of the ways in which SCGC’s slack factor calculation is wrong are readily apparent.  First, including 600 MMcfd of PG&amp;E capacity to southern California at Wheeler Ridge in this calculation is clearly wrong.  Much of this 600 MMcfd is used to meet demand on the PG&amp;E system on a regular basis and cannot be relied on by southern California customers to be available to them.  On an “average” PG&amp;E demand day of 2,305 MMcfd, if an “average” of 612 MMcfd is flowing on Line 300 and no more than 150 MMcd is flowing from California production, then an “average” of at least 1,543 MMcfd must be flowing from Lines 400/401 to PG&amp;E customers.  This leaves only 257 MMcfd – not 600 MMcfd -- of Line 400/401 capacity that could be available to southern California (1,800 MMcfd of total Line 400/401 capacity less 1,543 MMcfd = 257 MMcfd).</w:t>
      </w:r>
      <w:r>
        <w:rPr>
          <w:rStyle w:val="FootnoteCharacters"/>
          <w:rStyle w:val="FootnoteReference"/>
        </w:rPr>
        <w:footnoteReference w:id="8"/>
      </w:r>
    </w:p>
    <w:p>
      <w:pPr>
        <w:pStyle w:val="Normal"/>
        <w:numPr>
          <w:ilvl w:val="0"/>
          <w:numId w:val="0"/>
        </w:numPr>
        <w:tabs>
          <w:tab w:val="clear" w:pos="720"/>
          <w:tab w:val="left" w:pos="0" w:leader="none"/>
        </w:tabs>
        <w:spacing w:lineRule="auto" w:line="360"/>
        <w:ind w:hanging="0" w:start="0" w:end="0"/>
        <w:rPr/>
      </w:pPr>
      <w:r>
        <w:rPr/>
        <w:t>Second, SCGC errs in including a total of 1,808 MMcfd of incoming capacity at Topock as part of the “slack” interstate capacity available to customers taking service from SoCalGas.  Effectively, SCGC has included 1,808 MMcfd of Topock capacity when it measures slack capacity to SoCalGas customers by subtracting 3,912 MMcfd average demand from 6,150 MMcfd capacity in Ex.No.28.  1,808 MMcfd is the total of 2,420 MMcfd capacity to Topock less the 612 average daily flow from Topock on PG&amp;E Line 300 to northern California.  But the flow of gas over this 1,808 MMcfd is used not only to serve customers served by SoCalGas, but also the load directly served by Mojave Pipeline (which is some portion, up to 400 MMcfd, of the total 610 MMcfd of customer load directly served by Kern and Mojave combined).  To the extent that Mojave is delivering gas directly to end-users, that gas flows over El Paso to Topock and the interstate capacity is not available to customers served by SoCalGas.</w:t>
      </w:r>
    </w:p>
    <w:p>
      <w:pPr>
        <w:pStyle w:val="Normal"/>
        <w:numPr>
          <w:ilvl w:val="0"/>
          <w:numId w:val="0"/>
        </w:numPr>
        <w:tabs>
          <w:tab w:val="clear" w:pos="720"/>
          <w:tab w:val="left" w:pos="0" w:leader="none"/>
        </w:tabs>
        <w:spacing w:lineRule="auto" w:line="360"/>
        <w:ind w:hanging="0" w:start="0" w:end="0"/>
        <w:rPr/>
      </w:pPr>
      <w:r>
        <w:rPr/>
        <w:t>Because of the multiple interconnections of upstream capacity to both the SoCalGas and PG&amp;E markets, as well as the market served directly by Kern/Mojave, the only rational way of looking at the issue is to consider the amount of slack capacity available to the California market as a whole.  There is 7500 MMcfd of upstream capacity (the 6,150 shown on Exhibit No.28, plus an additional 1200 MMcfd on Line 400/401 to northern California and 150 of California production in northern California).  There is approximately 5605 MMcfd of California demand (2690 Mmcfd by SoCalGas customers, 610 by Kern/Mojave customers, and 2305 MMcfd by PG&amp;E customers).  Thus, there is a “slack factor” of available upstream capacity to California of about 25% relative to in-state average demand (7,500 MMcfd – 5605 MMcfd / 7500 MMcfd = 25%).</w:t>
      </w:r>
    </w:p>
    <w:p>
      <w:pPr>
        <w:pStyle w:val="Normal"/>
        <w:numPr>
          <w:ilvl w:val="0"/>
          <w:numId w:val="0"/>
        </w:numPr>
        <w:tabs>
          <w:tab w:val="clear" w:pos="720"/>
          <w:tab w:val="left" w:pos="0" w:leader="none"/>
        </w:tabs>
        <w:spacing w:lineRule="auto" w:line="360"/>
        <w:ind w:hanging="0" w:start="0" w:end="0"/>
        <w:rPr/>
      </w:pPr>
      <w:r>
        <w:rPr/>
        <w:t>Currently, SoCalGas’ intrastate capacity relative to the demands of its customers is extremely close to the upstream “slack factor” of 25%.  SoCalGas capacity of 3500 MMcfd – average daily demand of 2,690 MMcfd / 3500 MMcfd = 23%.  (If one wanted to calculate the two figures correctly by dividing by demand, the result would be a slack factor of 33.8% for interstate capacity and 30.1% for SoCalGas intrastate capacity.)  The tiny difference between the two already large slack factor percentages certainly does not amount to a dangerous “bottleneck” on the SoCalGas intrastate system.</w:t>
      </w:r>
    </w:p>
    <w:p>
      <w:pPr>
        <w:pStyle w:val="Normal"/>
        <w:numPr>
          <w:ilvl w:val="0"/>
          <w:numId w:val="0"/>
        </w:numPr>
        <w:tabs>
          <w:tab w:val="clear" w:pos="720"/>
          <w:tab w:val="left" w:pos="0" w:leader="none"/>
        </w:tabs>
        <w:spacing w:lineRule="auto" w:line="360"/>
        <w:ind w:hanging="0" w:start="0" w:end="0"/>
        <w:rPr/>
      </w:pPr>
      <w:r>
        <w:rPr/>
        <w:t>At p.23 of SCGC’s brief, it claims that a review of SoCalGas operating data for 1998 and 1999 indicates about ten days a year in which flowing supplies on SoCalGas were at or above 90% of firm backbone transmission capacity.  SCGC provides no citation to the record, and it is not clear exactly where on the record, if anywhere, these figures appear.  (There is some operating data, esp. for 1999, in Exhibit Nos.109 and 111.)  Even if true, this observation is irrelevant.  The Commission’s discussion of slack factor in D.90-02-016 which SCGC claims is controlling is not in any way based on peak day analysis.  It is based on a percentage of average year daily demand in excess of “cold year” average annual daily demand.  Saying that SoCalGas should have capacity to receive gas supplies more than 10% in excess of actual utilization on the ten highest days of the year, particularly when SoCalGas has large storage capacity, is nonsense.  It would result in a huge average annual slack factor.</w:t>
      </w:r>
    </w:p>
    <w:p>
      <w:pPr>
        <w:pStyle w:val="Normal"/>
        <w:numPr>
          <w:ilvl w:val="0"/>
          <w:numId w:val="0"/>
        </w:numPr>
        <w:tabs>
          <w:tab w:val="clear" w:pos="720"/>
          <w:tab w:val="left" w:pos="0" w:leader="none"/>
        </w:tabs>
        <w:spacing w:lineRule="auto" w:line="360"/>
        <w:ind w:hanging="0" w:start="0" w:end="0"/>
        <w:rPr/>
      </w:pPr>
      <w:r>
        <w:rPr/>
        <w:t xml:space="preserve">In fact, when one looks at the 15 days shown in record evidence for 1999 when flowing supplies equaled or exceeded 3150 MMcfd (90% of 3500), one finds that on 10 of those days there was net </w:t>
      </w:r>
      <w:r>
        <w:rPr>
          <w:u w:val="single"/>
        </w:rPr>
        <w:t>injection</w:t>
      </w:r>
      <w:r>
        <w:rPr/>
        <w:t xml:space="preserve"> into storage.  That is, customers could have reduced their flowing supplies and still have met needs for current consumption.  On the remaining 5 days, there was net withdrawal from storage, but it was far below the maximum withdrawal capacity.  In other words, customers could have withdrawn far more gas from storage on those 5 days if the alleged “tightness” of capacity had really resulted in the price of flowing supplies not being competitive.</w:t>
      </w:r>
    </w:p>
    <w:p>
      <w:pPr>
        <w:pStyle w:val="Normal"/>
        <w:numPr>
          <w:ilvl w:val="0"/>
          <w:numId w:val="0"/>
        </w:numPr>
        <w:tabs>
          <w:tab w:val="clear" w:pos="720"/>
          <w:tab w:val="left" w:pos="0" w:leader="none"/>
        </w:tabs>
        <w:spacing w:lineRule="auto" w:line="360"/>
        <w:ind w:hanging="0" w:start="0" w:end="0"/>
        <w:rPr/>
      </w:pPr>
      <w:r>
        <w:rPr/>
      </w:r>
    </w:p>
    <w:p>
      <w:pPr>
        <w:pStyle w:val="Normal"/>
        <w:numPr>
          <w:ilvl w:val="0"/>
          <w:numId w:val="5"/>
        </w:numPr>
        <w:tabs>
          <w:tab w:val="clear" w:pos="720"/>
          <w:tab w:val="left" w:pos="0" w:leader="none"/>
        </w:tabs>
        <w:ind w:hanging="3205" w:start="5235" w:end="0"/>
        <w:rPr>
          <w:b/>
          <w:bCs/>
        </w:rPr>
      </w:pPr>
      <w:r>
        <w:rPr>
          <w:b/>
          <w:bCs/>
        </w:rPr>
        <w:t>There is no evidence from the PG&amp;E system that shows firm intrastate rights should not be adopted for SoCalGas.</w:t>
      </w:r>
    </w:p>
    <w:p>
      <w:pPr>
        <w:pStyle w:val="Normal"/>
        <w:spacing w:lineRule="auto" w:line="360"/>
        <w:ind w:start="2030" w:end="0"/>
        <w:rPr/>
      </w:pPr>
      <w:r>
        <w:rPr/>
      </w:r>
    </w:p>
    <w:p>
      <w:pPr>
        <w:pStyle w:val="Normal"/>
        <w:tabs>
          <w:tab w:val="clear" w:pos="720"/>
          <w:tab w:val="left" w:pos="0" w:leader="none"/>
        </w:tabs>
        <w:spacing w:lineRule="auto" w:line="360"/>
        <w:ind w:firstLine="720" w:end="0"/>
        <w:rPr/>
      </w:pPr>
      <w:r>
        <w:rPr/>
        <w:t>At pp.25-26, SCGC claims that recent events indicate that “tightness” of capacity on the PG&amp;E system is allowing firm capacity rights holders to exploit customers without regulatory constraint.  The only “evidence” for this proposition that SCGC cites, however, is a single sentence out of testimony in a PG&amp;E application (A.00-04-002) filed on April 3, 2000.  This one sentence, taken out of context, is outside the record in this case and has not been subject to cross-examination.  SoCalGas and SDG&amp;E will not dignify this argument except to point out that PG&amp;E’s core gas acquisition department is simply seeking capacity to replace its Silverado backbone capacity that it will no longer use due to California gas contract termination with a near-equivalent amount seasonal (winter) Baja capacity. It is not seeking to decrease the level of any citygate purchases it may already be making.  The principal reason given by PG&amp;E for retaining this amount of firm capacity is to assure core peak-day reliability.  It says only that citygate purchases are “potentially” high-priced.  It provides no data to show that holding Baja capacity and buying at the border has been shown to be lower-cost than buying at the citygate.  By contrast, the detailed analysis by Mr. Beach on the record in this case of actual citygate and border prices on PG&amp;E under the Gas Accord show that citygate prices have averaged lower than border prices plus intrastate backbone transportation (Ex.No.5, pp.4-5 and chart following).</w:t>
      </w:r>
    </w:p>
    <w:p>
      <w:pPr>
        <w:pStyle w:val="Normal"/>
        <w:tabs>
          <w:tab w:val="clear" w:pos="720"/>
          <w:tab w:val="left" w:pos="0" w:leader="none"/>
        </w:tabs>
        <w:spacing w:lineRule="auto" w:line="360"/>
        <w:ind w:firstLine="720" w:end="0"/>
        <w:rPr/>
      </w:pPr>
      <w:r>
        <w:rPr/>
      </w:r>
    </w:p>
    <w:p>
      <w:pPr>
        <w:pStyle w:val="Normal"/>
        <w:tabs>
          <w:tab w:val="clear" w:pos="720"/>
          <w:tab w:val="left" w:pos="0" w:leader="none"/>
        </w:tabs>
        <w:spacing w:lineRule="auto" w:line="360"/>
        <w:ind w:firstLine="720" w:end="0"/>
        <w:rPr/>
      </w:pPr>
      <w:r>
        <w:rPr/>
      </w:r>
    </w:p>
    <w:p>
      <w:pPr>
        <w:pStyle w:val="Normal"/>
        <w:numPr>
          <w:ilvl w:val="0"/>
          <w:numId w:val="6"/>
        </w:numPr>
        <w:tabs>
          <w:tab w:val="clear" w:pos="720"/>
          <w:tab w:val="left" w:pos="0" w:leader="none"/>
        </w:tabs>
        <w:ind w:hanging="2615" w:start="4055" w:end="0"/>
        <w:rPr>
          <w:b/>
          <w:bCs/>
        </w:rPr>
      </w:pPr>
      <w:r>
        <w:rPr>
          <w:b/>
          <w:bCs/>
        </w:rPr>
        <w:t>Holders of firm intrastate capacity rights on SoCalGas’ system could not exercise market power.</w:t>
      </w:r>
    </w:p>
    <w:p>
      <w:pPr>
        <w:pStyle w:val="Normal"/>
        <w:numPr>
          <w:ilvl w:val="0"/>
          <w:numId w:val="0"/>
        </w:numPr>
        <w:spacing w:lineRule="auto" w:line="360"/>
        <w:ind w:hanging="0" w:start="1440" w:end="0"/>
        <w:rPr>
          <w:b/>
          <w:bCs/>
        </w:rPr>
      </w:pPr>
      <w:r>
        <w:rPr>
          <w:b/>
          <w:bCs/>
        </w:rPr>
      </w:r>
    </w:p>
    <w:p>
      <w:pPr>
        <w:pStyle w:val="Normal"/>
        <w:numPr>
          <w:ilvl w:val="0"/>
          <w:numId w:val="0"/>
        </w:numPr>
        <w:tabs>
          <w:tab w:val="clear" w:pos="720"/>
          <w:tab w:val="left" w:pos="0" w:leader="none"/>
        </w:tabs>
        <w:spacing w:lineRule="auto" w:line="360"/>
        <w:ind w:hanging="0" w:start="0" w:end="0"/>
        <w:rPr/>
      </w:pPr>
      <w:r>
        <w:rPr/>
        <w:t>At pp.27-29, SCGC claims that the availability of interruptible transportation from SoCalGas is not adequate to prevent firm backbone rights holders from withholding capacity to extort excess profits.  SCGC concedes that SoCalGas is allowed to sell on an interruptible basis under a 100% volumetric rate, with a ceiling of 120% of embedded cost</w:t>
      </w:r>
      <w:r>
        <w:rPr>
          <w:rStyle w:val="FootnoteCharacters"/>
          <w:rStyle w:val="FootnoteReference"/>
        </w:rPr>
        <w:footnoteReference w:id="9"/>
      </w:r>
      <w:r>
        <w:rPr/>
        <w:t xml:space="preserve">, firm capacity held by others but not nominated for use by them.  SCGC says that this availability is not adequate because SoCalGas has no </w:t>
      </w:r>
      <w:r>
        <w:rPr>
          <w:u w:val="single"/>
        </w:rPr>
        <w:t>obligation</w:t>
      </w:r>
      <w:r>
        <w:rPr/>
        <w:t xml:space="preserve"> under the Comprehensive Settlement to actually sell interruptible capacity.  SCGC posits that SoCalGas may have a “mutual interest” with marketers to withhold capacity.  SCGC has presented no evidence that shows that SoCalGas is likely to do so.</w:t>
      </w:r>
    </w:p>
    <w:p>
      <w:pPr>
        <w:pStyle w:val="Normal"/>
        <w:numPr>
          <w:ilvl w:val="0"/>
          <w:numId w:val="0"/>
        </w:numPr>
        <w:tabs>
          <w:tab w:val="clear" w:pos="720"/>
          <w:tab w:val="left" w:pos="0" w:leader="none"/>
        </w:tabs>
        <w:spacing w:lineRule="auto" w:line="360"/>
        <w:ind w:hanging="0" w:start="0" w:end="0"/>
        <w:rPr/>
      </w:pPr>
      <w:r>
        <w:rPr/>
        <w:t>It makes no sense to say that SoCalGas will withhold interruptible capacity.  To do so would deny it revenues that it would be entitled to retain under the Comprehensive Settlement.  Furthermore, under the Comprehensive Settlement, the same ceiling rate of 120% of embedded cost applies to both interruptible and negotiated firm backbone contracts outside the annual open seasons (Section 1.1.3.7, p.18).  If SoCalGas were colluding with holders of firm backbone capacity to withhold transmission capacity from the market and divide any proceeds (presumably in excess of the permitted level of 120% of embedded cost)</w:t>
      </w:r>
      <w:r>
        <w:rPr>
          <w:rStyle w:val="FootnoteCharacters"/>
          <w:rStyle w:val="FootnoteReference"/>
        </w:rPr>
        <w:footnoteReference w:id="10"/>
      </w:r>
      <w:r>
        <w:rPr/>
        <w:t>, the Commission (and other law enforcement agencies) could intervene.</w:t>
      </w:r>
    </w:p>
    <w:p>
      <w:pPr>
        <w:pStyle w:val="Normal"/>
        <w:numPr>
          <w:ilvl w:val="0"/>
          <w:numId w:val="0"/>
        </w:numPr>
        <w:tabs>
          <w:tab w:val="clear" w:pos="720"/>
          <w:tab w:val="left" w:pos="0" w:leader="none"/>
        </w:tabs>
        <w:spacing w:lineRule="auto" w:line="360"/>
        <w:ind w:hanging="0" w:start="0" w:end="0"/>
        <w:rPr/>
      </w:pPr>
      <w:r>
        <w:rPr/>
        <w:t xml:space="preserve">Furthermore, SCGC does not argue that the Commission imposed any </w:t>
      </w:r>
      <w:r>
        <w:rPr>
          <w:u w:val="single"/>
        </w:rPr>
        <w:t>requirement</w:t>
      </w:r>
      <w:r>
        <w:rPr/>
        <w:t xml:space="preserve"> on PG&amp;E in the Gas Accord to sell on an interruptible basis capacity that was contracted-for on a firm basis but not used by the holder, but the Commission approved the Gas Accord nevertheless and it has not resulted in abuse of customers.  SCGC does not argue that there is any evidence that PG&amp;E has abused discretion not to sell interruptible capacity under the Gas Accord.</w:t>
      </w:r>
    </w:p>
    <w:p>
      <w:pPr>
        <w:pStyle w:val="Normal"/>
        <w:numPr>
          <w:ilvl w:val="0"/>
          <w:numId w:val="0"/>
        </w:numPr>
        <w:tabs>
          <w:tab w:val="clear" w:pos="720"/>
          <w:tab w:val="left" w:pos="0" w:leader="none"/>
        </w:tabs>
        <w:spacing w:lineRule="auto" w:line="360"/>
        <w:ind w:hanging="0" w:start="0" w:end="0"/>
        <w:rPr/>
      </w:pPr>
      <w:r>
        <w:rPr/>
        <w:t>Finally, the availability of capacity from SoCalGas on an interruptible basis when the person who owns the firm rights attempts to withhold it from the market is only one of the protections under the Comprehensive Settlement for customers from the alleged possibility of market power abuse.  Indeed, the Comprehensive Settlement goes beyond the provisions of the Gas Accord that the Commission approved to address these concerns, such as in providing preferential access by end-use customers over marketers to backbone capacity in the first two stages of the initial open season and in imposing a 40% market concentration limit by receipt point in the open season process.</w:t>
      </w:r>
    </w:p>
    <w:p>
      <w:pPr>
        <w:pStyle w:val="Normal"/>
        <w:numPr>
          <w:ilvl w:val="0"/>
          <w:numId w:val="0"/>
        </w:numPr>
        <w:tabs>
          <w:tab w:val="clear" w:pos="720"/>
          <w:tab w:val="left" w:pos="0" w:leader="none"/>
        </w:tabs>
        <w:spacing w:lineRule="auto" w:line="360"/>
        <w:ind w:hanging="0" w:start="0" w:end="0"/>
        <w:rPr/>
      </w:pPr>
      <w:r>
        <w:rPr/>
        <w:t>At pp.29-31, SCGC complains that the Comprehensive Settlement’s 40% market concentration limit on backbone capacity in the open season is inadequate to protect gas consumers because it does not apply to capacity acquired outside the open season.  By contrast, however, there is no market concentration limitation in the Gas Accord the Commission approved.  There is no such limitation in FERC regulation of interstate pipelines.  The Comprehensive Settlement goes well beyond what either this Commission or the FERC has required previously when allowing the secondary market trading of firm transmission capacity rights.</w:t>
      </w:r>
    </w:p>
    <w:p>
      <w:pPr>
        <w:pStyle w:val="Normal"/>
        <w:numPr>
          <w:ilvl w:val="0"/>
          <w:numId w:val="0"/>
        </w:numPr>
        <w:tabs>
          <w:tab w:val="clear" w:pos="720"/>
          <w:tab w:val="left" w:pos="0" w:leader="none"/>
        </w:tabs>
        <w:spacing w:lineRule="auto" w:line="360"/>
        <w:ind w:hanging="0" w:start="0" w:end="0"/>
        <w:rPr/>
      </w:pPr>
      <w:r>
        <w:rPr/>
      </w:r>
    </w:p>
    <w:p>
      <w:pPr>
        <w:pStyle w:val="Normal"/>
        <w:numPr>
          <w:ilvl w:val="0"/>
          <w:numId w:val="0"/>
        </w:numPr>
        <w:tabs>
          <w:tab w:val="clear" w:pos="720"/>
          <w:tab w:val="left" w:pos="0" w:leader="none"/>
        </w:tabs>
        <w:spacing w:lineRule="auto" w:line="360"/>
        <w:ind w:hanging="0" w:start="0" w:end="0"/>
        <w:rPr/>
      </w:pPr>
      <w:r>
        <w:rPr/>
      </w:r>
    </w:p>
    <w:p>
      <w:pPr>
        <w:pStyle w:val="Normal"/>
        <w:numPr>
          <w:ilvl w:val="0"/>
          <w:numId w:val="6"/>
        </w:numPr>
        <w:tabs>
          <w:tab w:val="clear" w:pos="720"/>
          <w:tab w:val="left" w:pos="0" w:leader="none"/>
        </w:tabs>
        <w:ind w:hanging="2615" w:start="4055" w:end="0"/>
        <w:rPr>
          <w:b/>
          <w:bCs/>
        </w:rPr>
      </w:pPr>
      <w:r>
        <w:rPr>
          <w:b/>
          <w:bCs/>
        </w:rPr>
        <w:t>The Comprehensive Settlement’s open season provisions will protect gas consumers.</w:t>
      </w:r>
    </w:p>
    <w:p>
      <w:pPr>
        <w:pStyle w:val="Normal"/>
        <w:spacing w:lineRule="auto" w:line="360"/>
        <w:ind w:start="1440" w:end="0"/>
        <w:rPr/>
      </w:pPr>
      <w:r>
        <w:rPr/>
      </w:r>
    </w:p>
    <w:p>
      <w:pPr>
        <w:pStyle w:val="Normal"/>
        <w:tabs>
          <w:tab w:val="clear" w:pos="720"/>
          <w:tab w:val="left" w:pos="0" w:leader="none"/>
        </w:tabs>
        <w:spacing w:lineRule="auto" w:line="360"/>
        <w:ind w:firstLine="720" w:end="0"/>
        <w:rPr/>
      </w:pPr>
      <w:r>
        <w:rPr/>
        <w:t>At pp.31-41 of its opening brief, SCGC attacks the adequacy of provision of the Comprehensive Settlement that allows only end-use customers, and not marketers, to acquire backbone capacity in the first two of the three stages of the initial open season.</w:t>
      </w:r>
    </w:p>
    <w:p>
      <w:pPr>
        <w:pStyle w:val="Normal"/>
        <w:tabs>
          <w:tab w:val="clear" w:pos="720"/>
          <w:tab w:val="left" w:pos="0" w:leader="none"/>
        </w:tabs>
        <w:spacing w:lineRule="auto" w:line="360"/>
        <w:ind w:firstLine="720" w:end="0"/>
        <w:rPr/>
      </w:pPr>
      <w:r>
        <w:rPr/>
        <w:t xml:space="preserve">The Commission should not miss the fundamental point:  the PG&amp;E Gas Accord provided </w:t>
      </w:r>
      <w:r>
        <w:rPr>
          <w:u w:val="single"/>
        </w:rPr>
        <w:t>no</w:t>
      </w:r>
      <w:r>
        <w:rPr/>
        <w:t xml:space="preserve"> process for preferential access by end-use customers over marketers or others to backbone capacity in the open season.  Yet the Commission found the Gas Accord to be in the public interest and approved it.  The Gas Accord has operated in the public interest and the Commission has not found any reason or need to undo its firm backbone transmission rights provisions.  The Comprehensive Settlement takes the extra step of giving end-users substantial preferential access.  Quibbles about its details are no reason to reject it.</w:t>
      </w:r>
    </w:p>
    <w:p>
      <w:pPr>
        <w:pStyle w:val="Normal"/>
        <w:tabs>
          <w:tab w:val="clear" w:pos="720"/>
          <w:tab w:val="left" w:pos="0" w:leader="none"/>
        </w:tabs>
        <w:spacing w:lineRule="auto" w:line="360"/>
        <w:ind w:firstLine="720" w:end="0"/>
        <w:rPr/>
      </w:pPr>
      <w:r>
        <w:rPr/>
        <w:t>SCGC at p.33 says that the Comprehensive Settlement is defective because it limits preferential access by end-users to their historical consumption.  This allegedly would cause distress to new end-use load.  However, some reasonable limit on preferential access was needed, and historical consumption was the measure that was least likely to be “gamed”.  Furthermore, the Comprehensive Settlement specifically ensures that at least 20% of the capacity available in the third stage of the first open season (i.e., at least 230 MMcfd of capacity will be made available in each subsequent annual open season on a one-year basis).  This will accommodate any load growth from new or existing end-users in the noncore market.</w:t>
      </w:r>
    </w:p>
    <w:p>
      <w:pPr>
        <w:pStyle w:val="Normal"/>
        <w:tabs>
          <w:tab w:val="clear" w:pos="720"/>
          <w:tab w:val="left" w:pos="0" w:leader="none"/>
        </w:tabs>
        <w:spacing w:lineRule="auto" w:line="360"/>
        <w:ind w:firstLine="720" w:end="0"/>
        <w:rPr/>
      </w:pPr>
      <w:r>
        <w:rPr/>
        <w:t>SCGC at p.33-34 complains that the Comprehensive Settlement would assure preferential access to end-users to a minimum of only 915 MMcfd of capacity, when EGs peak demand allegedly exceeds 1,550 MMcfd.  As SoCalGas and SDG&amp;E discussed at length in their opening brief, it would be foolish for EG customers to contract for firm backbone capacity to meet their peak demand.  Furthermore, the record shows that the SCGC members do not contract for anything close to their peak demands on interstate pipelines upstream of SoCalGas.</w:t>
      </w:r>
      <w:r>
        <w:rPr>
          <w:rStyle w:val="FootnoteCharacters"/>
          <w:rStyle w:val="FootnoteReference"/>
        </w:rPr>
        <w:footnoteReference w:id="11"/>
      </w:r>
      <w:r>
        <w:rPr/>
        <w:t xml:space="preserve">  The total amount of backbone capacity on SoCalGas’ system has a very substantial slack factor as compared to demand for gas by its customers.  SoCalGas has a great deal of storage </w:t>
      </w:r>
    </w:p>
    <w:p>
      <w:pPr>
        <w:pStyle w:val="Normal"/>
        <w:tabs>
          <w:tab w:val="clear" w:pos="720"/>
          <w:tab w:val="left" w:pos="0" w:leader="none"/>
        </w:tabs>
        <w:spacing w:lineRule="auto" w:line="360"/>
        <w:rPr/>
      </w:pPr>
      <w:r>
        <w:rPr/>
        <w:t>capacity that helps customers meet peak demand.  The Comprehensive Settlement does not eliminate any of this capacity.  It guarantees that SoCalGas will keep 3500 MMcfd of backbone transmission available and it reduces increases the amount of storage available to noncore customers by reducing the allocation of storage capacity to core customers.</w:t>
      </w:r>
      <w:r>
        <w:br w:type="page"/>
      </w:r>
    </w:p>
    <w:p>
      <w:pPr>
        <w:pStyle w:val="Normal"/>
        <w:tabs>
          <w:tab w:val="clear" w:pos="720"/>
          <w:tab w:val="left" w:pos="0" w:leader="none"/>
        </w:tabs>
        <w:spacing w:lineRule="auto" w:line="360"/>
        <w:ind w:firstLine="720" w:end="0"/>
        <w:rPr/>
      </w:pPr>
      <w:r>
        <w:rPr/>
        <w:t xml:space="preserve">At pp.36-37 of its opening brief, SCGC says that based on the results of the PG&amp;E Gas Accord open season, an open season stage that is open to all, like the third stage of the initial open season under the Comprehensive Settlement, will result in EG customers being able to acquire capacity equal to only 75% of their peak demand.  Again, it is not reasonable for the EG customers to want to contract for such a high level.  Furthermore, SCGC’s claims about the PG&amp;E experience make no sense.  The fact is that when PG&amp;E’s UEG department bid in its backbone transmission </w:t>
      </w:r>
    </w:p>
    <w:p>
      <w:pPr>
        <w:pStyle w:val="Normal"/>
        <w:tabs>
          <w:tab w:val="clear" w:pos="720"/>
          <w:tab w:val="left" w:pos="0" w:leader="none"/>
        </w:tabs>
        <w:spacing w:lineRule="auto" w:line="360"/>
        <w:rPr/>
      </w:pPr>
      <w:r>
        <w:rPr/>
        <w:t>season, it won so much capacity that other participants filed complaints.  The PG&amp;E experience hardly proves that EG customers cannot acquire a lot of capacity in an open season open to all comers.</w:t>
      </w:r>
    </w:p>
    <w:p>
      <w:pPr>
        <w:pStyle w:val="Normal"/>
        <w:tabs>
          <w:tab w:val="clear" w:pos="720"/>
          <w:tab w:val="left" w:pos="0" w:leader="none"/>
        </w:tabs>
        <w:spacing w:lineRule="auto" w:line="360"/>
        <w:ind w:firstLine="720" w:end="0"/>
        <w:rPr/>
      </w:pPr>
      <w:r>
        <w:rPr/>
        <w:t>SCGC is also wrong in saying at pp.37-41 that sufficient capacity will not be available in the secondary market.  SCGC says the SoCalGas Gas Acquisition Department (which will initially be allocated 1,000 MMcfd of backbone capacity) will be a limited source of secondary market capacity, especially in the summer when EGs peak.  SCGC at p.38 cites 1999 recorded bundled core use of backbone transmission capacity from May through September at “99.8” MMcfd.  One assumes that the decimal place was a typo and SCGC meant 998 MMcfd.  However, the Comprehensive Settlement will change how SoCalGas Acquisition operates from the way it operated in 1999.  In 1999, the total core filed storage during the summer to reach a winter-beginning inventory of 70 Bcf.  The Comprehensive Settlement reduces total core storage inventory to 55 Bcf, and bundled core gets only a proportional allocation of the 55 Bcf.  Thus even if the SoCalGas Gas Acquisition Department decides to fill all of its proportionate share of the 55 Bcf (and assume 95% bundled core market share, making its share 52.25 Bcf), Gas Acquisition will make 83 MMcfd less use of backbone capacity than it did in 1999.  (70 Bcf – 52.25 Bcf / 214 days in the April-October injection season = 83 MMcfd).  Furthermore, under the Comprehensive Settlement, Gas Acquisition will no longer be responsible for buying  LUAF requirements for transmission and storage, thus further reducing its historical use of summertime backbone transmission capacity.</w:t>
      </w:r>
    </w:p>
    <w:p>
      <w:pPr>
        <w:pStyle w:val="Normal"/>
        <w:tabs>
          <w:tab w:val="clear" w:pos="720"/>
          <w:tab w:val="left" w:pos="0" w:leader="none"/>
        </w:tabs>
        <w:spacing w:lineRule="auto" w:line="360"/>
        <w:ind w:firstLine="720" w:end="0"/>
        <w:rPr/>
      </w:pPr>
      <w:r>
        <w:rPr/>
        <w:t xml:space="preserve">At pp.39-41, SCGC paints a fantasy of marketer abuse of backbone capacity rights.  At p.40, SCGC projects, based on the alleged results of the PG&amp;E open season, that marketers will obtain 890 MMcfd of the 1150 MMcfd of capacity available in the third stage of the initial SoCalGas open season, which is 25% of the total 3500 MMcfd capacity.  SCGC then says that because Dynegy (or its predecessor Natural Gas Clearinghouse) allegedly was able to exercise market power when holding about 20% of the 6,150 MMcfd of interstate capacity connected to southern California, it follows that at a 25% market share under the Comprehensive Settlement, marketers could exercise market power on the SoCalGas intrastate system.  The obvious fallacy of this argument is that it compares the alleged market power of </w:t>
      </w:r>
      <w:r>
        <w:rPr>
          <w:u w:val="single"/>
        </w:rPr>
        <w:t>one</w:t>
      </w:r>
      <w:r>
        <w:rPr/>
        <w:t xml:space="preserve"> entity holding about 20% of capacity in a market with the market power of dozens of entities collectively holding about 25% of the capacity in a market.  Recall that SCGC witness Yap testified that about 75 entities obtained Redwood Path capacity on PG&amp;E (Tr.v.2, p.214-215).  Unless the marketers engage in unlawful conspiracy, none of them will be in a position to exercise market power when they individually hold only a fraction of 25% of capacity.</w:t>
      </w:r>
    </w:p>
    <w:p>
      <w:pPr>
        <w:pStyle w:val="Normal"/>
        <w:ind w:hanging="547" w:start="1267" w:end="0"/>
        <w:rPr>
          <w:b/>
          <w:bCs/>
        </w:rPr>
      </w:pPr>
      <w:r>
        <w:rPr>
          <w:b/>
          <w:bCs/>
        </w:rPr>
        <w:t>5.  Use of a price auction in the transmission open season is neither necessary nor desired by most customers.</w:t>
      </w:r>
    </w:p>
    <w:p>
      <w:pPr>
        <w:pStyle w:val="Normal"/>
        <w:tabs>
          <w:tab w:val="clear" w:pos="720"/>
          <w:tab w:val="left" w:pos="0" w:leader="none"/>
        </w:tabs>
        <w:spacing w:lineRule="auto" w:line="360"/>
        <w:ind w:firstLine="720" w:end="0"/>
        <w:rPr>
          <w:b/>
          <w:bCs/>
        </w:rPr>
      </w:pPr>
      <w:r>
        <w:rPr>
          <w:b/>
          <w:bCs/>
        </w:rPr>
      </w:r>
    </w:p>
    <w:p>
      <w:pPr>
        <w:pStyle w:val="Normal"/>
        <w:tabs>
          <w:tab w:val="clear" w:pos="720"/>
          <w:tab w:val="left" w:pos="0" w:leader="none"/>
        </w:tabs>
        <w:spacing w:lineRule="auto" w:line="360"/>
        <w:ind w:firstLine="720" w:end="0"/>
        <w:rPr/>
      </w:pPr>
      <w:r>
        <w:rPr/>
        <w:t>SCGC at pp.42-44, TURN at pp.41-42, and Long Beach at pp.2-18, all criticize the Comprehensive Settlement for not allowing participants in an open season to bid more than the embedded cost of capacity and awarding “oversubscribed” capacity to those who bid the most.</w:t>
      </w:r>
    </w:p>
    <w:p>
      <w:pPr>
        <w:pStyle w:val="Normal"/>
        <w:tabs>
          <w:tab w:val="clear" w:pos="720"/>
          <w:tab w:val="left" w:pos="0" w:leader="none"/>
        </w:tabs>
        <w:spacing w:lineRule="auto" w:line="360"/>
        <w:ind w:firstLine="720" w:end="0"/>
        <w:rPr/>
      </w:pPr>
      <w:r>
        <w:rPr/>
        <w:t xml:space="preserve">The Commission should not be fooled for even a moment by SCGC’s objections on this ground.  SCGC is just trying to generate as many objections to the Comprehensive Settlement as it can imagine, in hopes that some of the mud will stick.  SCGC’s objection on this ground is contrary to the rest of its objections to the creation of firm, tradable intrastate transmission rights.  SCGC has claimed that the Comprehensive Settlement will cause its members’ cost of gas to be sharply increased by having to reserve and pay for backbone capacity to meet their peak demands. SCGC argues that its members are desperate to acquire capacity and thus will be at the mercy of marketers if they hold capacity.  SCGC claims its members will be particularly victimized because of their alleged status as low load factor customers.  Given these arguments, can anyone believe that SCGC </w:t>
      </w:r>
      <w:r>
        <w:rPr>
          <w:u w:val="single"/>
        </w:rPr>
        <w:t>really</w:t>
      </w:r>
      <w:r>
        <w:rPr/>
        <w:t xml:space="preserve"> would prefer a system of firm, tradable capacity rights in which SCGC members would have to bid against marketers on the basis of price above embedded cost to obtain such capacity?  Can anyone imagine that having to bid above embedded cost to obtain capacity would really make a capacity rights system more favorable to low load factor customers?  And if SCGC really wants a system in which those who value capacity the most pay the most, why is it so concerned that the Comprehensive Settlement is allegedly going to allow marketers to increase its members’ cost of gas service?</w:t>
      </w:r>
    </w:p>
    <w:p>
      <w:pPr>
        <w:pStyle w:val="Normal"/>
        <w:tabs>
          <w:tab w:val="clear" w:pos="720"/>
          <w:tab w:val="left" w:pos="0" w:leader="none"/>
        </w:tabs>
        <w:spacing w:lineRule="auto" w:line="360"/>
        <w:ind w:firstLine="720" w:end="0"/>
        <w:rPr/>
      </w:pPr>
      <w:r>
        <w:rPr/>
        <w:t>TURN at p.41 complains that the Comprehensive Settlement’s open season’s “cap” at embedded cost does not comply with the Commission’s most promising options.  This is an odd criterion coming from TURN, which rejects most of the Commission’s promising options.  In any case, the Comprehensive Settlement is not inconsistent with the promising option for firm, tradable intrastate capacity identified by the Commission in D.99-07-015.  That decision does not describe with any specificity whether price should be a criterion in awarding capacity by the utility in its open season.  TURN cites its reference at mimeo p.136 to “value-based pricing”.  SCGC cites its reference at pp.13-14 to:</w:t>
      </w:r>
    </w:p>
    <w:p>
      <w:pPr>
        <w:pStyle w:val="Normal"/>
        <w:tabs>
          <w:tab w:val="left" w:pos="720" w:leader="none"/>
        </w:tabs>
        <w:ind w:start="720" w:end="720"/>
        <w:rPr/>
      </w:pPr>
      <w:r>
        <w:rPr/>
        <w:t>…</w:t>
      </w:r>
      <w:r>
        <w:rPr/>
        <w:t>a system that would define firm intrastate transmission capacity rights to be held by customer/shippers, and that could be traded in a secondary market.  These companies recognize that such a change would allow customers to bid for capacity in a manner that reflects the value they place on it.</w:t>
      </w:r>
    </w:p>
    <w:p>
      <w:pPr>
        <w:pStyle w:val="Normal"/>
        <w:tabs>
          <w:tab w:val="left" w:pos="720" w:leader="none"/>
        </w:tabs>
        <w:ind w:start="720" w:end="720"/>
        <w:rPr/>
      </w:pPr>
      <w:r>
        <w:rPr/>
      </w:r>
    </w:p>
    <w:p>
      <w:pPr>
        <w:pStyle w:val="Normal"/>
        <w:tabs>
          <w:tab w:val="clear" w:pos="720"/>
          <w:tab w:val="left" w:pos="0" w:leader="none"/>
        </w:tabs>
        <w:spacing w:lineRule="auto" w:line="360"/>
        <w:ind w:firstLine="720" w:end="0"/>
        <w:rPr/>
      </w:pPr>
      <w:r>
        <w:rPr/>
        <w:t>The Comprehensive Settlement’s approach is consistent with this general description in D.99-07-015.  The Comprehensive Settlement provides for an unregulated secondary market in backbone transmission rights.  Customers will be able to obtain capacity in a manner that reflects the value they place on it through the secondary market.  The secondary market is specifically referenced in the quote from D.99-07-015 above, and the use of the secondary market as the engine for economically-efficient allocation of capacity in the Comprehensive Settlement is consistent with D.99-07-015.</w:t>
      </w:r>
    </w:p>
    <w:p>
      <w:pPr>
        <w:pStyle w:val="Normal"/>
        <w:tabs>
          <w:tab w:val="clear" w:pos="720"/>
          <w:tab w:val="left" w:pos="0" w:leader="none"/>
        </w:tabs>
        <w:spacing w:lineRule="auto" w:line="360"/>
        <w:ind w:firstLine="720" w:end="0"/>
        <w:rPr/>
      </w:pPr>
      <w:r>
        <w:rPr/>
        <w:t>The ardor of Long Beach’s brief in favor of a capacity bidding process using price unconstrained by embedded cost is, no doubt, genuine.  But even Long Beach’s opening brief implicitly concedes that the Comprehensive Settlement’s model of an open season at embedded cost plus an unregulated secondary market will achieve economically-efficient allocation.</w:t>
      </w:r>
    </w:p>
    <w:p>
      <w:pPr>
        <w:pStyle w:val="Normal"/>
        <w:tabs>
          <w:tab w:val="clear" w:pos="720"/>
          <w:tab w:val="left" w:pos="0" w:leader="none"/>
        </w:tabs>
        <w:spacing w:lineRule="auto" w:line="360"/>
        <w:ind w:firstLine="720" w:end="0"/>
        <w:rPr/>
      </w:pPr>
      <w:r>
        <w:rPr/>
      </w:r>
    </w:p>
    <w:p>
      <w:pPr>
        <w:pStyle w:val="Normal"/>
        <w:tabs>
          <w:tab w:val="clear" w:pos="720"/>
          <w:tab w:val="left" w:pos="0" w:leader="none"/>
        </w:tabs>
        <w:spacing w:lineRule="auto" w:line="360"/>
        <w:ind w:firstLine="720" w:end="0"/>
        <w:rPr/>
      </w:pPr>
      <w:r>
        <w:rPr/>
        <w:t>As Long Beach’s brief at p.7 states:</w:t>
      </w:r>
    </w:p>
    <w:p>
      <w:pPr>
        <w:pStyle w:val="Normal"/>
        <w:tabs>
          <w:tab w:val="left" w:pos="720" w:leader="none"/>
        </w:tabs>
        <w:ind w:firstLine="720" w:start="720" w:end="720"/>
        <w:rPr/>
      </w:pPr>
      <w:r>
        <w:rPr/>
        <w:t>One alternative to the auction would be to simply allocate to each customer a pro-rata share of capacity at each receipt point.  While that method would appear to be “fair,” it would be highly inefficient, because it would impose steep transaction costs on each customer.</w:t>
      </w:r>
    </w:p>
    <w:p>
      <w:pPr>
        <w:pStyle w:val="BlockText"/>
        <w:rPr/>
      </w:pPr>
      <w:r>
        <w:rPr/>
        <w:t>However, that model is useful, because it resolves the issue of who is entitled to the value of constrained receipt point capacity:  the ratepayers.</w:t>
      </w:r>
    </w:p>
    <w:p>
      <w:pPr>
        <w:pStyle w:val="Normal"/>
        <w:tabs>
          <w:tab w:val="clear" w:pos="720"/>
          <w:tab w:val="left" w:pos="0" w:leader="none"/>
        </w:tabs>
        <w:spacing w:lineRule="auto" w:line="360"/>
        <w:ind w:firstLine="720" w:end="0"/>
        <w:rPr/>
      </w:pPr>
      <w:r>
        <w:rPr/>
      </w:r>
    </w:p>
    <w:p>
      <w:pPr>
        <w:pStyle w:val="Normal"/>
        <w:tabs>
          <w:tab w:val="clear" w:pos="720"/>
          <w:tab w:val="left" w:pos="0" w:leader="none"/>
        </w:tabs>
        <w:spacing w:lineRule="auto" w:line="360"/>
        <w:ind w:firstLine="720" w:end="0"/>
        <w:rPr/>
      </w:pPr>
      <w:r>
        <w:rPr/>
        <w:t>In large part, the Comprehensive Settlement adopts this “fair” approach:  retail core and wholesale customers for core load are given the option of what is effectively a pro-rata (or better) share of intrastate backbone transmission at embedded cost.  In the first two stages of the initial open season, noncore customers are given a similar opportunity relative to their historical consumption.  They then are free to trade in the secondary market, to buy or sell capacity and realize any premium of market value over the embedded cost of constrained receipt points.</w:t>
      </w:r>
    </w:p>
    <w:p>
      <w:pPr>
        <w:pStyle w:val="Normal"/>
        <w:tabs>
          <w:tab w:val="clear" w:pos="720"/>
          <w:tab w:val="left" w:pos="0" w:leader="none"/>
        </w:tabs>
        <w:spacing w:lineRule="auto" w:line="360"/>
        <w:ind w:firstLine="720" w:end="0"/>
        <w:rPr/>
      </w:pPr>
      <w:r>
        <w:rPr/>
        <w:t>SoCalGas and SDG&amp;E disagree with Long Beach about the relative burden of “transaction costs” under the two alternative approaches.  The “transactions costs” of having to bid in an auction, potentially at significant premiums to embedded cost for some receipt points, is not insignificant.  Once a customer acquires capacity in its own name in an auction, it still has to manage that capacity over time, including potentially reducing or increasing the capacity through secondary market transactions.</w:t>
      </w:r>
    </w:p>
    <w:p>
      <w:pPr>
        <w:pStyle w:val="Normal"/>
        <w:tabs>
          <w:tab w:val="clear" w:pos="720"/>
          <w:tab w:val="left" w:pos="0" w:leader="none"/>
        </w:tabs>
        <w:spacing w:lineRule="auto" w:line="360"/>
        <w:ind w:firstLine="720" w:end="0"/>
        <w:rPr/>
      </w:pPr>
      <w:r>
        <w:rPr/>
        <w:t>Finally, it should be noted that the PG&amp;E Gas Accord did not provide for a “true” auction in the open season and relies on the secondary market, just as the Comprehensive Settlement proposes.  Certainly D.99-07-015 did not make any point of saying a firm, tradable backbone capacity rights system for SoCalGas should use a different open season process than the Gas Accord.  The Commission approved the Gas Accord and it has operated acceptably to achieve the Commission’s goal.  So would the Comprehensive Settlement.</w:t>
      </w:r>
    </w:p>
    <w:p>
      <w:pPr>
        <w:pStyle w:val="Normal"/>
        <w:tabs>
          <w:tab w:val="clear" w:pos="720"/>
          <w:tab w:val="left" w:pos="0" w:leader="none"/>
        </w:tabs>
        <w:spacing w:lineRule="auto" w:line="360"/>
        <w:ind w:firstLine="720" w:end="0"/>
        <w:rPr/>
      </w:pPr>
      <w:r>
        <w:rPr/>
      </w:r>
    </w:p>
    <w:p>
      <w:pPr>
        <w:pStyle w:val="Normal"/>
        <w:tabs>
          <w:tab w:val="left" w:pos="720" w:leader="none"/>
        </w:tabs>
        <w:ind w:hanging="547" w:start="1267" w:end="0"/>
        <w:rPr>
          <w:b/>
          <w:bCs/>
        </w:rPr>
      </w:pPr>
      <w:r>
        <w:rPr>
          <w:b/>
          <w:bCs/>
        </w:rPr>
        <w:t>6.  Reservation charges for backbone transmission capacity are reasonable and necessary.</w:t>
      </w:r>
    </w:p>
    <w:p>
      <w:pPr>
        <w:pStyle w:val="Normal"/>
        <w:tabs>
          <w:tab w:val="clear" w:pos="720"/>
          <w:tab w:val="left" w:pos="0" w:leader="none"/>
        </w:tabs>
        <w:spacing w:lineRule="auto" w:line="360"/>
        <w:ind w:firstLine="720" w:end="0"/>
        <w:rPr>
          <w:b/>
          <w:bCs/>
        </w:rPr>
      </w:pPr>
      <w:r>
        <w:rPr>
          <w:b/>
          <w:bCs/>
        </w:rPr>
      </w:r>
    </w:p>
    <w:p>
      <w:pPr>
        <w:pStyle w:val="Normal"/>
        <w:tabs>
          <w:tab w:val="clear" w:pos="720"/>
          <w:tab w:val="left" w:pos="0" w:leader="none"/>
        </w:tabs>
        <w:spacing w:lineRule="auto" w:line="360"/>
        <w:ind w:firstLine="720" w:end="0"/>
        <w:rPr/>
      </w:pPr>
      <w:r>
        <w:rPr/>
        <w:t>SCGC at pp.44-53 object to the existence of reservation charges for backbone capacity in the Comprehensive Settlement.</w:t>
      </w:r>
    </w:p>
    <w:p>
      <w:pPr>
        <w:pStyle w:val="Normal"/>
        <w:tabs>
          <w:tab w:val="clear" w:pos="720"/>
          <w:tab w:val="left" w:pos="0" w:leader="none"/>
        </w:tabs>
        <w:spacing w:lineRule="auto" w:line="360"/>
        <w:ind w:firstLine="720" w:end="0"/>
        <w:rPr/>
      </w:pPr>
      <w:r>
        <w:rPr/>
        <w:t>SoCalGas and SDG&amp;E covered in their joint opening brief the vast bulk of the points raised by SCGC in this portion of its opening brief.  SoCalGas and SDG&amp;E will not repeat this material at length.  However, it is worth providing a brief additional response below.</w:t>
      </w:r>
    </w:p>
    <w:p>
      <w:pPr>
        <w:pStyle w:val="Normal"/>
        <w:tabs>
          <w:tab w:val="clear" w:pos="720"/>
          <w:tab w:val="left" w:pos="0" w:leader="none"/>
        </w:tabs>
        <w:spacing w:lineRule="auto" w:line="360"/>
        <w:ind w:firstLine="720" w:end="0"/>
        <w:rPr/>
      </w:pPr>
      <w:r>
        <w:rPr/>
      </w:r>
    </w:p>
    <w:p>
      <w:pPr>
        <w:pStyle w:val="Normal"/>
        <w:tabs>
          <w:tab w:val="clear" w:pos="720"/>
          <w:tab w:val="left" w:pos="0" w:leader="none"/>
        </w:tabs>
        <w:spacing w:lineRule="auto" w:line="360"/>
        <w:ind w:firstLine="720" w:end="0"/>
        <w:rPr/>
      </w:pPr>
      <w:r>
        <w:rPr/>
      </w:r>
    </w:p>
    <w:p>
      <w:pPr>
        <w:pStyle w:val="Normal"/>
        <w:tabs>
          <w:tab w:val="clear" w:pos="720"/>
          <w:tab w:val="left" w:pos="0" w:leader="none"/>
        </w:tabs>
        <w:spacing w:lineRule="auto" w:line="360"/>
        <w:ind w:firstLine="720" w:end="0"/>
        <w:rPr/>
      </w:pPr>
      <w:r>
        <w:rPr/>
      </w:r>
    </w:p>
    <w:p>
      <w:pPr>
        <w:pStyle w:val="Normal"/>
        <w:tabs>
          <w:tab w:val="clear" w:pos="720"/>
          <w:tab w:val="left" w:pos="0" w:leader="none"/>
        </w:tabs>
        <w:spacing w:lineRule="auto" w:line="360"/>
        <w:ind w:firstLine="720" w:end="0"/>
        <w:rPr/>
      </w:pPr>
      <w:r>
        <w:rPr/>
      </w:r>
    </w:p>
    <w:p>
      <w:pPr>
        <w:pStyle w:val="Normal"/>
        <w:numPr>
          <w:ilvl w:val="0"/>
          <w:numId w:val="7"/>
        </w:numPr>
        <w:tabs>
          <w:tab w:val="clear" w:pos="720"/>
          <w:tab w:val="left" w:pos="0" w:leader="none"/>
        </w:tabs>
        <w:ind w:hanging="2615" w:start="4055" w:end="0"/>
        <w:rPr>
          <w:b/>
          <w:bCs/>
        </w:rPr>
      </w:pPr>
      <w:r>
        <w:rPr>
          <w:b/>
          <w:bCs/>
        </w:rPr>
        <w:t>Backbone reservation charges are consistent with Commission policy.</w:t>
      </w:r>
    </w:p>
    <w:p>
      <w:pPr>
        <w:pStyle w:val="Normal"/>
        <w:numPr>
          <w:ilvl w:val="0"/>
          <w:numId w:val="0"/>
        </w:numPr>
        <w:spacing w:lineRule="auto" w:line="360"/>
        <w:ind w:hanging="0" w:start="1440" w:end="0"/>
        <w:rPr>
          <w:b/>
          <w:bCs/>
        </w:rPr>
      </w:pPr>
      <w:r>
        <w:rPr>
          <w:b/>
          <w:bCs/>
        </w:rPr>
      </w:r>
    </w:p>
    <w:p>
      <w:pPr>
        <w:pStyle w:val="Normal"/>
        <w:numPr>
          <w:ilvl w:val="0"/>
          <w:numId w:val="0"/>
        </w:numPr>
        <w:tabs>
          <w:tab w:val="clear" w:pos="720"/>
          <w:tab w:val="left" w:pos="0" w:leader="none"/>
        </w:tabs>
        <w:spacing w:lineRule="auto" w:line="360"/>
        <w:ind w:hanging="0" w:start="0" w:end="0"/>
        <w:rPr/>
      </w:pPr>
      <w:r>
        <w:rPr/>
        <w:t>SCGC claims (p.45) that reservation charges for intrastate backbone transmission capacity are contrary to Commission policy.  This claim is plainly wrong.</w:t>
      </w:r>
    </w:p>
    <w:p>
      <w:pPr>
        <w:pStyle w:val="Normal"/>
        <w:numPr>
          <w:ilvl w:val="0"/>
          <w:numId w:val="0"/>
        </w:numPr>
        <w:tabs>
          <w:tab w:val="clear" w:pos="720"/>
          <w:tab w:val="left" w:pos="0" w:leader="none"/>
        </w:tabs>
        <w:spacing w:lineRule="auto" w:line="360"/>
        <w:ind w:hanging="0" w:start="0"/>
        <w:rPr/>
      </w:pPr>
      <w:r>
        <w:rPr/>
        <w:tab/>
        <w:t>The Commission precedent that clearly covers the same issue is the Commission’s approval in D.97-08-055 of the PG&amp;E Gas Accord.  It was the Gas Accord that created firm, tradable, intrastate backbone transmission rights on the PG&amp;E system.  The Gas Accord provided for reservation charges for backbone transmission with a SFV rate design, and did not even have the lower reservation charge 50/50 rate design that the Comprehensive Settlement gives customers the option to choose.  SCGC tries to explain away this direct precedent by saying that the circumstances addressed by the Gas Accord were “unique” to PG&amp;E, including conflicts between ratepayer and shareholder interests, differentials in gas prices from various sources, and a system that operated like an interstate pipeline.  In fact, the only significant difference is that PG&amp;E had built Line 401 at shareholder risk while SoCalGas has not built any transmission under that condition.  But SCGC utterly fails to show that any alleged or actual difference in circumstances were the reason that the Commission adopted reservation charges for PG&amp;E.</w:t>
      </w:r>
    </w:p>
    <w:p>
      <w:pPr>
        <w:pStyle w:val="Normal"/>
        <w:numPr>
          <w:ilvl w:val="0"/>
          <w:numId w:val="0"/>
        </w:numPr>
        <w:tabs>
          <w:tab w:val="clear" w:pos="720"/>
          <w:tab w:val="left" w:pos="0" w:leader="none"/>
        </w:tabs>
        <w:spacing w:lineRule="auto" w:line="360"/>
        <w:ind w:hanging="0" w:start="0" w:end="0"/>
        <w:rPr/>
      </w:pPr>
      <w:r>
        <w:rPr/>
        <w:t xml:space="preserve">SCGC claims that the Commission’s opposition before FERC to straight (or “full”) fixed/variable rate design for interstate pipelines is Commission precedent against any level of reservation charges for intrastate backbone transmission charges.  It cites passages from filings that this Commission made at FERC over </w:t>
      </w:r>
      <w:r>
        <w:rPr>
          <w:u w:val="single"/>
        </w:rPr>
        <w:t>nine</w:t>
      </w:r>
      <w:r>
        <w:rPr/>
        <w:t xml:space="preserve"> years ago.  Certainly, the “authority” for this precedent for the policy of the current Commission is dubious.  Even if it were the policy of the current Commission, it says nothing about the Comprehensive Settlement.  First, the Commission was not arguing for 100% volumetric interstate pipeline rates.  It was only arguing that there was no basis for the FERC to change from its then-current modified fixed/variable (“MFV”) rate design to SFV.  This Commission was not taking issue with the substantial reservation fees under MFV rate design.  The 50/50 rate design option in the Comprehensive Settlement gives customers a comparable option.</w:t>
      </w:r>
    </w:p>
    <w:p>
      <w:pPr>
        <w:pStyle w:val="Normal"/>
        <w:numPr>
          <w:ilvl w:val="0"/>
          <w:numId w:val="0"/>
        </w:numPr>
        <w:tabs>
          <w:tab w:val="clear" w:pos="720"/>
          <w:tab w:val="left" w:pos="0" w:leader="none"/>
        </w:tabs>
        <w:spacing w:lineRule="auto" w:line="360"/>
        <w:ind w:hanging="0" w:start="0" w:end="0"/>
        <w:rPr/>
      </w:pPr>
      <w:r>
        <w:rPr/>
        <w:t xml:space="preserve">Second, there is a world of difference between the rates of interstate pipelines and the backbone transmission costs of SoCalGas.  With interstate pipelines, the issue was the rate design for </w:t>
      </w:r>
      <w:r>
        <w:rPr>
          <w:u w:val="single"/>
        </w:rPr>
        <w:t>all</w:t>
      </w:r>
      <w:r>
        <w:rPr/>
        <w:t xml:space="preserve"> of their costs.  With the Comprehensive Settlement, it is a matter of the rate design for an element of service that has an annual revenue requirement of about $74 million out of a total SoCalGas authorized annual margin of around $1.3 billion.  Under the Comprehensive Settlement, the remainder of SoCalGas’ costs (excluding unbundled storage) remain in an all-volumetric rate as long as the Commission chooses to retain an all-volumetric noncore bundled rate design.</w:t>
      </w:r>
    </w:p>
    <w:p>
      <w:pPr>
        <w:pStyle w:val="Normal"/>
        <w:numPr>
          <w:ilvl w:val="0"/>
          <w:numId w:val="0"/>
        </w:numPr>
        <w:tabs>
          <w:tab w:val="clear" w:pos="720"/>
          <w:tab w:val="left" w:pos="0" w:leader="none"/>
        </w:tabs>
        <w:spacing w:lineRule="auto" w:line="360"/>
        <w:ind w:hanging="0" w:start="0" w:end="0"/>
        <w:rPr/>
      </w:pPr>
      <w:r>
        <w:rPr/>
        <w:t>Furthermore, given the 75% ratepayer balancing account treatment approved by the Commission in D.00-04-060 of variations between actual and forecast revenues, even with 100% volumetric noncore rates SoCalGas effectively has assurance of recovery of a large percentage of the revenue requirement allocated to noncore customers.</w:t>
      </w:r>
    </w:p>
    <w:p>
      <w:pPr>
        <w:pStyle w:val="Normal"/>
        <w:numPr>
          <w:ilvl w:val="0"/>
          <w:numId w:val="0"/>
        </w:numPr>
        <w:tabs>
          <w:tab w:val="clear" w:pos="720"/>
          <w:tab w:val="left" w:pos="0" w:leader="none"/>
        </w:tabs>
        <w:spacing w:lineRule="auto" w:line="360"/>
        <w:ind w:hanging="0" w:start="0" w:end="0"/>
        <w:rPr/>
      </w:pPr>
      <w:r>
        <w:rPr/>
        <w:t xml:space="preserve">SoCalGas and SDG&amp;E already addressed in their opening brief the claims that customers will subscribe to more capacity than the 79% of 3,500 MMcfd load factor used in the Comprehensive Settlement, and that SoCalGas will, therefore, overcollect its backbone transmission revenue requirement.  The ridiculousness of suggestions by SCGC at p.49 that SoCalGas will sell out all 3,500 MMcfd at embedded cost are highlighted by the analysis presented in an earlier section of this reply brief.  It is completely unreasonable to assume that customers will choose to contract on a firm basis at full embedded cost for all 3500 MMcfd capacity on a system where the annual backbone transmission capacity is </w:t>
      </w:r>
      <w:r>
        <w:rPr>
          <w:u w:val="single"/>
        </w:rPr>
        <w:t>30</w:t>
      </w:r>
      <w:r>
        <w:rPr/>
        <w:t>% greater than annual demand, where there the ability to meet a peak day demand of at least 5.3 Bcf through the use of storage as well as flowing supplies, and where there hasn’t been a day of curtailment in over 10 years.</w:t>
      </w:r>
    </w:p>
    <w:p>
      <w:pPr>
        <w:pStyle w:val="Normal"/>
        <w:numPr>
          <w:ilvl w:val="0"/>
          <w:numId w:val="0"/>
        </w:numPr>
        <w:tabs>
          <w:tab w:val="clear" w:pos="720"/>
          <w:tab w:val="left" w:pos="0" w:leader="none"/>
        </w:tabs>
        <w:spacing w:lineRule="auto" w:line="360"/>
        <w:ind w:hanging="0" w:start="0" w:end="0"/>
        <w:rPr/>
      </w:pPr>
      <w:r>
        <w:rPr/>
      </w:r>
    </w:p>
    <w:p>
      <w:pPr>
        <w:pStyle w:val="Normal"/>
        <w:numPr>
          <w:ilvl w:val="0"/>
          <w:numId w:val="7"/>
        </w:numPr>
        <w:tabs>
          <w:tab w:val="clear" w:pos="720"/>
          <w:tab w:val="left" w:pos="0" w:leader="none"/>
        </w:tabs>
        <w:ind w:hanging="2615" w:start="4055" w:end="0"/>
        <w:rPr>
          <w:b/>
          <w:bCs/>
        </w:rPr>
      </w:pPr>
      <w:r>
        <w:rPr>
          <w:b/>
          <w:bCs/>
        </w:rPr>
        <w:t>Backbone reservation charges will not bankrupt California electric generators and force the closing of generation capacity.</w:t>
      </w:r>
    </w:p>
    <w:p>
      <w:pPr>
        <w:pStyle w:val="Normal"/>
        <w:numPr>
          <w:ilvl w:val="0"/>
          <w:numId w:val="0"/>
        </w:numPr>
        <w:spacing w:lineRule="auto" w:line="360"/>
        <w:ind w:hanging="0" w:start="1440" w:end="0"/>
        <w:rPr>
          <w:b/>
          <w:bCs/>
        </w:rPr>
      </w:pPr>
      <w:r>
        <w:rPr>
          <w:b/>
          <w:bCs/>
        </w:rPr>
      </w:r>
    </w:p>
    <w:p>
      <w:pPr>
        <w:pStyle w:val="Normal"/>
        <w:numPr>
          <w:ilvl w:val="0"/>
          <w:numId w:val="0"/>
        </w:numPr>
        <w:tabs>
          <w:tab w:val="clear" w:pos="720"/>
          <w:tab w:val="left" w:pos="0" w:leader="none"/>
        </w:tabs>
        <w:spacing w:lineRule="auto" w:line="360"/>
        <w:ind w:hanging="0" w:start="0" w:end="0"/>
        <w:rPr/>
      </w:pPr>
      <w:r>
        <w:rPr/>
        <w:t>SCGC claims that a reservation charge covering approximately 1% of their delivered cost of gas cannot be recovered in the wholesale power market and will cause generation needed to prevent electric outages to shut down.</w:t>
      </w:r>
      <w:r>
        <w:rPr>
          <w:rStyle w:val="FootnoteCharacters"/>
          <w:rStyle w:val="FootnoteReference"/>
        </w:rPr>
        <w:footnoteReference w:id="12"/>
      </w:r>
      <w:r>
        <w:rPr/>
        <w:t xml:space="preserve">  This claim is truly mind-boggling.  SCGC complains at p.51:  “…demand charges will prevent a price signal from being sent to the electricity market that the EGs are facing higher unit operating costs.”  It says about </w:t>
      </w:r>
      <w:r>
        <w:br w:type="page"/>
      </w:r>
    </w:p>
    <w:p>
      <w:pPr>
        <w:pStyle w:val="Normal"/>
        <w:numPr>
          <w:ilvl w:val="0"/>
          <w:numId w:val="0"/>
        </w:numPr>
        <w:tabs>
          <w:tab w:val="clear" w:pos="720"/>
          <w:tab w:val="left" w:pos="0" w:leader="none"/>
        </w:tabs>
        <w:spacing w:lineRule="auto" w:line="360"/>
        <w:ind w:hanging="0" w:start="0"/>
        <w:rPr/>
      </w:pPr>
      <w:r>
        <w:rPr/>
        <w:t>wholesale power prices at pp.52-53:  “Given that prices will be driven to cap levels in only a few hours of the summer, imposing caps during these hours significantly reduces generators’ ability to recover annual fixed costs [citing caiso.com]”.  Yes, as the average monthly cost of wholesale power to SDG&amp;E customers approaches 14 cents a kwh this summer, these generators are saying that they need all-volumetric gas transportation rates in order to ensure that the market price of power will increase further!</w:t>
      </w:r>
    </w:p>
    <w:p>
      <w:pPr>
        <w:pStyle w:val="Normal"/>
        <w:numPr>
          <w:ilvl w:val="0"/>
          <w:numId w:val="0"/>
        </w:numPr>
        <w:tabs>
          <w:tab w:val="clear" w:pos="720"/>
          <w:tab w:val="left" w:pos="0" w:leader="none"/>
        </w:tabs>
        <w:spacing w:lineRule="auto" w:line="360"/>
        <w:ind w:hanging="0" w:start="0" w:end="0"/>
        <w:rPr/>
      </w:pPr>
      <w:r>
        <w:rPr/>
        <w:t xml:space="preserve">The true picture emerged after hearings closed in early June.  SCGC refers the Commission to information on the ISO’s web site to support its claims.  Instead, the Commission should look at the Los Angeles Times’ web site, “latimes.com”.  See the July 25, 2000 article in the Metro Section which describes the approval by the Commission of the LADWP of General Manager Freeman’s plan to sell its 20% </w:t>
      </w:r>
    </w:p>
    <w:p>
      <w:pPr>
        <w:pStyle w:val="Normal"/>
        <w:numPr>
          <w:ilvl w:val="0"/>
          <w:numId w:val="0"/>
        </w:numPr>
        <w:tabs>
          <w:tab w:val="clear" w:pos="720"/>
          <w:tab w:val="left" w:pos="0" w:leader="none"/>
        </w:tabs>
        <w:spacing w:lineRule="auto" w:line="360"/>
        <w:ind w:hanging="0" w:start="0"/>
        <w:rPr/>
      </w:pPr>
      <w:r>
        <w:rPr/>
        <w:t>share of the Mojave coal-fired plant and to rebuild three of its gas-fired plants in the LA basin.  This hardly sounds like gas-fired plants being driven out of service.  Furthermore, see the quote from City Councilwoman Galanter saying that LADWP made $5 million in a single day (the day in June when the Bay Area had rolling blackouts) from selling surplus power from the Mojave plant.  Five million dollars a day will pay for a lot of SoCalGas backbone transmission reservation charges.</w:t>
      </w:r>
    </w:p>
    <w:p>
      <w:pPr>
        <w:pStyle w:val="Normal"/>
        <w:numPr>
          <w:ilvl w:val="0"/>
          <w:numId w:val="0"/>
        </w:numPr>
        <w:tabs>
          <w:tab w:val="clear" w:pos="720"/>
          <w:tab w:val="left" w:pos="0" w:leader="none"/>
        </w:tabs>
        <w:spacing w:lineRule="auto" w:line="360"/>
        <w:ind w:hanging="0" w:start="0" w:end="0"/>
        <w:rPr/>
      </w:pPr>
      <w:r>
        <w:rPr/>
      </w:r>
    </w:p>
    <w:p>
      <w:pPr>
        <w:pStyle w:val="Normal"/>
        <w:numPr>
          <w:ilvl w:val="0"/>
          <w:numId w:val="7"/>
        </w:numPr>
        <w:tabs>
          <w:tab w:val="clear" w:pos="720"/>
          <w:tab w:val="left" w:pos="0" w:leader="none"/>
        </w:tabs>
        <w:ind w:hanging="2615" w:start="4055" w:end="0"/>
        <w:rPr>
          <w:b/>
          <w:bCs/>
        </w:rPr>
      </w:pPr>
      <w:r>
        <w:rPr>
          <w:b/>
          <w:bCs/>
        </w:rPr>
        <w:t>All customers cannot be “low” load factor customers.</w:t>
      </w:r>
    </w:p>
    <w:p>
      <w:pPr>
        <w:pStyle w:val="Normal"/>
        <w:spacing w:lineRule="auto" w:line="360"/>
        <w:ind w:start="1440" w:end="0"/>
        <w:rPr/>
      </w:pPr>
      <w:r>
        <w:rPr/>
      </w:r>
    </w:p>
    <w:p>
      <w:pPr>
        <w:pStyle w:val="Normal"/>
        <w:tabs>
          <w:tab w:val="clear" w:pos="720"/>
          <w:tab w:val="left" w:pos="0" w:leader="none"/>
        </w:tabs>
        <w:spacing w:lineRule="auto" w:line="360"/>
        <w:ind w:firstLine="720" w:end="0"/>
        <w:rPr/>
      </w:pPr>
      <w:r>
        <w:rPr/>
        <w:t>Finally, there is a good deal of confusion on the record, perhaps some deliberate, about “low load factor” customers who allegedly will have their effective rates raised by institution of a reservation charge for backbone transmission service.  The Commission is faced by claims that electric generation customers are low load factor customers.  It has been claimed that core customers are low load factor.  Some wholesale customers complain on the basis that they are low load factor customers.</w:t>
      </w:r>
    </w:p>
    <w:p>
      <w:pPr>
        <w:pStyle w:val="Normal"/>
        <w:tabs>
          <w:tab w:val="clear" w:pos="720"/>
          <w:tab w:val="left" w:pos="0" w:leader="none"/>
        </w:tabs>
        <w:spacing w:lineRule="auto" w:line="360"/>
        <w:ind w:firstLine="720" w:end="0"/>
        <w:rPr/>
      </w:pPr>
      <w:r>
        <w:rPr/>
        <w:t>The numbers do not add up.  Once one has added up the core, EG, and wholesale loads, these claims amount to saying that more than two-thirds of the load on SoCalGas’ system is “low load factor”.  This is mathematically a virtual impossibility.</w:t>
      </w:r>
    </w:p>
    <w:p>
      <w:pPr>
        <w:pStyle w:val="Normal"/>
        <w:tabs>
          <w:tab w:val="clear" w:pos="720"/>
          <w:tab w:val="left" w:pos="0" w:leader="none"/>
        </w:tabs>
        <w:spacing w:lineRule="auto" w:line="360"/>
        <w:ind w:firstLine="720" w:end="0"/>
        <w:rPr/>
      </w:pPr>
      <w:r>
        <w:rPr/>
        <w:t>What is really going on is a confusion of the ratio of an individual customer’s average daily consumption to its maximum daily consumption (the customer’s load factor) with the ratio of the average daily throughput on the SoCalGas system with its capacity (the system load factor).  The numbers are simply not comparable.  The fact that an individual customer load factor is less than the system load factor does not mean that the customer is a “low” load factor customer relative to other customers’ load factors.  It does not mean that the customer is going to be disadvantaged by adoption of a reservation charge based on a system load factor higher than the customer’s individual load factor.</w:t>
      </w:r>
    </w:p>
    <w:p>
      <w:pPr>
        <w:pStyle w:val="Normal"/>
        <w:tabs>
          <w:tab w:val="clear" w:pos="720"/>
          <w:tab w:val="left" w:pos="0" w:leader="none"/>
        </w:tabs>
        <w:spacing w:lineRule="auto" w:line="360"/>
        <w:ind w:firstLine="720" w:end="0"/>
        <w:rPr/>
      </w:pPr>
      <w:r>
        <w:rPr/>
        <w:t>A prime example of the fallacy of comparing an individual customer load factor to the system load factor is presented in the opening brief of Southwest Gas.  At pp.11-12, it claims that it and its customers are going to be disadvantaged as a “low” load factor customer because it has a 40% load factor but the system load used in the Comprehensive Settlement is almost double at 79%.</w:t>
      </w:r>
    </w:p>
    <w:p>
      <w:pPr>
        <w:pStyle w:val="BodyText2"/>
        <w:tabs>
          <w:tab w:val="clear" w:pos="720"/>
          <w:tab w:val="left" w:pos="0" w:leader="none"/>
        </w:tabs>
        <w:spacing w:lineRule="auto" w:line="360"/>
        <w:rPr/>
      </w:pPr>
      <w:r>
        <w:rPr/>
        <w:t>This comparison is completely erroneous and meaningless, for two reasons.  First, it does not recognize the diversity of customer demand.  Second, it does not recognize the difference between peak demand and system capacity which is in excess of system peak.</w:t>
      </w:r>
    </w:p>
    <w:p>
      <w:pPr>
        <w:pStyle w:val="Normal"/>
        <w:tabs>
          <w:tab w:val="clear" w:pos="720"/>
          <w:tab w:val="left" w:pos="0" w:leader="none"/>
        </w:tabs>
        <w:spacing w:lineRule="auto" w:line="360"/>
        <w:ind w:firstLine="720" w:end="0"/>
        <w:rPr/>
      </w:pPr>
      <w:r>
        <w:rPr/>
        <w:t>Consider a system with 365 customers.  364 of them consumes 100 units one day of the year, and 20 units every other day.  Assume that each of the days on which they peak are different days of the year (January 1 through December 30). Finally, assume the 365</w:t>
      </w:r>
      <w:r>
        <w:rPr>
          <w:vertAlign w:val="superscript"/>
        </w:rPr>
        <w:t>th</w:t>
      </w:r>
      <w:r>
        <w:rPr/>
        <w:t xml:space="preserve"> customer consumes 100 units every day.  Each of the 364 identical customers has a load factor of just over 20%.  Does this make each one a “low” load factor customer relative to other customers?  No.  Their load factor is almost exactly average for all customers, although 20% may sound low.  (The average is only very slightly higher due to the 365</w:t>
      </w:r>
      <w:r>
        <w:rPr>
          <w:vertAlign w:val="superscript"/>
        </w:rPr>
        <w:t>th</w:t>
      </w:r>
      <w:r>
        <w:rPr/>
        <w:t xml:space="preserve"> customer.) </w:t>
      </w:r>
    </w:p>
    <w:p>
      <w:pPr>
        <w:pStyle w:val="Normal"/>
        <w:tabs>
          <w:tab w:val="clear" w:pos="720"/>
          <w:tab w:val="left" w:pos="0" w:leader="none"/>
        </w:tabs>
        <w:spacing w:lineRule="auto" w:line="360"/>
        <w:ind w:firstLine="720" w:end="0"/>
        <w:rPr/>
      </w:pPr>
      <w:r>
        <w:rPr/>
        <w:t>The total system demand on each of 364 days for all these customers combined is 7460 units (two customers at 100 units and 363 at 20 units = 7460).  On the last day of the year, the total load is 7380.  Assume a system that has just 7460 units of daily capacity.  The system load factor (average daily throughput divided by daily capacity) would be almost 100%.  Does this imply that the 364 customers with a 20% load factor are “low” load factor customers?  No, they are average.  Does this mean the 365</w:t>
      </w:r>
      <w:r>
        <w:rPr>
          <w:vertAlign w:val="superscript"/>
        </w:rPr>
        <w:t>th</w:t>
      </w:r>
      <w:r>
        <w:rPr/>
        <w:t xml:space="preserve"> customer is an average load factor customer because its load factor of 100% is almost the same as the system load factor?  No, this customer still has a “high” load factor compared to all other customers.</w:t>
      </w:r>
    </w:p>
    <w:p>
      <w:pPr>
        <w:pStyle w:val="Normal"/>
        <w:tabs>
          <w:tab w:val="clear" w:pos="720"/>
          <w:tab w:val="left" w:pos="0" w:leader="none"/>
        </w:tabs>
        <w:spacing w:lineRule="auto" w:line="360"/>
        <w:ind w:firstLine="720" w:end="0"/>
        <w:rPr/>
      </w:pPr>
      <w:r>
        <w:rPr/>
        <w:t>Then assume the system actually has a daily capacity ten times higher.  This would mean the system load factor would be very close to 10%.  Does this mean that the 364 customers who had “low” load factors suddenly now have “high” load factors because their individual load factors are now twice the system load factor?  No.</w:t>
      </w:r>
    </w:p>
    <w:p>
      <w:pPr>
        <w:pStyle w:val="Normal"/>
        <w:tabs>
          <w:tab w:val="clear" w:pos="720"/>
          <w:tab w:val="left" w:pos="0" w:leader="none"/>
        </w:tabs>
        <w:spacing w:lineRule="auto" w:line="360"/>
        <w:ind w:firstLine="720" w:end="0"/>
        <w:rPr/>
      </w:pPr>
      <w:r>
        <w:rPr/>
        <w:t xml:space="preserve">The error in comparing an individual customer’s load factor to the system load factor is highlighted by Southwest Gas’ complaint that it is disadvantaged because its load factor is half of the system load factor.  What if the Comprehensive Settlement had used a 90% load factor for backbone rate design, rather than the 79% factor it actually uses?  This would have increased the disparity according to Southwest’s calculation.  But the higher load factor would have meant a </w:t>
      </w:r>
      <w:r>
        <w:rPr>
          <w:u w:val="single"/>
        </w:rPr>
        <w:t>lower</w:t>
      </w:r>
      <w:r>
        <w:rPr/>
        <w:t xml:space="preserve"> backbone reservation charge in dollars per dth!  Southwest’s comparison is clearly wrong.  Core customers, wholesale customers, and EG customers (collectively the bulk of the system demand) cannot all be “low” load factor customers.</w:t>
      </w:r>
    </w:p>
    <w:p>
      <w:pPr>
        <w:pStyle w:val="Normal"/>
        <w:tabs>
          <w:tab w:val="clear" w:pos="720"/>
          <w:tab w:val="left" w:pos="180" w:leader="none"/>
        </w:tabs>
        <w:ind w:hanging="547" w:start="1353" w:end="0"/>
        <w:rPr>
          <w:b/>
          <w:bCs/>
        </w:rPr>
      </w:pPr>
      <w:r>
        <w:rPr>
          <w:b/>
          <w:bCs/>
        </w:rPr>
      </w:r>
    </w:p>
    <w:p>
      <w:pPr>
        <w:pStyle w:val="Normal"/>
        <w:tabs>
          <w:tab w:val="clear" w:pos="720"/>
          <w:tab w:val="left" w:pos="180" w:leader="none"/>
        </w:tabs>
        <w:ind w:hanging="547" w:start="1353" w:end="0"/>
        <w:rPr>
          <w:b/>
          <w:bCs/>
        </w:rPr>
      </w:pPr>
      <w:r>
        <w:rPr>
          <w:b/>
          <w:bCs/>
        </w:rPr>
        <w:t>7.  Shareholder risk for backbone transmission is appropriate under the Comprehensive Settlement.</w:t>
      </w:r>
    </w:p>
    <w:p>
      <w:pPr>
        <w:pStyle w:val="Normal"/>
        <w:tabs>
          <w:tab w:val="clear" w:pos="720"/>
          <w:tab w:val="left" w:pos="0" w:leader="none"/>
        </w:tabs>
        <w:spacing w:lineRule="auto" w:line="360"/>
        <w:ind w:firstLine="720" w:end="0"/>
        <w:rPr>
          <w:b/>
          <w:bCs/>
        </w:rPr>
      </w:pPr>
      <w:r>
        <w:rPr>
          <w:b/>
          <w:bCs/>
        </w:rPr>
      </w:r>
    </w:p>
    <w:p>
      <w:pPr>
        <w:pStyle w:val="Normal"/>
        <w:tabs>
          <w:tab w:val="clear" w:pos="720"/>
          <w:tab w:val="left" w:pos="0" w:leader="none"/>
        </w:tabs>
        <w:spacing w:lineRule="auto" w:line="360"/>
        <w:ind w:firstLine="720" w:end="0"/>
        <w:rPr/>
      </w:pPr>
      <w:r>
        <w:rPr/>
        <w:t>SoCalGas and SDG&amp;E wish to clarify one point made in their joint opening brief at p.40 regarding shareholder risk for unbundled intrastate backbone transmission under the Comprehensive Settlement, as compared to the contents of ORA’s opening brief at p.20.  In general terms, the Comprehensive Settlement does not change SoCalGas’ level of risk for core throughput under existing regulation.  As noted in Exhibit No.19, in the answer to Q.1.1.3.1, p.10, the Comprehensive Settlement would put shareholders at risk for any costs of backbone transmission or storage that CTAs or SoCalGas Gas Acquisition Department are allowed to and actually decline to accept.  There is an additional exception that SoCalGas/SDG&amp;E wish to note.  SoCalGas Gas Acquisition and CTAs have the same option as all other persons whether to contract for backbone transmission at the 100% reservation fee rate design or the 50/50 reservation/volumetric rate design with a 0.4 cent/dth premium.  If Gas Acquisition or CTAs choose the 100% reservation fee rate design, any variation in throughput will have no effect on shareholder risk.  However, if Gas Acquisition or CTAs choose the 50/50 rate design, SoCalGas shareholders will be at risk for throughput relative to the 50% volumetric fee.</w:t>
      </w:r>
      <w:r>
        <w:rPr>
          <w:rStyle w:val="FootnoteCharacters"/>
          <w:rStyle w:val="FootnoteReference"/>
        </w:rPr>
        <w:footnoteReference w:id="13"/>
      </w:r>
      <w:r>
        <w:rPr/>
        <w:t xml:space="preserve">  To flow any possible shortfall through the CFCA for later recovery would make the 50/50 option illusory for these customers and was not the intent of SoCalGas or any other signatories to the Comprehensive Settlement.</w:t>
      </w:r>
    </w:p>
    <w:p>
      <w:pPr>
        <w:pStyle w:val="Normal"/>
        <w:tabs>
          <w:tab w:val="clear" w:pos="720"/>
          <w:tab w:val="left" w:pos="0" w:leader="none"/>
        </w:tabs>
        <w:spacing w:lineRule="auto" w:line="360"/>
        <w:ind w:firstLine="720" w:end="0"/>
        <w:rPr/>
      </w:pPr>
      <w:r>
        <w:rPr/>
      </w:r>
    </w:p>
    <w:p>
      <w:pPr>
        <w:pStyle w:val="Normal"/>
        <w:tabs>
          <w:tab w:val="clear" w:pos="720"/>
          <w:tab w:val="left" w:pos="0" w:leader="none"/>
        </w:tabs>
        <w:spacing w:lineRule="auto" w:line="360"/>
        <w:ind w:firstLine="720" w:end="0"/>
        <w:rPr/>
      </w:pPr>
      <w:r>
        <w:rPr/>
      </w:r>
    </w:p>
    <w:p>
      <w:pPr>
        <w:pStyle w:val="Heading5"/>
        <w:rPr/>
      </w:pPr>
      <w:r>
        <w:rPr/>
        <w:t>B.  STORAGE ISSUES</w:t>
      </w:r>
    </w:p>
    <w:p>
      <w:pPr>
        <w:pStyle w:val="Normal"/>
        <w:tabs>
          <w:tab w:val="clear" w:pos="720"/>
          <w:tab w:val="left" w:pos="0" w:leader="none"/>
        </w:tabs>
        <w:spacing w:lineRule="auto" w:line="360"/>
        <w:ind w:firstLine="720" w:end="0"/>
        <w:rPr/>
      </w:pPr>
      <w:r>
        <w:rPr/>
      </w:r>
    </w:p>
    <w:p>
      <w:pPr>
        <w:pStyle w:val="Heading5"/>
        <w:tabs>
          <w:tab w:val="clear" w:pos="0"/>
          <w:tab w:val="left" w:pos="360" w:leader="none"/>
        </w:tabs>
        <w:spacing w:lineRule="auto" w:line="240"/>
        <w:ind w:hanging="540" w:start="1260" w:end="0"/>
        <w:rPr/>
      </w:pPr>
      <w:r>
        <w:rPr/>
        <w:t>1.  The Post-Interim Settlement unfairly and unlawfully retroactively removes the cost of the Montebello storage field from SoCalGas’ rates.</w:t>
      </w:r>
    </w:p>
    <w:p>
      <w:pPr>
        <w:pStyle w:val="Normal"/>
        <w:tabs>
          <w:tab w:val="clear" w:pos="720"/>
          <w:tab w:val="left" w:pos="0" w:leader="none"/>
        </w:tabs>
        <w:spacing w:lineRule="auto" w:line="360"/>
        <w:ind w:firstLine="720" w:end="0"/>
        <w:rPr/>
      </w:pPr>
      <w:r>
        <w:rPr/>
      </w:r>
    </w:p>
    <w:p>
      <w:pPr>
        <w:pStyle w:val="Normal"/>
        <w:tabs>
          <w:tab w:val="clear" w:pos="720"/>
          <w:tab w:val="left" w:pos="0" w:leader="none"/>
        </w:tabs>
        <w:spacing w:lineRule="auto" w:line="360"/>
        <w:ind w:firstLine="720" w:end="0"/>
        <w:rPr/>
      </w:pPr>
      <w:r>
        <w:rPr/>
        <w:t>The Post-Interim Settlement would remove the cost of SoCalGas’ Montebello storage field from rates retroactive to September 16, 1999.  The Comprehensive Settlement defers to a proceeding specifically concerning Montebello a decision on whether the field should be sold and what ratemaking treatment it should be accorded.</w:t>
      </w:r>
    </w:p>
    <w:p>
      <w:pPr>
        <w:pStyle w:val="Normal"/>
        <w:tabs>
          <w:tab w:val="clear" w:pos="720"/>
          <w:tab w:val="left" w:pos="0" w:leader="none"/>
        </w:tabs>
        <w:spacing w:lineRule="auto" w:line="360"/>
        <w:ind w:firstLine="720" w:end="0"/>
        <w:rPr/>
      </w:pPr>
      <w:r>
        <w:rPr/>
        <w:t>SoCalGas/SDG&amp;E witness Lorenz laid out in detail in his prepared rebuttal testimony (Exhibit No.14, pp.17-21) the reasons why the Commission should not consider removing the cost of SoCalGas’ Montebello storage field from rates.  This material was covered at pp.78-86 of SoCalGas/SDG&amp;E’s opening brief.</w:t>
      </w:r>
    </w:p>
    <w:p>
      <w:pPr>
        <w:pStyle w:val="Normal"/>
        <w:tabs>
          <w:tab w:val="clear" w:pos="720"/>
          <w:tab w:val="left" w:pos="0" w:leader="none"/>
        </w:tabs>
        <w:spacing w:lineRule="auto" w:line="360"/>
        <w:ind w:firstLine="720" w:end="0"/>
        <w:rPr/>
      </w:pPr>
      <w:r>
        <w:rPr/>
        <w:t>In their opening briefs, SCGC (at pp.59-60) and TURN (p.51-52) completely fail to address the substance of Mr. Lorenz testimony.  Perhaps they have no response.  If they have merely waited to respond in their reply briefs even though SoCalGas’ arguments were clear on the hearing record, it is “sandbagging” and ought to be discounted by the Commission.</w:t>
      </w:r>
    </w:p>
    <w:p>
      <w:pPr>
        <w:pStyle w:val="Normal"/>
        <w:tabs>
          <w:tab w:val="clear" w:pos="720"/>
          <w:tab w:val="left" w:pos="0" w:leader="none"/>
        </w:tabs>
        <w:spacing w:lineRule="auto" w:line="360"/>
        <w:ind w:firstLine="720" w:end="0"/>
        <w:rPr/>
      </w:pPr>
      <w:r>
        <w:rPr/>
        <w:t>In summary:  The Commission made SoCalGas’ rates subject to refund with respect to Montebello pending resolution of “the Montebello matter”, which context indicates is I.99-04-022.  That proceeding is still pending, as is the new application for authority to sell Montebello (A.00-04-031) that the Commission in D.00-02-024 encouraged SoCalGas to file.  These are the appropriate proceedings in which to address the Montebello issue, not this proceeding.</w:t>
      </w:r>
    </w:p>
    <w:p>
      <w:pPr>
        <w:pStyle w:val="Normal"/>
        <w:tabs>
          <w:tab w:val="clear" w:pos="720"/>
          <w:tab w:val="left" w:pos="0" w:leader="none"/>
        </w:tabs>
        <w:spacing w:lineRule="auto" w:line="360"/>
        <w:ind w:firstLine="720" w:end="0"/>
        <w:rPr/>
      </w:pPr>
      <w:r>
        <w:rPr/>
        <w:t>There is no record in this case to support any findings as to whether the Montebello field should be retained by SoCalGas to provide utility service.  SCGC can only cite to SoCalGas statements in the original application to sell Montebello, A.98-01-015.  It was in that proceeding that the Commission made SoCalGas’ rates subject to refund, but in which the Commission did not decide whether to actually order the cost of the field removed from rates.  If that record was not adequate for the Commission to act as the Post-Interim proposes, then how can mere reference to it here be enough?</w:t>
      </w:r>
    </w:p>
    <w:p>
      <w:pPr>
        <w:pStyle w:val="Normal"/>
        <w:tabs>
          <w:tab w:val="clear" w:pos="720"/>
          <w:tab w:val="left" w:pos="0" w:leader="none"/>
        </w:tabs>
        <w:spacing w:lineRule="auto" w:line="360"/>
        <w:ind w:firstLine="720" w:end="0"/>
        <w:rPr/>
      </w:pPr>
      <w:r>
        <w:rPr/>
        <w:t>It makes no sense for the Commission to declare in this case, as the Post-Interim proponents advocate, that the Montebello field is not used and useful, while at the same time the Commission has not made a decision on the issue – which was contested by SCGC itself, as well as by Edison - of whether it will allow SoCalGas to sell the field.  Furthermore, it would be fundamentally unfair to SoCalGas to remove the cost of the field from its rates – retroactively, too – when it is still apparently many months from a decision that might allow SoCalGas to sell the field.  That amounts to forcing SoCalGas to invest in the field while refusing to allow it to earn a return on its investment.</w:t>
      </w:r>
    </w:p>
    <w:p>
      <w:pPr>
        <w:pStyle w:val="Normal"/>
        <w:tabs>
          <w:tab w:val="clear" w:pos="720"/>
          <w:tab w:val="left" w:pos="0" w:leader="none"/>
        </w:tabs>
        <w:spacing w:lineRule="auto" w:line="360"/>
        <w:ind w:firstLine="720" w:end="0"/>
        <w:rPr/>
      </w:pPr>
      <w:r>
        <w:rPr/>
        <w:t>Further, it is inconsistent with SoCalGas base rate PBR mechanism to remove from rates between PBR cycles any investment on grounds it has become no longer necessary or useful.  The PBR put SoCalGas at risk to achieve a pre-set overall company productivity factor, applicable to rate base as well as O&amp;M.  One of the ways in which SoCalGas is entitled to meet that productivity factor is selling or retiring property that it can find ways to provide quality service without.  Indeed, the SoCalGas PBR productivity factor has an explicit 1% component to reflect forecast declining rate base.  Taking Montebello out of rates between PBR cases would double count declining rate base already built into the PBR mechanism.</w:t>
      </w:r>
    </w:p>
    <w:p>
      <w:pPr>
        <w:pStyle w:val="Normal"/>
        <w:tabs>
          <w:tab w:val="clear" w:pos="720"/>
          <w:tab w:val="left" w:pos="0" w:leader="none"/>
        </w:tabs>
        <w:spacing w:lineRule="auto" w:line="360"/>
        <w:ind w:firstLine="720" w:end="0"/>
        <w:rPr/>
      </w:pPr>
      <w:r>
        <w:rPr/>
      </w:r>
    </w:p>
    <w:p>
      <w:pPr>
        <w:pStyle w:val="Normal"/>
        <w:tabs>
          <w:tab w:val="clear" w:pos="720"/>
          <w:tab w:val="left" w:pos="0" w:leader="none"/>
        </w:tabs>
        <w:spacing w:lineRule="auto" w:line="360"/>
        <w:ind w:firstLine="720" w:end="0"/>
        <w:rPr/>
      </w:pPr>
      <w:r>
        <w:rPr/>
      </w:r>
    </w:p>
    <w:p>
      <w:pPr>
        <w:pStyle w:val="Heading5"/>
        <w:tabs>
          <w:tab w:val="clear" w:pos="0"/>
        </w:tabs>
        <w:spacing w:lineRule="auto" w:line="240"/>
        <w:ind w:hanging="540" w:start="1260" w:end="0"/>
        <w:rPr/>
      </w:pPr>
      <w:r>
        <w:rPr/>
        <w:t>2.  Unbundling reliability storage for CTAs is appropriate now.</w:t>
      </w:r>
    </w:p>
    <w:p>
      <w:pPr>
        <w:pStyle w:val="Normal"/>
        <w:tabs>
          <w:tab w:val="clear" w:pos="720"/>
          <w:tab w:val="left" w:pos="0" w:leader="none"/>
        </w:tabs>
        <w:spacing w:lineRule="auto" w:line="360"/>
        <w:ind w:firstLine="720" w:end="0"/>
        <w:rPr/>
      </w:pPr>
      <w:r>
        <w:rPr/>
      </w:r>
    </w:p>
    <w:p>
      <w:pPr>
        <w:pStyle w:val="Normal"/>
        <w:tabs>
          <w:tab w:val="clear" w:pos="720"/>
          <w:tab w:val="left" w:pos="0" w:leader="none"/>
        </w:tabs>
        <w:spacing w:lineRule="auto" w:line="360"/>
        <w:ind w:firstLine="720" w:end="0"/>
        <w:rPr/>
      </w:pPr>
      <w:r>
        <w:rPr/>
        <w:t>Both SCGC (p.60-62) and TURN (p.47) argue that the Post-Interim Settlement is more “prudent” than the Comprehensive Settlement in that the Post-Interim Settlement does not allow unbundling of core storage for reliability purposes but the Comprehensive Settlement does.  There was essentially no substance to their arguments on this issue.</w:t>
      </w:r>
    </w:p>
    <w:p>
      <w:pPr>
        <w:pStyle w:val="Normal"/>
        <w:tabs>
          <w:tab w:val="clear" w:pos="720"/>
          <w:tab w:val="left" w:pos="0" w:leader="none"/>
        </w:tabs>
        <w:spacing w:lineRule="auto" w:line="360"/>
        <w:ind w:firstLine="720" w:end="0"/>
        <w:rPr/>
      </w:pPr>
      <w:r>
        <w:rPr/>
        <w:t>The position stated in these briefs on this issue is incomprehensible in light of the position they took this year in support of unbundling of PG&amp;E’s core storage for reliability purposes.  The PG&amp;E January 28 settlement approved by the Commission in D.00-05-049 contains almost identical provisions regarding unbundling core storage for reliability purposes as does the Comprehensive Settlement.  See Section 2.5, including Section 2.5.4.5, at pp.14-18 of the PG&amp;E settlement, and compare that to Section 5.4, including 5.4.4.5, at pp.57-61 of the Comprehensive Settlement.  TURN signed the PG&amp;E settlement.  The northern California portion of the California Generation Coalition, represented by Mr. Pedersen, signed the PG&amp;E settlement.</w:t>
      </w:r>
    </w:p>
    <w:p>
      <w:pPr>
        <w:pStyle w:val="Normal"/>
        <w:tabs>
          <w:tab w:val="clear" w:pos="720"/>
          <w:tab w:val="left" w:pos="0" w:leader="none"/>
        </w:tabs>
        <w:spacing w:lineRule="auto" w:line="360"/>
        <w:ind w:firstLine="720" w:end="0"/>
        <w:rPr/>
      </w:pPr>
      <w:r>
        <w:rPr/>
        <w:t>There is no sense in which the core storage unbundling is more “prudent” for the PG&amp;E system.  Indeed, these parties concede that SoCalGas’ system is “storage rich” compared to PG&amp;E.</w:t>
      </w:r>
    </w:p>
    <w:p>
      <w:pPr>
        <w:pStyle w:val="Normal"/>
        <w:tabs>
          <w:tab w:val="clear" w:pos="720"/>
          <w:tab w:val="left" w:pos="0" w:leader="none"/>
        </w:tabs>
        <w:spacing w:lineRule="auto" w:line="360"/>
        <w:ind w:firstLine="720" w:end="0"/>
        <w:rPr/>
      </w:pPr>
      <w:r>
        <w:rPr/>
        <w:t>Unbundling of storage for core customers was identified as a promising option by the Commission in D.99-07-015.  The Commission approved for PG&amp;E provisions virtually identical to those in the Comprehensive Settlement – supported by TURN and northern California generators – only two and a half months ago.  Clearly, this provision of the Comprehensive Settlement is consistent with Commission policy and not a reason to reject it in favor of the Post-Interim Settlement.</w:t>
      </w:r>
    </w:p>
    <w:p>
      <w:pPr>
        <w:pStyle w:val="Normal"/>
        <w:tabs>
          <w:tab w:val="clear" w:pos="720"/>
          <w:tab w:val="left" w:pos="0" w:leader="none"/>
        </w:tabs>
        <w:spacing w:lineRule="auto" w:line="360"/>
        <w:ind w:firstLine="720" w:end="0"/>
        <w:rPr/>
      </w:pPr>
      <w:r>
        <w:rPr/>
      </w:r>
    </w:p>
    <w:p>
      <w:pPr>
        <w:pStyle w:val="Normal"/>
        <w:tabs>
          <w:tab w:val="clear" w:pos="720"/>
          <w:tab w:val="left" w:pos="0" w:leader="none"/>
        </w:tabs>
        <w:spacing w:lineRule="auto" w:line="360"/>
        <w:ind w:firstLine="720" w:end="0"/>
        <w:rPr/>
      </w:pPr>
      <w:r>
        <w:rPr/>
      </w:r>
    </w:p>
    <w:p>
      <w:pPr>
        <w:pStyle w:val="Normal"/>
        <w:tabs>
          <w:tab w:val="clear" w:pos="720"/>
          <w:tab w:val="left" w:pos="1260" w:leader="none"/>
        </w:tabs>
        <w:ind w:hanging="540" w:start="1260" w:end="0"/>
        <w:rPr>
          <w:b/>
          <w:bCs/>
        </w:rPr>
      </w:pPr>
      <w:r>
        <w:rPr>
          <w:b/>
          <w:bCs/>
        </w:rPr>
        <w:t>3.  Use of the ALTRA trading platforms for a fee with revenues retained in part by SoCalGas is appropriate.</w:t>
      </w:r>
    </w:p>
    <w:p>
      <w:pPr>
        <w:pStyle w:val="Normal"/>
        <w:tabs>
          <w:tab w:val="clear" w:pos="720"/>
          <w:tab w:val="left" w:pos="0" w:leader="none"/>
        </w:tabs>
        <w:spacing w:lineRule="auto" w:line="360"/>
        <w:ind w:firstLine="720" w:end="0"/>
        <w:rPr>
          <w:b/>
          <w:bCs/>
        </w:rPr>
      </w:pPr>
      <w:r>
        <w:rPr>
          <w:b/>
          <w:bCs/>
        </w:rPr>
      </w:r>
    </w:p>
    <w:p>
      <w:pPr>
        <w:pStyle w:val="Normal"/>
        <w:tabs>
          <w:tab w:val="clear" w:pos="720"/>
          <w:tab w:val="left" w:pos="0" w:leader="none"/>
        </w:tabs>
        <w:spacing w:lineRule="auto" w:line="360"/>
        <w:ind w:firstLine="720" w:end="0"/>
        <w:rPr/>
      </w:pPr>
      <w:r>
        <w:rPr/>
        <w:t>SCGC in several places in its brief attacks the Comprehensive Settlement for establishing a third-party (initially, ALTRA) platform for the trading of storage rights, intrastate backbone transmission rights, and monthly and OFO transportation imbalances.  See SCGC brief at pp.62-64 (storage) and p.83-85 (transportation imbalances).</w:t>
      </w:r>
    </w:p>
    <w:p>
      <w:pPr>
        <w:pStyle w:val="Normal"/>
        <w:tabs>
          <w:tab w:val="clear" w:pos="720"/>
          <w:tab w:val="left" w:pos="0" w:leader="none"/>
        </w:tabs>
        <w:spacing w:lineRule="auto" w:line="360"/>
        <w:ind w:firstLine="720" w:end="0"/>
        <w:rPr/>
      </w:pPr>
      <w:r>
        <w:rPr/>
        <w:t>Because the issues are essentially the same with respect to trading of all of these items, SoCalGas and SDG&amp;E are responding at this single point in this reply brief to all of these passages.</w:t>
      </w:r>
    </w:p>
    <w:p>
      <w:pPr>
        <w:pStyle w:val="Normal"/>
        <w:tabs>
          <w:tab w:val="clear" w:pos="720"/>
          <w:tab w:val="left" w:pos="0" w:leader="none"/>
        </w:tabs>
        <w:spacing w:lineRule="auto" w:line="360"/>
        <w:ind w:firstLine="720" w:end="0"/>
        <w:rPr/>
      </w:pPr>
      <w:r>
        <w:rPr/>
        <w:t>SCGC has basically three objections:  that the Comprehensive Settlement (allegedly) makes use of the ALTRA platform mandatory, that charging fees for the use of the ALTRA platform will make trading illiquid, and that it is wrong to allow SoCalGas to retain any portion of the fees charged for use of the ALTRA platform.</w:t>
      </w:r>
    </w:p>
    <w:p>
      <w:pPr>
        <w:pStyle w:val="Normal"/>
        <w:tabs>
          <w:tab w:val="clear" w:pos="720"/>
          <w:tab w:val="left" w:pos="0" w:leader="none"/>
        </w:tabs>
        <w:spacing w:lineRule="auto" w:line="360"/>
        <w:ind w:firstLine="720" w:end="0"/>
        <w:rPr/>
      </w:pPr>
      <w:r>
        <w:rPr/>
        <w:t xml:space="preserve">With respect to the mandatory use of the ALTRA platform, SoCalGas and SDG&amp;E wish to again make clear what they (and other witnesses for signatories to the Comprehensive Settlement) tried to make clear during the hearings:  under the Comprehensive Settlement, use of the ALTRA trading platform for the SoCalGas system will </w:t>
      </w:r>
      <w:r>
        <w:rPr>
          <w:u w:val="single"/>
        </w:rPr>
        <w:t>not</w:t>
      </w:r>
      <w:r>
        <w:rPr/>
        <w:t xml:space="preserve"> be mandatory to confirm trades of backbone transmission rights, storage rights, or monthly transportation imbalances.</w:t>
      </w:r>
      <w:r>
        <w:rPr>
          <w:rStyle w:val="FootnoteCharacters"/>
          <w:rStyle w:val="FootnoteReference"/>
        </w:rPr>
        <w:footnoteReference w:id="14"/>
      </w:r>
      <w:r>
        <w:rPr/>
        <w:t xml:space="preserve">  Parties can agree to trade these rights in whatever manner or forum they choose, and they simply must inform SoCalGas of any such trades.  There will be no fees payable to SoCalGas for SoCalGas to confirm trades made other than through the ALTRA platform beyond existing fees (such as processing faxes rather than electronic messages on GasSelect).  Furthermore, SoCalGas will make available a site on its GasSelect system at no fee beyond the regular GasSelect subscription fee on which parties can post information about wanting to buy or sell backbone or storage or monthly transportation imbalances, just as it would do under the Interim Settlement.  However, this site will not provide the functionality of the sophisticated ALTRA electronic platform.  If any of this intent is not clear enough from the text of the Comprehensive Settlement, SoCalGas and SDG&amp;E welcome the Commission making this interpretation clear in a decision approving the Comprehensive Settlement.</w:t>
      </w:r>
    </w:p>
    <w:p>
      <w:pPr>
        <w:pStyle w:val="Normal"/>
        <w:tabs>
          <w:tab w:val="clear" w:pos="720"/>
          <w:tab w:val="left" w:pos="0" w:leader="none"/>
        </w:tabs>
        <w:spacing w:lineRule="auto" w:line="360"/>
        <w:ind w:firstLine="720" w:end="0"/>
        <w:rPr/>
      </w:pPr>
      <w:r>
        <w:rPr/>
        <w:t>Under the Comprehensive Settlement, the only “product” trading of which must be confirmed at a fee on the ALTRA (or successor) system is OFO day “chip” trading.  OFO “chips” will be a complicated right that will require careful and very timely management of trading.</w:t>
      </w:r>
    </w:p>
    <w:p>
      <w:pPr>
        <w:pStyle w:val="Normal"/>
        <w:tabs>
          <w:tab w:val="clear" w:pos="720"/>
          <w:tab w:val="left" w:pos="0" w:leader="none"/>
        </w:tabs>
        <w:spacing w:lineRule="auto" w:line="360"/>
        <w:ind w:firstLine="720" w:end="0"/>
        <w:rPr/>
      </w:pPr>
      <w:r>
        <w:rPr/>
        <w:t>On each of the three issues raised by SCGC, the Comprehensive Settlement is consistent with the PG&amp;E January 28 settlement that was uncontested and that the Commission approved only two and a half months ago in D.00-05-049.</w:t>
      </w:r>
    </w:p>
    <w:p>
      <w:pPr>
        <w:pStyle w:val="Normal"/>
        <w:tabs>
          <w:tab w:val="clear" w:pos="720"/>
          <w:tab w:val="left" w:pos="0" w:leader="none"/>
        </w:tabs>
        <w:spacing w:lineRule="auto" w:line="360"/>
        <w:ind w:firstLine="720" w:end="0"/>
        <w:rPr/>
      </w:pPr>
      <w:r>
        <w:rPr/>
        <w:t>First, it is consistent with respect to mandatory use of the ALTRA platform.  The PG&amp;E settlement requires off-line trades of OFO chips to be confirmed through the ALTRA system (Section 2.2.3.4 at p.13) and there will be a fee for such confirmations (Section 2.2.3.5 at p.13).  This is the only kind of product for which the ALTRA system and a fee is mandatory for SoCalGas under the Comprehensive Settlement (or, as SoCalGas and SDG&amp;E understand it, for PG&amp;E under its settlement).</w:t>
      </w:r>
    </w:p>
    <w:p>
      <w:pPr>
        <w:pStyle w:val="Normal"/>
        <w:tabs>
          <w:tab w:val="clear" w:pos="720"/>
          <w:tab w:val="left" w:pos="0" w:leader="none"/>
        </w:tabs>
        <w:spacing w:lineRule="auto" w:line="360"/>
        <w:ind w:firstLine="720" w:end="0"/>
        <w:rPr/>
      </w:pPr>
      <w:r>
        <w:rPr/>
        <w:t>Second, the PG&amp;E settlement provides for fees to customers using the ALTRA platform to trade backbone, storage or imbalances.  See in the PG&amp;E January 28 settlement:  Section 2.2.2.3.4 at pp.9-10 re fees for use of ALTRA for monthly imbalance trading; Section 2.2.3.5 at p.13 for fees for use of ALTRA for OFO chip trading; and Section 2.8.4 at p.20 for fees for use of ALTRA for backbone transmission rights trading.  The January 28 settlement in Section 3.5 on p.29 indicates that storage trading was already resolved by the Gas Accord.  Section II.E.8.c. of the Gas Accord (73 CPUC2d at 809) provides that PG&amp;E will work with other parties to establish new or modify existing EBBs (in addition to PG&amp;E’s own posting board) to encourage development of an active secondary storage market.  Nothing prohibits such third party EBBs from charging a fee.</w:t>
      </w:r>
    </w:p>
    <w:p>
      <w:pPr>
        <w:pStyle w:val="Normal"/>
        <w:tabs>
          <w:tab w:val="clear" w:pos="720"/>
          <w:tab w:val="left" w:pos="0" w:leader="none"/>
        </w:tabs>
        <w:spacing w:lineRule="auto" w:line="360"/>
        <w:ind w:firstLine="720" w:end="0"/>
        <w:rPr/>
      </w:pPr>
      <w:r>
        <w:rPr/>
        <w:t>SCGC objects to the provisions of the Comprehensive Settlement that allow SoCalGas to retain a portion of the fee for use of the ALTRA trading platform.  First, it should be made clear that the Comprehensive Settlement allows SoCalGas to retain a portion of such fees only to the extent necessary to cover its costs of implementation of the Comprehensive Settlement not fully covered by the $2 million per year recovery for “capacity” related provisions in Part I., Section 1.6.1.1.  Pursuant to that section, in any year prior to the effectiveness of a new PBR/Cost-of-Service proceeding, SoCalGas will refund to customers the amount by which fees exceed actual capacity implementation costs over $2 million.  In other words, for this period, SoCalGas is allowed to retain these fees only to the extent needed to cover its costs to implement the capacity related portions of the settlement.  In the next PBR/Cost-of-Service proceeding the Commission can set prospectively the reasonable amount SoCalGas should recover for implementation and the structure of rates and charges to recover that amount.  The ability to retain a portion of fees for ALTRA trading in no way allows SoCalGas to do any more than cover its costs; it cannot be used to generate extraordinary profits because the amount above cost is to be refunded.</w:t>
      </w:r>
    </w:p>
    <w:p>
      <w:pPr>
        <w:pStyle w:val="Normal"/>
        <w:tabs>
          <w:tab w:val="clear" w:pos="720"/>
          <w:tab w:val="left" w:pos="0" w:leader="none"/>
        </w:tabs>
        <w:spacing w:lineRule="auto" w:line="360"/>
        <w:ind w:firstLine="720" w:end="0"/>
        <w:rPr/>
      </w:pPr>
      <w:r>
        <w:rPr/>
        <w:t xml:space="preserve">The principle of covering the utility’s costs through fees for ALTRA services was clearly established by the Commission’s approval of the PG&amp;E January 28 settlement.  That settlement in Section 2.2.2.3.6 allows PG&amp;E to retain a share of ALTRA’s transaction fee for monthly imbalance trading.  Half of what PG&amp;E recovers is credited to a balancing account for costs it incurs to implement the trading system.  The other half is retained by PG&amp;E shareholders “to provide an incentive to PG&amp;E to encourage use of this service.”  Thus, the approved and uncontested PG&amp;E Settlement goes </w:t>
      </w:r>
      <w:r>
        <w:rPr>
          <w:u w:val="single"/>
        </w:rPr>
        <w:t>farther</w:t>
      </w:r>
      <w:r>
        <w:rPr/>
        <w:t xml:space="preserve"> than the Comprehensive Settlement by giving utility shareholders a profit stake in monthly imbalance trading.  Section 2.2.3.5 of the PG&amp;E January 28 settlement allows PG&amp;E to retain 50% of the OFO day chip trading fees from ALTRA to offset the costs of implementing the system.  Section 2.8.4 of the PG&amp;E settlement allows PG&amp;E to get 50% of the ALTRA backbone transmission trading fees.  Of this 50%, half is credited to the balancing account for PG&amp;E implementation costs, but the other half is retained by PG&amp;E shareholders.  Again, the approved and uncontested PG&amp;E settlement is more favorable to shareholders than the Comprehensive Settlement to which SCGC objects.</w:t>
      </w:r>
    </w:p>
    <w:p>
      <w:pPr>
        <w:pStyle w:val="Normal"/>
        <w:tabs>
          <w:tab w:val="clear" w:pos="720"/>
          <w:tab w:val="left" w:pos="0" w:leader="none"/>
        </w:tabs>
        <w:spacing w:lineRule="auto" w:line="360"/>
        <w:ind w:firstLine="720" w:end="0"/>
        <w:rPr/>
      </w:pPr>
      <w:r>
        <w:rPr/>
        <w:t>SCGC’s claims that charging fees for use of the ALTRA system will impair the “liquidity” of trading in transmission and storage rights and transportation imbalances.  This claim is without merit.  The ALTRA systems will guarantee the availability of an e-commerce system with advanced features for trading in these items.  This is clearly the direction this and other markets are heading for business-to-business commerce.  It was embraced by the Commission and parties to the PG&amp;E system.  One can reasonably expect that the benefits offered by the platform to buyers and sellers will easily justify the fees.  If the buyers and sellers do not feel the service is worth the fee, they can trade off-line (except for OFO day chips).</w:t>
      </w:r>
    </w:p>
    <w:p>
      <w:pPr>
        <w:pStyle w:val="Normal"/>
        <w:tabs>
          <w:tab w:val="clear" w:pos="720"/>
          <w:tab w:val="left" w:pos="0" w:leader="none"/>
        </w:tabs>
        <w:spacing w:lineRule="auto" w:line="360"/>
        <w:ind w:firstLine="720" w:end="0"/>
        <w:rPr/>
      </w:pPr>
      <w:r>
        <w:rPr/>
        <w:t xml:space="preserve">The Comprehensive Settlement is certainly not inferior to the Post-Interim Settlement in terms of what products can be traded and how they can be traded.  For storage, the Post-Interim Settlement does not allow the trading of anything other than a whole storage contract (albeit, it can be assigned for less than its full duration).  The storage capacities in a contract of injection, inventory, and withdrawal cannot be traded independently on the secondary market, either.  This is a far greater limitation on the “liquidity” of the secondary storage market than having to pay a fee if one chooses to trade on ALTRA.  The Post-Interim Settlement prohibits the existence of intrastate backbone transmission rights through August of 2006, so it certainly does not provide any advantage over the Comprehensive Settlement in this aspect.  Furthermore, although the Post-Interim Settlement allows the trading of actual OFO day imbalances, it does not provide for more customer-advantageous OFO “chip” concept that the PG&amp;E settlement and the Comprehensive Settlement provide. </w:t>
      </w:r>
    </w:p>
    <w:p>
      <w:pPr>
        <w:pStyle w:val="Normal"/>
        <w:tabs>
          <w:tab w:val="clear" w:pos="720"/>
          <w:tab w:val="left" w:pos="0" w:leader="none"/>
        </w:tabs>
        <w:spacing w:lineRule="auto" w:line="360"/>
        <w:ind w:firstLine="720" w:end="0"/>
        <w:rPr/>
      </w:pPr>
      <w:r>
        <w:rPr/>
      </w:r>
    </w:p>
    <w:p>
      <w:pPr>
        <w:pStyle w:val="Heading5"/>
        <w:tabs>
          <w:tab w:val="clear" w:pos="0"/>
          <w:tab w:val="left" w:pos="1260" w:leader="none"/>
        </w:tabs>
        <w:spacing w:lineRule="auto" w:line="240"/>
        <w:ind w:hanging="547" w:start="1267" w:end="0"/>
        <w:rPr/>
      </w:pPr>
      <w:r>
        <w:rPr/>
        <w:t>4.  Storage risk provisions under the Comprehensive Settlement are better for gas consumers that the provisions of the Post-Interim Settlement.</w:t>
      </w:r>
    </w:p>
    <w:p>
      <w:pPr>
        <w:pStyle w:val="Normal"/>
        <w:tabs>
          <w:tab w:val="clear" w:pos="720"/>
          <w:tab w:val="left" w:pos="0" w:leader="none"/>
        </w:tabs>
        <w:spacing w:lineRule="auto" w:line="360"/>
        <w:ind w:firstLine="720" w:end="0"/>
        <w:rPr>
          <w:b/>
          <w:bCs/>
        </w:rPr>
      </w:pPr>
      <w:r>
        <w:rPr>
          <w:b/>
          <w:bCs/>
        </w:rPr>
      </w:r>
    </w:p>
    <w:p>
      <w:pPr>
        <w:pStyle w:val="Normal"/>
        <w:tabs>
          <w:tab w:val="clear" w:pos="720"/>
          <w:tab w:val="left" w:pos="0" w:leader="none"/>
        </w:tabs>
        <w:spacing w:lineRule="auto" w:line="360"/>
        <w:ind w:firstLine="720" w:end="0"/>
        <w:rPr/>
      </w:pPr>
      <w:r>
        <w:rPr/>
        <w:t xml:space="preserve">SCGC claims (opening brief at p.64-65) that the Post-Interim Settlement provision for putting SoCalGas at risk for unbundled storage is preferable to that in the Comprehensive Settlement because the Post-Interim Settlement moves SoCalGas to 100% unbundled storage risk three months sooner than the Comprehensive Settlement (i.e., on January 1, 2003, rather than on April 1, 2003).  SCGC conveniently overlooks a more significant difference in the storage risk provisions of the two settlements that results in </w:t>
      </w:r>
      <w:r>
        <w:rPr>
          <w:u w:val="single"/>
        </w:rPr>
        <w:t>greater</w:t>
      </w:r>
      <w:r>
        <w:rPr/>
        <w:t xml:space="preserve"> net shareholder risk under the Comprehensive Settlement.  The Post-Interim Settlement leaves SoCalGas at 50% shareholder risk from now through December 31, 2002, per the current BCAP provisions (D.00-04-060).  By contrast, the Comprehensive Settlement increases SoCalGas’ shareholder risk on April 1, 2002, from 50% to 75%, until it goes to 100% on April 1, 2003.  Assuming the same dollar shortfall in 2002 and 2003, ratepayers pick up less of the shortfall under the Comprehensive Settlement than the Post-Interim Settlement.  (For three quarters (April-December 2002) the Comprehensive Settlement has 25% more shareholder risk than the Post-Interim, for one quarter (January-March 2003) the Post-Interim has 25% more shareholder risk.)</w:t>
      </w:r>
      <w:r>
        <w:rPr>
          <w:rStyle w:val="FootnoteCharacters"/>
          <w:rStyle w:val="FootnoteReference"/>
        </w:rPr>
        <w:footnoteReference w:id="15"/>
      </w:r>
    </w:p>
    <w:p>
      <w:pPr>
        <w:pStyle w:val="Normal"/>
        <w:tabs>
          <w:tab w:val="clear" w:pos="720"/>
          <w:tab w:val="left" w:pos="0" w:leader="none"/>
        </w:tabs>
        <w:spacing w:lineRule="auto" w:line="360"/>
        <w:ind w:firstLine="720" w:end="0"/>
        <w:rPr/>
      </w:pPr>
      <w:r>
        <w:rPr/>
      </w:r>
    </w:p>
    <w:p>
      <w:pPr>
        <w:pStyle w:val="Normal"/>
        <w:tabs>
          <w:tab w:val="clear" w:pos="720"/>
          <w:tab w:val="left" w:pos="0" w:leader="none"/>
        </w:tabs>
        <w:spacing w:lineRule="auto" w:line="360"/>
        <w:ind w:firstLine="720" w:end="0"/>
        <w:rPr/>
      </w:pPr>
      <w:r>
        <w:rPr/>
      </w:r>
    </w:p>
    <w:p>
      <w:pPr>
        <w:pStyle w:val="Normal"/>
        <w:numPr>
          <w:ilvl w:val="0"/>
          <w:numId w:val="8"/>
        </w:numPr>
        <w:tabs>
          <w:tab w:val="clear" w:pos="720"/>
          <w:tab w:val="left" w:pos="0" w:leader="none"/>
        </w:tabs>
        <w:ind w:hanging="2615" w:start="4055" w:end="0"/>
        <w:rPr>
          <w:b/>
          <w:bCs/>
        </w:rPr>
      </w:pPr>
      <w:r>
        <w:rPr>
          <w:b/>
          <w:bCs/>
        </w:rPr>
        <w:t>Storage pricing flexibility under the Comprehensive Settlement is reasonable.</w:t>
      </w:r>
    </w:p>
    <w:p>
      <w:pPr>
        <w:pStyle w:val="Normal"/>
        <w:numPr>
          <w:ilvl w:val="0"/>
          <w:numId w:val="0"/>
        </w:numPr>
        <w:spacing w:lineRule="auto" w:line="360"/>
        <w:ind w:hanging="0" w:start="1440" w:end="0"/>
        <w:rPr>
          <w:b/>
          <w:bCs/>
        </w:rPr>
      </w:pPr>
      <w:r>
        <w:rPr>
          <w:b/>
          <w:bCs/>
        </w:rPr>
      </w:r>
    </w:p>
    <w:p>
      <w:pPr>
        <w:pStyle w:val="Normal"/>
        <w:numPr>
          <w:ilvl w:val="0"/>
          <w:numId w:val="0"/>
        </w:numPr>
        <w:tabs>
          <w:tab w:val="clear" w:pos="720"/>
          <w:tab w:val="left" w:pos="0" w:leader="none"/>
        </w:tabs>
        <w:spacing w:lineRule="auto" w:line="360"/>
        <w:ind w:hanging="0" w:start="0" w:end="0"/>
        <w:rPr/>
      </w:pPr>
      <w:r>
        <w:rPr/>
        <w:t>SCGC objects to the storage pricing flexibility that the Comprehensive Settlement provides SoCalGas on and after April 1, 2003.</w:t>
      </w:r>
    </w:p>
    <w:p>
      <w:pPr>
        <w:pStyle w:val="Normal"/>
        <w:numPr>
          <w:ilvl w:val="0"/>
          <w:numId w:val="0"/>
        </w:numPr>
        <w:tabs>
          <w:tab w:val="clear" w:pos="720"/>
          <w:tab w:val="left" w:pos="0" w:leader="none"/>
        </w:tabs>
        <w:spacing w:lineRule="auto" w:line="360"/>
        <w:ind w:hanging="0" w:start="0" w:end="0"/>
        <w:rPr/>
      </w:pPr>
      <w:r>
        <w:rPr/>
        <w:t xml:space="preserve">Critical to understanding this issue is an appreciation of the way that the pricing ceiling works under the current SoCalGas storage rate schedule G-TBS.  </w:t>
      </w:r>
    </w:p>
    <w:p>
      <w:pPr>
        <w:pStyle w:val="Normal"/>
        <w:numPr>
          <w:ilvl w:val="0"/>
          <w:numId w:val="0"/>
        </w:numPr>
        <w:tabs>
          <w:tab w:val="clear" w:pos="720"/>
          <w:tab w:val="left" w:pos="0" w:leader="none"/>
        </w:tabs>
        <w:spacing w:lineRule="auto" w:line="360"/>
        <w:ind w:hanging="0" w:start="0" w:end="0"/>
        <w:rPr/>
      </w:pPr>
      <w:r>
        <w:rPr/>
        <w:t xml:space="preserve">The G-TBS rate ceiling is currently based on 120% of the </w:t>
      </w:r>
      <w:r>
        <w:rPr>
          <w:u w:val="single"/>
        </w:rPr>
        <w:t>sum</w:t>
      </w:r>
      <w:r>
        <w:rPr/>
        <w:t xml:space="preserve"> of the individual charges (currently based on LRMC) set forth in Schedule G-LTS for firm injection, inventory, and withdrawal.  The current maximum on schedule G-TBS for inventory is $14.271 per dth per year (see RATES, Reservation Charges, Firm Storage Service, on Sheet 1 of 7, of SoCalGas Rate Schedule G-TBS).  This approach of setting the ceiling for any one product on 120% of the sum of the costs of all three provides very substantial upside flexibility to SoCalGas – to the extent that competitive market conditions will allow.  By contrast, the rate at embedded cost per dth per year for the package of storage products to be offered in the open season under the </w:t>
      </w:r>
      <w:r>
        <w:br w:type="page"/>
      </w:r>
    </w:p>
    <w:p>
      <w:pPr>
        <w:pStyle w:val="Normal"/>
        <w:numPr>
          <w:ilvl w:val="0"/>
          <w:numId w:val="0"/>
        </w:numPr>
        <w:tabs>
          <w:tab w:val="clear" w:pos="720"/>
          <w:tab w:val="left" w:pos="0" w:leader="none"/>
        </w:tabs>
        <w:spacing w:lineRule="auto" w:line="360"/>
        <w:ind w:hanging="0" w:start="0"/>
        <w:rPr/>
      </w:pPr>
      <w:r>
        <w:rPr/>
        <w:t>Comprehensive Settlement is $0.667, plus PBR escalation (Comprehensive Settlement Section 2.1.3.4 at p.33).  The difference between embedded cost at around 67 cents per dth of inventory and the G-TBS ceiling at $14.27 per dth of inventory demonstrates dramatically that the G-TBS ceiling today is not a significant limitation on what SoCalGas can charge in the marketplace.</w:t>
      </w:r>
    </w:p>
    <w:p>
      <w:pPr>
        <w:pStyle w:val="Normal"/>
        <w:numPr>
          <w:ilvl w:val="0"/>
          <w:numId w:val="0"/>
        </w:numPr>
        <w:tabs>
          <w:tab w:val="clear" w:pos="720"/>
          <w:tab w:val="left" w:pos="0" w:leader="none"/>
        </w:tabs>
        <w:spacing w:lineRule="auto" w:line="360"/>
        <w:ind w:hanging="0" w:start="0" w:end="0"/>
        <w:rPr/>
      </w:pPr>
      <w:r>
        <w:rPr/>
        <w:t>Furthermore, PG&amp;E’s ceiling price for negotiated storage service under the Gas Accord is based on a very similar concept as used in SoCalGas’ current G-TBS schedule.  The negotiated rates are capped at a price that will collect 100% of PG&amp;E’s total revenue requirement for all three products over the sale of all of any one product (see 73 CPUC2d at 805-806 and at 851, note f)).  (See also, Exhibit No.14, pp.5-6).</w:t>
      </w:r>
    </w:p>
    <w:p>
      <w:pPr>
        <w:pStyle w:val="Normal"/>
        <w:numPr>
          <w:ilvl w:val="0"/>
          <w:numId w:val="0"/>
        </w:numPr>
        <w:tabs>
          <w:tab w:val="clear" w:pos="720"/>
          <w:tab w:val="left" w:pos="0" w:leader="none"/>
        </w:tabs>
        <w:spacing w:lineRule="auto" w:line="360"/>
        <w:ind w:hanging="0" w:start="0" w:end="0"/>
        <w:rPr/>
      </w:pPr>
      <w:r>
        <w:rPr/>
        <w:t xml:space="preserve">SCGC’s claims about the storage pricing provisions of the Comprehensive Settlement are without merit.  In fact, the provisions of the Comprehensive Settlement on storage pricing flexibility are reasonable, and in practice will be </w:t>
      </w:r>
      <w:r>
        <w:rPr>
          <w:u w:val="single"/>
        </w:rPr>
        <w:t>more</w:t>
      </w:r>
      <w:r>
        <w:rPr/>
        <w:t xml:space="preserve"> restrictive than the provisions applicable to PG&amp;E’s unbundled storage service or even than the Post-Interim Settlement!</w:t>
      </w:r>
    </w:p>
    <w:p>
      <w:pPr>
        <w:pStyle w:val="Normal"/>
        <w:numPr>
          <w:ilvl w:val="0"/>
          <w:numId w:val="0"/>
        </w:numPr>
        <w:tabs>
          <w:tab w:val="clear" w:pos="720"/>
          <w:tab w:val="left" w:pos="0" w:leader="none"/>
        </w:tabs>
        <w:spacing w:lineRule="auto" w:line="360"/>
        <w:ind w:hanging="0" w:start="0" w:end="0"/>
        <w:rPr/>
      </w:pPr>
      <w:r>
        <w:rPr/>
        <w:t xml:space="preserve">First, the Comprehensive Settlement requires SoCalGas to conduct annual open seasons through the term of the Comprehensive Settlement in which storage is available </w:t>
      </w:r>
      <w:r>
        <w:rPr>
          <w:u w:val="single"/>
        </w:rPr>
        <w:t>at embedded cost</w:t>
      </w:r>
      <w:r>
        <w:rPr/>
        <w:t>.</w:t>
      </w:r>
      <w:r>
        <w:rPr>
          <w:rStyle w:val="FootnoteCharacters"/>
          <w:rStyle w:val="FootnoteReference"/>
        </w:rPr>
        <w:footnoteReference w:id="16"/>
      </w:r>
      <w:r>
        <w:rPr/>
        <w:t xml:space="preserve">  Annually, customers know they will be able to obtain storage capacity from SoCalGas at least annually.  Further, between open seasons they can obtain storage capacity in the secondary market from persons who acquired their capacity at embedded cost from SoCalGas in the open season.  The market will decide the price in the secondary market, but it certainly is a constraint on what SoCalGas can charge for negotiated storage contracts between open seasons.  The right of customers to get storage at embedded cost (commonly called “recourse” service) and the availability of storage from others in an active secondary market are the principle reason under the Comprehensive Settlement that SoCalGas cannot exercise market power over storage, even without price ceilings on negotiated storage service contracts.  By contrast, under the Post-Interim Settlement, there is no requirement that SoCalGas hold open seasons for storage at embedded (or LRMC) cost.  The Post-Interim Settlement in Section 5.4.3 simply retains the current system of individual negotiation of storage contracts subject to a price ceiling that, as discussed further below, is much above cost.  It retains the current level of 120% of the sum of the three products, and then drops it to 100% of the sum effective January 1, 2003.</w:t>
      </w:r>
      <w:r>
        <w:rPr>
          <w:rStyle w:val="FootnoteCharacters"/>
          <w:rStyle w:val="FootnoteReference"/>
        </w:rPr>
        <w:footnoteReference w:id="17"/>
      </w:r>
      <w:r>
        <w:rPr/>
        <w:t xml:space="preserve">  Furthermore, the Post-Interim Settlement will not allow as robust a secondary market in storage because it does not allow parts of contracts to be traded or for injection, inventory, and withdrawal to be traded independently.</w:t>
      </w:r>
    </w:p>
    <w:p>
      <w:pPr>
        <w:pStyle w:val="Normal"/>
        <w:numPr>
          <w:ilvl w:val="0"/>
          <w:numId w:val="0"/>
        </w:numPr>
        <w:tabs>
          <w:tab w:val="clear" w:pos="720"/>
          <w:tab w:val="left" w:pos="0" w:leader="none"/>
        </w:tabs>
        <w:spacing w:lineRule="auto" w:line="360"/>
        <w:ind w:hanging="0" w:start="0" w:end="0"/>
        <w:rPr/>
      </w:pPr>
      <w:r>
        <w:rPr/>
        <w:t>In addition, the Comprehensive Settlement imposes from April 1, 2001 through March 31, 2003, ceilings on negotiated storage contracts by SoCalGas that are much below the ceiling under the rate schedule G-TBS in effect today.  The ceiling is 150% of the embedded cost from April 1, 2001 to March 31, 2002, but applied to each product individually, not to the sum of each product.  The ceiling then goes to 200% of embedded cost on an individual product basis for April 1, 2002 to March 31, 2003.  Only thereafter does the Comprehensive Settlement eliminate a price cap on negotiated storage service by SoCalGas.  In other words, for two years, the Comprehensive Settlement limits SoCalGas’ negotiated storage contract pricing flexibility to far below what it is today or what PG&amp;E will enjoy under the Gas Accord.  Because the Post-Interim Settlement keeps the current G-TBS ceiling until January 1, 2003, the Comprehensive Settlement is also much more restrictive than it for the period until January 1, 2003.</w:t>
      </w:r>
    </w:p>
    <w:p>
      <w:pPr>
        <w:pStyle w:val="Normal"/>
        <w:numPr>
          <w:ilvl w:val="0"/>
          <w:numId w:val="0"/>
        </w:numPr>
        <w:tabs>
          <w:tab w:val="clear" w:pos="720"/>
          <w:tab w:val="left" w:pos="0" w:leader="none"/>
        </w:tabs>
        <w:spacing w:lineRule="auto" w:line="360"/>
        <w:ind w:hanging="0" w:start="0" w:end="0"/>
        <w:rPr/>
      </w:pPr>
      <w:r>
        <w:rPr/>
        <w:t>After that date, the Comprehensive Settlement has no ceiling, and the Post-Interim Settlement has a ceiling of approximately $11.89 per dth per year of inventory, which for inventory alone is almost twenty times the price that one can get inventory plus associated of injection and withdrawal in the Comprehensive Settlement open seasons.  In practice, the Post-Interim Settlement ceiling after January 1, 2003 will have no more effect than the explicit “no ceiling” provision in the Comprehensive Settlement.  However, the Post-Interim Settlement does not have the embedded cost open season and robust secondary market that the Comprehensive Settlement provides to protect gas consumers.</w:t>
      </w:r>
    </w:p>
    <w:p>
      <w:pPr>
        <w:pStyle w:val="Normal"/>
        <w:numPr>
          <w:ilvl w:val="0"/>
          <w:numId w:val="0"/>
        </w:numPr>
        <w:tabs>
          <w:tab w:val="clear" w:pos="720"/>
          <w:tab w:val="left" w:pos="0" w:leader="none"/>
        </w:tabs>
        <w:spacing w:lineRule="auto" w:line="360"/>
        <w:ind w:hanging="0" w:start="0" w:end="0"/>
        <w:rPr/>
      </w:pPr>
      <w:r>
        <w:rPr/>
      </w:r>
    </w:p>
    <w:p>
      <w:pPr>
        <w:pStyle w:val="Normal"/>
        <w:numPr>
          <w:ilvl w:val="0"/>
          <w:numId w:val="0"/>
        </w:numPr>
        <w:tabs>
          <w:tab w:val="clear" w:pos="720"/>
          <w:tab w:val="left" w:pos="0" w:leader="none"/>
        </w:tabs>
        <w:spacing w:lineRule="auto" w:line="360"/>
        <w:ind w:hanging="0" w:start="0" w:end="0"/>
        <w:rPr/>
      </w:pPr>
      <w:r>
        <w:rPr/>
      </w:r>
    </w:p>
    <w:p>
      <w:pPr>
        <w:pStyle w:val="Normal"/>
        <w:numPr>
          <w:ilvl w:val="0"/>
          <w:numId w:val="8"/>
        </w:numPr>
        <w:tabs>
          <w:tab w:val="clear" w:pos="720"/>
          <w:tab w:val="left" w:pos="0" w:leader="none"/>
        </w:tabs>
        <w:ind w:hanging="2615" w:start="4055" w:end="0"/>
        <w:rPr>
          <w:b/>
          <w:bCs/>
        </w:rPr>
      </w:pPr>
      <w:r>
        <w:rPr>
          <w:b/>
          <w:bCs/>
        </w:rPr>
        <w:t>The Comprehensive Settlement’s open seasons for storage offer reasonable packages of storage products.</w:t>
      </w:r>
    </w:p>
    <w:p>
      <w:pPr>
        <w:pStyle w:val="Normal"/>
        <w:spacing w:lineRule="auto" w:line="360"/>
        <w:ind w:start="1440" w:end="0"/>
        <w:rPr/>
      </w:pPr>
      <w:r>
        <w:rPr/>
      </w:r>
    </w:p>
    <w:p>
      <w:pPr>
        <w:pStyle w:val="Normal"/>
        <w:tabs>
          <w:tab w:val="clear" w:pos="720"/>
          <w:tab w:val="left" w:pos="0" w:leader="none"/>
        </w:tabs>
        <w:spacing w:lineRule="auto" w:line="360"/>
        <w:ind w:firstLine="720" w:end="0"/>
        <w:rPr/>
      </w:pPr>
      <w:r>
        <w:rPr/>
        <w:t xml:space="preserve">SCGC at p.70 of its opening brief claims that the package of injection, inventory, and withdrawal that SoCalGas will offer in open seasons under the Comprehensive Settlement is undesirable to customers.  It says the package would be more suitable for customers seeking a seasonal user than someone like SCGC members who (allegedly) would be buying storage for “balancing” purposes.  </w:t>
      </w:r>
    </w:p>
    <w:p>
      <w:pPr>
        <w:pStyle w:val="Normal"/>
        <w:tabs>
          <w:tab w:val="clear" w:pos="720"/>
          <w:tab w:val="left" w:pos="0" w:leader="none"/>
        </w:tabs>
        <w:spacing w:lineRule="auto" w:line="360"/>
        <w:ind w:firstLine="720" w:end="0"/>
        <w:rPr/>
      </w:pPr>
      <w:r>
        <w:rPr/>
        <w:t>The approach to setting the package in the Comprehensive Settlement is reasonable and consistent with the PG&amp;E Gas Accord previously approved by the Commission.</w:t>
      </w:r>
    </w:p>
    <w:p>
      <w:pPr>
        <w:pStyle w:val="Normal"/>
        <w:tabs>
          <w:tab w:val="clear" w:pos="720"/>
          <w:tab w:val="left" w:pos="0" w:leader="none"/>
        </w:tabs>
        <w:spacing w:lineRule="auto" w:line="360"/>
        <w:ind w:firstLine="720" w:end="0"/>
        <w:rPr/>
      </w:pPr>
      <w:r>
        <w:rPr/>
        <w:t>The approach is reasonable because it uses the same ratio of the three products as SoCalGas’ total storage capacities, so as to avoid “stranding” storage products (SoCalGas/SDG&amp;E witness Lorenz, Ex.No.2, pp.16-17).  If SoCalGas were not allowed offer all of the storage products at embedded cost in the same ratio of total capacity, it would amount to requiring SoCalGas to offer storage for sale at less than SoCalGas’ total embedded cost of storage.</w:t>
      </w:r>
    </w:p>
    <w:p>
      <w:pPr>
        <w:pStyle w:val="Normal"/>
        <w:tabs>
          <w:tab w:val="clear" w:pos="720"/>
          <w:tab w:val="left" w:pos="0" w:leader="none"/>
        </w:tabs>
        <w:spacing w:lineRule="auto" w:line="360"/>
        <w:ind w:firstLine="720" w:end="0"/>
        <w:rPr/>
      </w:pPr>
      <w:r>
        <w:rPr/>
        <w:t>Furthermore, the Comprehensive Settlement package is similar to the PG&amp;E total unbundled capacity under the Gas Accord.  The Comprehensive Settlement package is 29.6 MMcfd of withdrawal per 1 Bcf of inventory (Section 2.1.3.4, p.32).  PG&amp;E has an unbundled storage capacity with a ratio of 136-175 MMcfd of withdrawal (mid-point being 155.5 MMcfd) to 4.7 Bcf inventory (73 CPUC2d 808-809).  This is a ratio of 33 MMdth withdrawal to 1 Bcf inventory, very comparable to the Comprehensive Settlement ratio for SoCalGas of 29.6 MMdth to 1 Bcf.</w:t>
      </w:r>
    </w:p>
    <w:p>
      <w:pPr>
        <w:pStyle w:val="Normal"/>
        <w:tabs>
          <w:tab w:val="clear" w:pos="720"/>
          <w:tab w:val="left" w:pos="0" w:leader="none"/>
        </w:tabs>
        <w:spacing w:lineRule="auto" w:line="360"/>
        <w:ind w:firstLine="720" w:end="0"/>
        <w:rPr/>
      </w:pPr>
      <w:r>
        <w:rPr/>
      </w:r>
    </w:p>
    <w:p>
      <w:pPr>
        <w:pStyle w:val="Normal"/>
        <w:tabs>
          <w:tab w:val="clear" w:pos="720"/>
          <w:tab w:val="left" w:pos="0" w:leader="none"/>
        </w:tabs>
        <w:spacing w:lineRule="auto" w:line="360"/>
        <w:ind w:firstLine="720" w:end="0"/>
        <w:rPr/>
      </w:pPr>
      <w:r>
        <w:rPr/>
      </w:r>
    </w:p>
    <w:p>
      <w:pPr>
        <w:pStyle w:val="Normal"/>
        <w:tabs>
          <w:tab w:val="clear" w:pos="720"/>
          <w:tab w:val="left" w:pos="0" w:leader="none"/>
        </w:tabs>
        <w:spacing w:lineRule="auto" w:line="360"/>
        <w:ind w:firstLine="720" w:end="0"/>
        <w:rPr/>
      </w:pPr>
      <w:r>
        <w:rPr/>
      </w:r>
    </w:p>
    <w:p>
      <w:pPr>
        <w:pStyle w:val="Normal"/>
        <w:tabs>
          <w:tab w:val="clear" w:pos="720"/>
          <w:tab w:val="left" w:pos="0" w:leader="none"/>
        </w:tabs>
        <w:spacing w:lineRule="auto" w:line="360"/>
        <w:ind w:firstLine="720" w:end="0"/>
        <w:rPr/>
      </w:pPr>
      <w:r>
        <w:rPr/>
      </w:r>
    </w:p>
    <w:p>
      <w:pPr>
        <w:pStyle w:val="Normal"/>
        <w:tabs>
          <w:tab w:val="clear" w:pos="720"/>
          <w:tab w:val="left" w:pos="0" w:leader="none"/>
        </w:tabs>
        <w:spacing w:lineRule="auto" w:line="360"/>
        <w:ind w:firstLine="720" w:end="0"/>
        <w:rPr/>
      </w:pPr>
      <w:r>
        <w:rPr/>
      </w:r>
    </w:p>
    <w:p>
      <w:pPr>
        <w:pStyle w:val="Heading5"/>
        <w:rPr/>
      </w:pPr>
      <w:r>
        <w:rPr/>
        <w:t>C.  BALANCING ISSUES</w:t>
      </w:r>
    </w:p>
    <w:p>
      <w:pPr>
        <w:pStyle w:val="Normal"/>
        <w:tabs>
          <w:tab w:val="clear" w:pos="720"/>
          <w:tab w:val="left" w:pos="0" w:leader="none"/>
        </w:tabs>
        <w:spacing w:lineRule="auto" w:line="360"/>
        <w:ind w:firstLine="720" w:end="0"/>
        <w:rPr/>
      </w:pPr>
      <w:r>
        <w:rPr/>
      </w:r>
    </w:p>
    <w:p>
      <w:pPr>
        <w:pStyle w:val="Normal"/>
        <w:tabs>
          <w:tab w:val="clear" w:pos="720"/>
          <w:tab w:val="left" w:pos="0" w:leader="none"/>
        </w:tabs>
        <w:spacing w:lineRule="auto" w:line="360"/>
        <w:ind w:firstLine="720" w:end="0"/>
        <w:rPr/>
      </w:pPr>
      <w:r>
        <w:rPr/>
        <w:t>SoCalGas and SDG&amp;E covered this issue in detail in their joint opening brief.  The other parties opening brief generate a need to say little more, so this portion of the reply brief will be short.</w:t>
      </w:r>
    </w:p>
    <w:p>
      <w:pPr>
        <w:pStyle w:val="Normal"/>
        <w:tabs>
          <w:tab w:val="clear" w:pos="720"/>
          <w:tab w:val="left" w:pos="0" w:leader="none"/>
        </w:tabs>
        <w:spacing w:lineRule="auto" w:line="360"/>
        <w:ind w:firstLine="720" w:end="0"/>
        <w:rPr/>
      </w:pPr>
      <w:r>
        <w:rPr/>
      </w:r>
    </w:p>
    <w:p>
      <w:pPr>
        <w:pStyle w:val="Normal"/>
        <w:numPr>
          <w:ilvl w:val="0"/>
          <w:numId w:val="9"/>
        </w:numPr>
        <w:tabs>
          <w:tab w:val="clear" w:pos="720"/>
          <w:tab w:val="left" w:pos="0" w:leader="none"/>
        </w:tabs>
        <w:ind w:hanging="1895" w:start="2615" w:end="0"/>
        <w:rPr>
          <w:b/>
          <w:bCs/>
        </w:rPr>
      </w:pPr>
      <w:r>
        <w:rPr>
          <w:b/>
          <w:bCs/>
        </w:rPr>
        <w:t>The Comprehensive Settlement complies with the Promising Options decision provisions for balancing, and the Post-Interim Settlement does not.</w:t>
      </w:r>
    </w:p>
    <w:p>
      <w:pPr>
        <w:pStyle w:val="Normal"/>
        <w:numPr>
          <w:ilvl w:val="0"/>
          <w:numId w:val="0"/>
        </w:numPr>
        <w:spacing w:lineRule="auto" w:line="360"/>
        <w:ind w:hanging="0" w:start="720" w:end="0"/>
        <w:rPr>
          <w:b/>
          <w:bCs/>
        </w:rPr>
      </w:pPr>
      <w:r>
        <w:rPr>
          <w:b/>
          <w:bCs/>
        </w:rPr>
      </w:r>
    </w:p>
    <w:p>
      <w:pPr>
        <w:pStyle w:val="Normal"/>
        <w:numPr>
          <w:ilvl w:val="0"/>
          <w:numId w:val="0"/>
        </w:numPr>
        <w:tabs>
          <w:tab w:val="clear" w:pos="720"/>
          <w:tab w:val="left" w:pos="0" w:leader="none"/>
        </w:tabs>
        <w:spacing w:lineRule="auto" w:line="360"/>
        <w:ind w:hanging="0" w:start="0" w:end="0"/>
        <w:rPr/>
      </w:pPr>
      <w:r>
        <w:rPr/>
        <w:t>The fundamental difference between the Comprehensive Settlement and the Post-Interim Settlement on balancing is that the Comprehensive Settlement carries out the Commission’s promising option of applying structural means for SoCalGas to provide balancing services without drawing on core assets, while the Post-Interim Settlement rejects this concept and does nothing to prevent noncore customers from balancing by use of core assets without compensation.</w:t>
      </w:r>
    </w:p>
    <w:p>
      <w:pPr>
        <w:pStyle w:val="Normal"/>
        <w:numPr>
          <w:ilvl w:val="0"/>
          <w:numId w:val="0"/>
        </w:numPr>
        <w:tabs>
          <w:tab w:val="clear" w:pos="720"/>
          <w:tab w:val="left" w:pos="0" w:leader="none"/>
        </w:tabs>
        <w:spacing w:lineRule="auto" w:line="360"/>
        <w:ind w:hanging="0" w:start="0" w:end="0"/>
        <w:rPr/>
      </w:pPr>
      <w:r>
        <w:rPr/>
        <w:t xml:space="preserve">SCGC claims at p.73 of its opening brief that the Post-Interim Settlement would assure that there would be no undue use of core resources by the noncore or vice-versa by imposing the same balancing rules on the core as the noncore while retaining the benefits of “diversity” for all customers.  The Commission should not be fooled:  the Post-Interim Settlement accomplishes </w:t>
      </w:r>
      <w:r>
        <w:rPr>
          <w:u w:val="single"/>
        </w:rPr>
        <w:t>some</w:t>
      </w:r>
      <w:r>
        <w:rPr/>
        <w:t xml:space="preserve"> of the Commission’s stated goals for balancing by imposing the same (almost) balancing rules on core and noncore customers.  However, the Post-Interim Settlement does nothing to prevent noncore customers from balancing through the use of unutilized core assets without compensation.  The same basic structure under the Post-Interim Settlement exists as it does today:  if the system as a whole will not be out of balance on a given day, no restrictions and no charges are put on noncore service even if the noncore imbalance exceeds assets dedicated to load balancing and core assets are going to be used.  Furthermore, under the Post-Interim Settlement, when the noncore customer class is sufficiently out of balance as to cause the system to be out of balance, even though the core may not be out of balance, both classes are made subject to an OFO.</w:t>
      </w:r>
      <w:r>
        <w:rPr>
          <w:rStyle w:val="FootnoteCharacters"/>
          <w:rStyle w:val="FootnoteReference"/>
        </w:rPr>
        <w:footnoteReference w:id="18"/>
      </w:r>
    </w:p>
    <w:p>
      <w:pPr>
        <w:pStyle w:val="Normal"/>
        <w:numPr>
          <w:ilvl w:val="0"/>
          <w:numId w:val="0"/>
        </w:numPr>
        <w:tabs>
          <w:tab w:val="clear" w:pos="720"/>
          <w:tab w:val="left" w:pos="0" w:leader="none"/>
        </w:tabs>
        <w:spacing w:lineRule="auto" w:line="360"/>
        <w:ind w:hanging="0" w:start="0" w:end="0"/>
        <w:rPr/>
      </w:pPr>
      <w:r>
        <w:rPr/>
        <w:t>By contrast, the Comprehensive Settlement looks at each classes imbalances independently, and calls OFOs by class.  If one class is about to use more than its allocated balancing assets, it will have to stay within its allocated balancing assets or buy assets from the other class.  This is what the Commission was looking for in its promising options.  It has nothing to do with “diversity”.  The capacity of the SoCalGas system is the same under the Comprehensive Settlement or the Post-Interim Settlement.  The only issue is not getting to use an asset someone else is paying for unless you compensate them.</w:t>
      </w:r>
    </w:p>
    <w:p>
      <w:pPr>
        <w:pStyle w:val="Normal"/>
        <w:numPr>
          <w:ilvl w:val="0"/>
          <w:numId w:val="0"/>
        </w:numPr>
        <w:tabs>
          <w:tab w:val="clear" w:pos="720"/>
          <w:tab w:val="left" w:pos="0" w:leader="none"/>
        </w:tabs>
        <w:spacing w:lineRule="auto" w:line="360"/>
        <w:ind w:hanging="0" w:start="0" w:end="0"/>
        <w:rPr/>
      </w:pPr>
      <w:r>
        <w:rPr/>
        <w:t>At p.75 of its opening brief, SCGC has misrepresented the provisions of the Comprehensive Settlement regarding assets devoted to balancing as compared to the status quo (which the Post-Interim preserves).  SCGC says under the Comprehensive Settlement, load balancing resources are being reduced to the detriment of customers.</w:t>
      </w:r>
    </w:p>
    <w:p>
      <w:pPr>
        <w:pStyle w:val="Normal"/>
        <w:numPr>
          <w:ilvl w:val="0"/>
          <w:numId w:val="0"/>
        </w:numPr>
        <w:tabs>
          <w:tab w:val="clear" w:pos="720"/>
          <w:tab w:val="left" w:pos="0" w:leader="none"/>
        </w:tabs>
        <w:spacing w:lineRule="auto" w:line="360"/>
        <w:ind w:hanging="0" w:start="0" w:end="0"/>
        <w:rPr/>
      </w:pPr>
      <w:r>
        <w:rPr/>
        <w:t xml:space="preserve">The fact is that under the Comprehensive Settlement, the resources dedicated to balancing the noncore class </w:t>
      </w:r>
      <w:r>
        <w:rPr>
          <w:u w:val="single"/>
        </w:rPr>
        <w:t>alone</w:t>
      </w:r>
      <w:r>
        <w:rPr/>
        <w:t xml:space="preserve"> will be 250 MMcfd of withdrawal, 5.3 Bcf of inventory, and 250 MMcfd of injection.  This compares with the status quo of dedicating to balancing service for the core </w:t>
      </w:r>
      <w:r>
        <w:rPr>
          <w:u w:val="single"/>
        </w:rPr>
        <w:t>and</w:t>
      </w:r>
      <w:r>
        <w:rPr/>
        <w:t xml:space="preserve"> the noncore classes combined assets of 250 MMcfd of withdrawal, 5.3 Bcf of inventory, and 355 MMcfd of injection.  In other word, under the Comprehensive Settlement, the same amounts of withdrawal and inventory capacity will be dedicated to noncore balancing as are dedicated to balancing the total system today.  That amounts to a relative increase in withdrawal and inventory balancing assets for the noncore compared to today.  There is a reduction in the injection balancing assets from 355 MMcfd to 250 MMcfd, but this injection is now needed only to balance the noncore.  Noncore throughput was 63% of system throughput in 1999 (Ex.No.29, (sum of noncore plus wholesale divided by total of total system), yet the Comprehensive Settlement provides noncore customers with injection for balancing of 70% of what is allocated today to balancing the entire system.</w:t>
      </w:r>
    </w:p>
    <w:p>
      <w:pPr>
        <w:pStyle w:val="Normal"/>
        <w:numPr>
          <w:ilvl w:val="0"/>
          <w:numId w:val="0"/>
        </w:numPr>
        <w:tabs>
          <w:tab w:val="clear" w:pos="720"/>
          <w:tab w:val="left" w:pos="0" w:leader="none"/>
        </w:tabs>
        <w:spacing w:lineRule="auto" w:line="360"/>
        <w:ind w:hanging="0" w:start="0" w:end="0"/>
        <w:rPr/>
      </w:pPr>
      <w:r>
        <w:rPr/>
      </w:r>
    </w:p>
    <w:p>
      <w:pPr>
        <w:pStyle w:val="Normal"/>
        <w:numPr>
          <w:ilvl w:val="0"/>
          <w:numId w:val="0"/>
        </w:numPr>
        <w:tabs>
          <w:tab w:val="clear" w:pos="720"/>
          <w:tab w:val="left" w:pos="0" w:leader="none"/>
        </w:tabs>
        <w:spacing w:lineRule="auto" w:line="360"/>
        <w:ind w:hanging="0" w:start="0" w:end="0"/>
        <w:rPr/>
      </w:pPr>
      <w:r>
        <w:rPr/>
      </w:r>
    </w:p>
    <w:p>
      <w:pPr>
        <w:pStyle w:val="Normal"/>
        <w:numPr>
          <w:ilvl w:val="0"/>
          <w:numId w:val="9"/>
        </w:numPr>
        <w:tabs>
          <w:tab w:val="clear" w:pos="720"/>
          <w:tab w:val="left" w:pos="0" w:leader="none"/>
        </w:tabs>
        <w:ind w:hanging="1895" w:start="2615" w:end="0"/>
        <w:rPr>
          <w:b/>
          <w:bCs/>
        </w:rPr>
      </w:pPr>
      <w:r>
        <w:rPr>
          <w:b/>
          <w:bCs/>
        </w:rPr>
        <w:t>The Self-Balancing Option is good for gas consumers and should be approved.</w:t>
      </w:r>
    </w:p>
    <w:p>
      <w:pPr>
        <w:pStyle w:val="Normal"/>
        <w:spacing w:lineRule="auto" w:line="360"/>
        <w:ind w:start="720" w:end="0"/>
        <w:rPr/>
      </w:pPr>
      <w:r>
        <w:rPr/>
      </w:r>
    </w:p>
    <w:p>
      <w:pPr>
        <w:pStyle w:val="Normal"/>
        <w:tabs>
          <w:tab w:val="clear" w:pos="720"/>
          <w:tab w:val="left" w:pos="0" w:leader="none"/>
        </w:tabs>
        <w:spacing w:lineRule="auto" w:line="360"/>
        <w:ind w:firstLine="720" w:end="0"/>
        <w:rPr/>
      </w:pPr>
      <w:r>
        <w:rPr/>
        <w:t>SCGC (pp.79-80) and TURN (pp.45-50) oppose the provision the Comprehensive Settlement (Section 3.2.3) that would provide noncore customers and CTAs with the option to balance on a daily basis within tight tolerances and, as a result, to avoid paying most of the cost of assets allocated to balancing service.  They variously argue that it is “not worth the effort” or “the wrong time” – objections notably lacking in substance.</w:t>
      </w:r>
    </w:p>
    <w:p>
      <w:pPr>
        <w:pStyle w:val="Normal"/>
        <w:tabs>
          <w:tab w:val="clear" w:pos="720"/>
          <w:tab w:val="left" w:pos="0" w:leader="none"/>
        </w:tabs>
        <w:spacing w:lineRule="auto" w:line="360"/>
        <w:ind w:firstLine="720" w:end="0"/>
        <w:rPr/>
      </w:pPr>
      <w:r>
        <w:rPr/>
        <w:t>Two telling facts clearly demonstrate why this provision is in the Comprehensive Settlement and why criticism of it on this point is without merit.</w:t>
      </w:r>
    </w:p>
    <w:p>
      <w:pPr>
        <w:pStyle w:val="Normal"/>
        <w:tabs>
          <w:tab w:val="clear" w:pos="720"/>
          <w:tab w:val="left" w:pos="0" w:leader="none"/>
        </w:tabs>
        <w:spacing w:lineRule="auto" w:line="360"/>
        <w:ind w:firstLine="720" w:end="0"/>
        <w:rPr/>
      </w:pPr>
      <w:r>
        <w:rPr/>
        <w:t>First, this provision of the Comprehensive Settlement is exactly in compliance with the Commission’s discussion at pp.38-40 of D.99-07-015 of promising options for balancing service to be offered by California gas utilities.  A review of this passage will show how consistent the Comprehensive Settlement is, and how contrary its opponents are.</w:t>
      </w:r>
    </w:p>
    <w:p>
      <w:pPr>
        <w:pStyle w:val="Normal"/>
        <w:tabs>
          <w:tab w:val="clear" w:pos="720"/>
          <w:tab w:val="left" w:pos="0" w:leader="none"/>
        </w:tabs>
        <w:spacing w:lineRule="auto" w:line="360"/>
        <w:ind w:firstLine="720" w:end="0"/>
        <w:rPr/>
      </w:pPr>
      <w:r>
        <w:rPr/>
        <w:t>Second, this provision of the Comprehensive Settlement is virtually identical to provisions in the PG&amp;E January 28 settlement (See Section 2.1.3, beginning on p.5).  TURN signed that settlement.  The northern California contingent of the California Generation Coalition signed it.  Aglet signed it.  Even more important, the Commission approved it less than two and a half months ago.  There is no basis for saying the self-balancing option should not be adopted because it is “the wrong time” or “not worth it” when the Commission has just approved its implementation for PG&amp;E under circumstances that are no different.</w:t>
      </w:r>
    </w:p>
    <w:p>
      <w:pPr>
        <w:pStyle w:val="Normal"/>
        <w:tabs>
          <w:tab w:val="clear" w:pos="720"/>
          <w:tab w:val="left" w:pos="0" w:leader="none"/>
        </w:tabs>
        <w:spacing w:lineRule="auto" w:line="360"/>
        <w:ind w:firstLine="720" w:end="0"/>
        <w:rPr/>
      </w:pPr>
      <w:r>
        <w:rPr/>
      </w:r>
    </w:p>
    <w:p>
      <w:pPr>
        <w:pStyle w:val="Normal"/>
        <w:tabs>
          <w:tab w:val="clear" w:pos="720"/>
          <w:tab w:val="left" w:pos="0" w:leader="none"/>
        </w:tabs>
        <w:spacing w:lineRule="auto" w:line="360"/>
        <w:ind w:firstLine="720" w:end="0"/>
        <w:rPr/>
      </w:pPr>
      <w:r>
        <w:rPr/>
      </w:r>
    </w:p>
    <w:p>
      <w:pPr>
        <w:pStyle w:val="Heading5"/>
        <w:rPr/>
      </w:pPr>
      <w:r>
        <w:rPr/>
        <w:t>D.  OTHER CAPACITY-RELATED ISSUES</w:t>
      </w:r>
    </w:p>
    <w:p>
      <w:pPr>
        <w:pStyle w:val="Normal"/>
        <w:tabs>
          <w:tab w:val="clear" w:pos="720"/>
          <w:tab w:val="left" w:pos="0" w:leader="none"/>
        </w:tabs>
        <w:spacing w:lineRule="auto" w:line="360"/>
        <w:ind w:firstLine="720" w:end="0"/>
        <w:rPr/>
      </w:pPr>
      <w:r>
        <w:rPr/>
      </w:r>
    </w:p>
    <w:p>
      <w:pPr>
        <w:pStyle w:val="Normal"/>
        <w:numPr>
          <w:ilvl w:val="0"/>
          <w:numId w:val="10"/>
        </w:numPr>
        <w:tabs>
          <w:tab w:val="clear" w:pos="720"/>
          <w:tab w:val="left" w:pos="0" w:leader="none"/>
        </w:tabs>
        <w:ind w:hanging="1895" w:start="2615" w:end="0"/>
        <w:rPr>
          <w:b/>
          <w:bCs/>
        </w:rPr>
      </w:pPr>
      <w:r>
        <w:rPr>
          <w:b/>
          <w:bCs/>
        </w:rPr>
        <w:t>The Comprehensive Settlement appropriately allows hub services to be offered independently by SoCalGas’ Gas Acquisition and Gas Operations departments.</w:t>
      </w:r>
    </w:p>
    <w:p>
      <w:pPr>
        <w:pStyle w:val="Normal"/>
        <w:numPr>
          <w:ilvl w:val="0"/>
          <w:numId w:val="0"/>
        </w:numPr>
        <w:tabs>
          <w:tab w:val="clear" w:pos="720"/>
          <w:tab w:val="left" w:pos="0" w:leader="none"/>
        </w:tabs>
        <w:spacing w:lineRule="auto" w:line="360"/>
        <w:ind w:hanging="0" w:start="0" w:end="0"/>
        <w:rPr>
          <w:b/>
          <w:bCs/>
        </w:rPr>
      </w:pPr>
      <w:r>
        <w:rPr>
          <w:b/>
          <w:bCs/>
        </w:rPr>
      </w:r>
    </w:p>
    <w:p>
      <w:pPr>
        <w:pStyle w:val="Normal"/>
        <w:numPr>
          <w:ilvl w:val="0"/>
          <w:numId w:val="0"/>
        </w:numPr>
        <w:tabs>
          <w:tab w:val="clear" w:pos="720"/>
          <w:tab w:val="left" w:pos="0" w:leader="none"/>
        </w:tabs>
        <w:spacing w:lineRule="auto" w:line="360"/>
        <w:ind w:hanging="0" w:start="0" w:end="0"/>
        <w:rPr/>
      </w:pPr>
      <w:r>
        <w:rPr/>
        <w:t>SCGC at pp.80-82 objects to the provisions of the Comprehensive Settlement (Section 4.1.3) that would allow SoCalGas to continue to operate its Gas Operations Hub Services, but restricted solely to the use of storage assets allocated to and paid for by the retail core, and to allow SoCalGas’ Gas Operations (or “pipeline” department) to offer hub services separately.</w:t>
      </w:r>
    </w:p>
    <w:p>
      <w:pPr>
        <w:pStyle w:val="Normal"/>
        <w:numPr>
          <w:ilvl w:val="0"/>
          <w:numId w:val="0"/>
        </w:numPr>
        <w:tabs>
          <w:tab w:val="clear" w:pos="720"/>
          <w:tab w:val="left" w:pos="0" w:leader="none"/>
        </w:tabs>
        <w:spacing w:lineRule="auto" w:line="360"/>
        <w:ind w:hanging="0" w:start="0" w:end="0"/>
        <w:rPr/>
      </w:pPr>
      <w:r>
        <w:rPr/>
        <w:t>SCGC points out that it previously argued that hub services revenues should be removed from the GCIM calculation (SCGC fails to say that it also proposed the revenues should be credited to noncore customers as well as core customers, rather than solely noncore customers as is the case today).  However, the Post-Interim Settlement that SCGC is now advocating in lieu of the Comprehensive Settlement, through incorporation of the Interim Settlement, specifically prohibits through December 31, 2002, “…the removal of Hub revenues from the SoCalGas Gas Cost Incentive Mechanism (“GCIM”) as long as SoCalGas retains its role as default provider of gas supply to the core market;…” (see Section IX. Of the Interim Settlement at p.19).  SCGC is advocating the adoption of a settlement that will guarantee SoCalGas shareholders, through the GCIM, the opportunity to share in revenues generated under the Gas Acquisition hub</w:t>
      </w:r>
      <w:r>
        <w:rPr>
          <w:rStyle w:val="FootnoteCharacters"/>
          <w:rStyle w:val="FootnoteReference"/>
        </w:rPr>
        <w:footnoteReference w:id="19"/>
      </w:r>
      <w:r>
        <w:rPr/>
        <w:t xml:space="preserve"> under rules that do not balance core and noncore transportation separately, while at the same time criticizing a settlement that specifies that the Gas Acquisition hub must use only assets allocated to and paid for by the retail core.  This makes no sense.</w:t>
      </w:r>
    </w:p>
    <w:p>
      <w:pPr>
        <w:pStyle w:val="Normal"/>
        <w:numPr>
          <w:ilvl w:val="0"/>
          <w:numId w:val="0"/>
        </w:numPr>
        <w:tabs>
          <w:tab w:val="clear" w:pos="720"/>
          <w:tab w:val="left" w:pos="0" w:leader="none"/>
        </w:tabs>
        <w:spacing w:lineRule="auto" w:line="360"/>
        <w:ind w:hanging="0" w:start="0" w:end="0"/>
        <w:rPr/>
      </w:pPr>
      <w:r>
        <w:rPr/>
        <w:t xml:space="preserve">SCGC claims at p.81 that the Comprehensive Settlement should be rejected because it would allow the new Gas </w:t>
      </w:r>
      <w:r>
        <w:br w:type="page"/>
      </w:r>
    </w:p>
    <w:p>
      <w:pPr>
        <w:pStyle w:val="Normal"/>
        <w:numPr>
          <w:ilvl w:val="0"/>
          <w:numId w:val="0"/>
        </w:numPr>
        <w:tabs>
          <w:tab w:val="clear" w:pos="720"/>
          <w:tab w:val="left" w:pos="0" w:leader="none"/>
        </w:tabs>
        <w:spacing w:lineRule="auto" w:line="360"/>
        <w:ind w:hanging="0" w:start="0"/>
        <w:rPr/>
      </w:pPr>
      <w:r>
        <w:rPr/>
        <w:t xml:space="preserve">Operations hub to use "any” unutilized storage assets on the SoCalGas system to provide hub services.  SCGC is implying that the new Gas Operations hub could divert to shareholders (who retain all Gas Operations hub revenues) revenues generated by assets allocated and paid for by the core that might otherwise been used for the Gas Acquisition hub (at least half of which revenues are credited to core customers).  The SCGC brief quotes Mr. Florio in Exhibit No.102 at p.38 as its authority for this argument.  But Mr. Florio did </w:t>
      </w:r>
      <w:r>
        <w:rPr>
          <w:u w:val="single"/>
        </w:rPr>
        <w:t>not</w:t>
      </w:r>
      <w:r>
        <w:rPr/>
        <w:t xml:space="preserve"> say the Gas Operations hub would be able to use “any” unutilized asset storage assets.  The word “any” does not appear in his testimony; it was added in the SCGC brief.</w:t>
      </w:r>
    </w:p>
    <w:p>
      <w:pPr>
        <w:pStyle w:val="Normal"/>
        <w:numPr>
          <w:ilvl w:val="0"/>
          <w:numId w:val="0"/>
        </w:numPr>
        <w:tabs>
          <w:tab w:val="clear" w:pos="720"/>
          <w:tab w:val="left" w:pos="0" w:leader="none"/>
        </w:tabs>
        <w:spacing w:lineRule="auto" w:line="360"/>
        <w:ind w:hanging="0" w:start="0" w:end="0"/>
        <w:rPr/>
      </w:pPr>
      <w:r>
        <w:rPr/>
        <w:t>Mr. Florio’s statement was accurate.  Gas Operations hub will be able to use unutilized storage assets allocated to the unbundled storage program.  That’s the whole rationale behind allowing SoCalGas to create a Gas Operations hub:  the Comprehensive Settlement has increased the amount of unbundled storage assets and will put SoCalGas at 100% shareholder risk for recovery of their cost after April 1, 2003.  It is only fair to give SoCalGas an additional tool to offer services using those assets to potentially recover more of their cost.</w:t>
      </w:r>
    </w:p>
    <w:p>
      <w:pPr>
        <w:pStyle w:val="Normal"/>
        <w:numPr>
          <w:ilvl w:val="0"/>
          <w:numId w:val="0"/>
        </w:numPr>
        <w:tabs>
          <w:tab w:val="clear" w:pos="720"/>
          <w:tab w:val="left" w:pos="0" w:leader="none"/>
        </w:tabs>
        <w:spacing w:lineRule="auto" w:line="360"/>
        <w:ind w:hanging="0" w:start="0" w:end="0"/>
        <w:rPr/>
      </w:pPr>
      <w:r>
        <w:rPr/>
        <w:t>However, contrary to SCGC’s insinuation, the Comprehensive Settlement is clear that the Gas Operations hub may not use storage assets allocated to and paid for by retail core customers:  “SoCalGas’ “pipeline” hub shall use no assets held by the SoCalGas Gas Acquisition Department.”  (Comprehensive Settlement, Section 4.1.3, p.51).  It could not be clearer.</w:t>
      </w:r>
    </w:p>
    <w:p>
      <w:pPr>
        <w:pStyle w:val="Normal"/>
        <w:numPr>
          <w:ilvl w:val="0"/>
          <w:numId w:val="0"/>
        </w:numPr>
        <w:tabs>
          <w:tab w:val="clear" w:pos="720"/>
          <w:tab w:val="left" w:pos="0" w:leader="none"/>
        </w:tabs>
        <w:spacing w:lineRule="auto" w:line="360"/>
        <w:ind w:hanging="0" w:start="0" w:end="0"/>
        <w:rPr/>
      </w:pPr>
      <w:r>
        <w:rPr/>
      </w:r>
    </w:p>
    <w:p>
      <w:pPr>
        <w:pStyle w:val="Normal"/>
        <w:numPr>
          <w:ilvl w:val="0"/>
          <w:numId w:val="0"/>
        </w:numPr>
        <w:tabs>
          <w:tab w:val="clear" w:pos="720"/>
          <w:tab w:val="left" w:pos="0" w:leader="none"/>
        </w:tabs>
        <w:spacing w:lineRule="auto" w:line="360"/>
        <w:ind w:hanging="0" w:start="0" w:end="0"/>
        <w:rPr/>
      </w:pPr>
      <w:r>
        <w:rPr/>
      </w:r>
    </w:p>
    <w:p>
      <w:pPr>
        <w:pStyle w:val="Heading5"/>
        <w:numPr>
          <w:ilvl w:val="0"/>
          <w:numId w:val="10"/>
        </w:numPr>
        <w:spacing w:lineRule="auto" w:line="240"/>
        <w:ind w:hanging="1895" w:start="2615" w:end="0"/>
        <w:rPr/>
      </w:pPr>
      <w:r>
        <w:rPr/>
        <w:t>The Comprehensive Settlement’s pooling service is reasonable.</w:t>
      </w:r>
    </w:p>
    <w:p>
      <w:pPr>
        <w:pStyle w:val="Normal"/>
        <w:numPr>
          <w:ilvl w:val="0"/>
          <w:numId w:val="0"/>
        </w:numPr>
        <w:ind w:hanging="0" w:start="720" w:end="0"/>
        <w:rPr/>
      </w:pPr>
      <w:r>
        <w:rPr/>
      </w:r>
    </w:p>
    <w:p>
      <w:pPr>
        <w:pStyle w:val="Normal"/>
        <w:numPr>
          <w:ilvl w:val="0"/>
          <w:numId w:val="0"/>
        </w:numPr>
        <w:tabs>
          <w:tab w:val="clear" w:pos="720"/>
          <w:tab w:val="left" w:pos="0" w:leader="none"/>
        </w:tabs>
        <w:spacing w:lineRule="auto" w:line="360"/>
        <w:ind w:hanging="0" w:start="0" w:end="0"/>
        <w:rPr/>
      </w:pPr>
      <w:r>
        <w:rPr/>
        <w:t>At pp.87-88, SCGC makes a large issue out of the fact that in providing pooling service, the Comprehensive Settlement does not allow pools to be out of balance in any of the four daily nomination cycles, while the Post-Interim (through incorporation of the Interim Settlement) allows pools to be out of balance on the first of the four cycles each day.</w:t>
      </w:r>
    </w:p>
    <w:p>
      <w:pPr>
        <w:pStyle w:val="Normal"/>
        <w:numPr>
          <w:ilvl w:val="0"/>
          <w:numId w:val="0"/>
        </w:numPr>
        <w:tabs>
          <w:tab w:val="clear" w:pos="720"/>
          <w:tab w:val="left" w:pos="0" w:leader="none"/>
        </w:tabs>
        <w:spacing w:lineRule="auto" w:line="360"/>
        <w:ind w:hanging="0" w:start="0" w:end="0"/>
        <w:rPr/>
      </w:pPr>
      <w:r>
        <w:rPr/>
        <w:t>This is hardly a significant issue.  While SoCalGas and SDG&amp;E believe that offering pooling service is a good idea and of value to customers and marketers, the service has hardly been a central issue in this case.  It is not even mentioned in D.99-07-015!  SoCalGas and SDG&amp;E do not believe that SCGC or CGC ever mentioned it on the record in the proceeding until after D.99-07-015 was issued.  One minor detail in how to implement pooling cannot be of any importance in evaluating whether to adopt the Comprehensive Settlement or the Post-Interim Settlement.  The fact is that after submitting the Interim Settlement, SoCalGas became concerned that allowing pools to be out of balance on the first cycle might turn out to be unworkable or to cause more disruption than it was worth.  Because PG&amp;E’s pooling service does not allow pools to be out of balance on any cycle, this provision of the Comprehensive Settlement is not unreasonable in light of what the Commission has previously approved or of statewide consistency.</w:t>
      </w:r>
    </w:p>
    <w:p>
      <w:pPr>
        <w:pStyle w:val="Normal"/>
        <w:numPr>
          <w:ilvl w:val="0"/>
          <w:numId w:val="0"/>
        </w:numPr>
        <w:tabs>
          <w:tab w:val="clear" w:pos="720"/>
          <w:tab w:val="left" w:pos="0" w:leader="none"/>
        </w:tabs>
        <w:spacing w:lineRule="auto" w:line="360"/>
        <w:ind w:hanging="0" w:start="0" w:end="0"/>
        <w:rPr/>
      </w:pPr>
      <w:r>
        <w:rPr/>
      </w:r>
    </w:p>
    <w:p>
      <w:pPr>
        <w:pStyle w:val="Normal"/>
        <w:numPr>
          <w:ilvl w:val="0"/>
          <w:numId w:val="0"/>
        </w:numPr>
        <w:tabs>
          <w:tab w:val="clear" w:pos="720"/>
          <w:tab w:val="left" w:pos="0" w:leader="none"/>
        </w:tabs>
        <w:spacing w:lineRule="auto" w:line="360"/>
        <w:ind w:hanging="0" w:start="0" w:end="0"/>
        <w:rPr/>
      </w:pPr>
      <w:r>
        <w:rPr/>
      </w:r>
    </w:p>
    <w:p>
      <w:pPr>
        <w:pStyle w:val="Heading5"/>
        <w:numPr>
          <w:ilvl w:val="0"/>
          <w:numId w:val="10"/>
        </w:numPr>
        <w:spacing w:lineRule="auto" w:line="240"/>
        <w:ind w:hanging="1895" w:start="2615" w:end="0"/>
        <w:rPr/>
      </w:pPr>
      <w:r>
        <w:rPr/>
        <w:t>The Comprehensive Settlement’s provisions on disclosure of completed transactions (contracts) are consistent with law.</w:t>
      </w:r>
    </w:p>
    <w:p>
      <w:pPr>
        <w:pStyle w:val="Normal"/>
        <w:numPr>
          <w:ilvl w:val="0"/>
          <w:numId w:val="0"/>
        </w:numPr>
        <w:tabs>
          <w:tab w:val="clear" w:pos="720"/>
          <w:tab w:val="left" w:pos="0" w:leader="none"/>
        </w:tabs>
        <w:spacing w:lineRule="auto" w:line="360"/>
        <w:ind w:hanging="0" w:start="0" w:end="0"/>
        <w:rPr/>
      </w:pPr>
      <w:r>
        <w:rPr/>
      </w:r>
    </w:p>
    <w:p>
      <w:pPr>
        <w:pStyle w:val="Normal"/>
        <w:numPr>
          <w:ilvl w:val="0"/>
          <w:numId w:val="0"/>
        </w:numPr>
        <w:tabs>
          <w:tab w:val="clear" w:pos="720"/>
          <w:tab w:val="left" w:pos="0" w:leader="none"/>
        </w:tabs>
        <w:spacing w:lineRule="auto" w:line="360"/>
        <w:ind w:hanging="0" w:start="0" w:end="0"/>
        <w:rPr/>
      </w:pPr>
      <w:r>
        <w:rPr/>
        <w:t>SCGC objects at p.98-102 to the provisions of the Comprehensive Settlement (in Section 6.2.3) in which the reports of negotiated backbone transportation and storage contracts would not disclose the names of the customers under the contracts (except in the case of transactions with affiliates), and would not include the negotiated price for storage after April 1, 2003.</w:t>
      </w:r>
    </w:p>
    <w:p>
      <w:pPr>
        <w:pStyle w:val="Normal"/>
        <w:numPr>
          <w:ilvl w:val="0"/>
          <w:numId w:val="0"/>
        </w:numPr>
        <w:tabs>
          <w:tab w:val="clear" w:pos="720"/>
          <w:tab w:val="left" w:pos="0" w:leader="none"/>
        </w:tabs>
        <w:spacing w:lineRule="auto" w:line="360"/>
        <w:ind w:hanging="0" w:start="0" w:end="0"/>
        <w:rPr/>
      </w:pPr>
      <w:r>
        <w:rPr/>
        <w:t>This subject was already covered in SoCalGas/SDG&amp;E’s opening brief, and only a few additional aspects need to be covered in reply.</w:t>
      </w:r>
    </w:p>
    <w:p>
      <w:pPr>
        <w:pStyle w:val="Normal"/>
        <w:numPr>
          <w:ilvl w:val="0"/>
          <w:numId w:val="0"/>
        </w:numPr>
        <w:tabs>
          <w:tab w:val="clear" w:pos="720"/>
          <w:tab w:val="left" w:pos="0" w:leader="none"/>
        </w:tabs>
        <w:spacing w:lineRule="auto" w:line="360"/>
        <w:ind w:hanging="0" w:start="0" w:end="0"/>
        <w:rPr/>
      </w:pPr>
      <w:r>
        <w:rPr/>
        <w:t>SCGC claims that the Comprehensive Settlement’s provisions for non-disclosure of names and, eventually, prices under negotiated storage contracts are a decrease in the amount of information currently available.  This is not correct; currently, SoCalGas does not file or disclose information about individual G-TBS contracts, and the customer is bound to confidentiality; see Special Condition 12 of Rate Schedule G-TBS, Sheet 4 of 7.</w:t>
      </w:r>
    </w:p>
    <w:p>
      <w:pPr>
        <w:pStyle w:val="Normal"/>
        <w:numPr>
          <w:ilvl w:val="0"/>
          <w:numId w:val="0"/>
        </w:numPr>
        <w:tabs>
          <w:tab w:val="clear" w:pos="720"/>
          <w:tab w:val="left" w:pos="0" w:leader="none"/>
        </w:tabs>
        <w:spacing w:lineRule="auto" w:line="360"/>
        <w:ind w:hanging="0" w:start="0" w:end="0"/>
        <w:rPr/>
      </w:pPr>
      <w:r>
        <w:rPr/>
        <w:t>Furthermore, the nondisclosure of non-affiliated customer names in reports on negotiated backbone transmission and storage contracts is consistent with the rules applicable to PG&amp;E, as most recently confirmed by the Commission in approving the PG&amp;E January 28 settlement in D.00-05-049.  The PG&amp;E January 28 settlement provides in Section 2.7.2 on p.19 that the reports on negotiated transportation and storage the PG&amp;E files with the Commission shall list the details “but not customer names”.</w:t>
      </w:r>
    </w:p>
    <w:p>
      <w:pPr>
        <w:pStyle w:val="Normal"/>
        <w:numPr>
          <w:ilvl w:val="0"/>
          <w:numId w:val="0"/>
        </w:numPr>
        <w:tabs>
          <w:tab w:val="clear" w:pos="720"/>
          <w:tab w:val="left" w:pos="0" w:leader="none"/>
        </w:tabs>
        <w:spacing w:lineRule="auto" w:line="360"/>
        <w:ind w:hanging="0" w:start="0" w:end="0"/>
        <w:rPr/>
      </w:pPr>
      <w:r>
        <w:rPr/>
        <w:t>Finally, SCGC claims at p.101 that the Comprehensive Settlement provisions in Section 6.2.3 are contrary to Rule 8 adopted by the Commission in D.97-06-110.  Mr. Lorenz said in his testimony (Ex.No.14, p.10, line 8) that Rule 8 was irrelevant because it, like Section 489.1 of the Public Utilities Code that it implemented, would sunset on December 31, 2000, before negotiated backbone and storage contracts under the Comprehensive Settlement would exist.  SCGC says Mr. Lorenz errors in his statement that Rule 8 is scheduled to sunset on December 31, 2000.</w:t>
      </w:r>
    </w:p>
    <w:p>
      <w:pPr>
        <w:pStyle w:val="Normal"/>
        <w:numPr>
          <w:ilvl w:val="0"/>
          <w:numId w:val="0"/>
        </w:numPr>
        <w:tabs>
          <w:tab w:val="clear" w:pos="720"/>
          <w:tab w:val="left" w:pos="0" w:leader="none"/>
        </w:tabs>
        <w:spacing w:lineRule="auto" w:line="360"/>
        <w:ind w:hanging="0" w:start="0" w:end="0"/>
        <w:rPr/>
      </w:pPr>
      <w:r>
        <w:rPr/>
        <w:t>SCGC concedes that Rule 8 was designed primarily to implement Public Utilities Code Section 489.1, but says that even though Section 489.1 will sunset on December 31, 2000, Rule 8 will not.  According to SCGC, there was no provision in D.97-06-110 providing that the rules promulgated in the decision would sunset.  According to SCGC:  “Rule 8 is certainly consistent with Section 489(a) and, thus, will continue to be in effect after December 31, 2000, absent contrary Commission action.”</w:t>
      </w:r>
    </w:p>
    <w:p>
      <w:pPr>
        <w:pStyle w:val="Normal"/>
        <w:numPr>
          <w:ilvl w:val="0"/>
          <w:numId w:val="0"/>
        </w:numPr>
        <w:tabs>
          <w:tab w:val="clear" w:pos="720"/>
          <w:tab w:val="left" w:pos="0" w:leader="none"/>
        </w:tabs>
        <w:spacing w:lineRule="auto" w:line="360"/>
        <w:ind w:hanging="0" w:start="0" w:end="0"/>
        <w:rPr/>
      </w:pPr>
      <w:r>
        <w:rPr/>
        <w:t>SCGC should have checked the text of all of the rules adopted in D.97-06-110, in addition to Rule 8.  Rule 11, appearing in Appendix A to D.97-06-110, reads as follows:</w:t>
      </w:r>
    </w:p>
    <w:p>
      <w:pPr>
        <w:pStyle w:val="Normal"/>
        <w:numPr>
          <w:ilvl w:val="0"/>
          <w:numId w:val="0"/>
        </w:numPr>
        <w:tabs>
          <w:tab w:val="clear" w:pos="720"/>
          <w:tab w:val="left" w:pos="0" w:leader="none"/>
        </w:tabs>
        <w:spacing w:lineRule="auto" w:line="360"/>
        <w:ind w:hanging="0" w:start="0" w:end="0"/>
        <w:rPr/>
      </w:pPr>
      <w:r>
        <w:rPr/>
      </w:r>
    </w:p>
    <w:p>
      <w:pPr>
        <w:pStyle w:val="BlockText"/>
        <w:numPr>
          <w:ilvl w:val="0"/>
          <w:numId w:val="0"/>
        </w:numPr>
        <w:tabs>
          <w:tab w:val="clear" w:pos="720"/>
        </w:tabs>
        <w:ind w:hanging="0" w:start="720"/>
        <w:rPr/>
      </w:pPr>
      <w:r>
        <w:rPr/>
        <w:t>These rules shall remain in effect only until January 1, 2001, and as of that date are repealed, unless a later enacted statute, which is enacted before January 1, 2001, deletes or extends that effective date of Section 489.1.</w:t>
      </w:r>
    </w:p>
    <w:p>
      <w:pPr>
        <w:pStyle w:val="Normal"/>
        <w:numPr>
          <w:ilvl w:val="0"/>
          <w:numId w:val="0"/>
        </w:numPr>
        <w:ind w:hanging="0" w:start="0" w:end="720"/>
        <w:rPr/>
      </w:pPr>
      <w:r>
        <w:rPr/>
      </w:r>
    </w:p>
    <w:p>
      <w:pPr>
        <w:pStyle w:val="Normal"/>
        <w:numPr>
          <w:ilvl w:val="0"/>
          <w:numId w:val="0"/>
        </w:numPr>
        <w:tabs>
          <w:tab w:val="left" w:pos="720" w:leader="none"/>
        </w:tabs>
        <w:ind w:hanging="0" w:start="0" w:end="720"/>
        <w:rPr/>
      </w:pPr>
      <w:r>
        <w:rPr/>
        <w:tab/>
        <w:tab/>
        <w:tab/>
        <w:tab/>
        <w:tab/>
        <w:t>(73 CPUC2d 337 at 345)</w:t>
      </w:r>
    </w:p>
    <w:p>
      <w:pPr>
        <w:pStyle w:val="Normal"/>
        <w:numPr>
          <w:ilvl w:val="0"/>
          <w:numId w:val="0"/>
        </w:numPr>
        <w:tabs>
          <w:tab w:val="left" w:pos="720" w:leader="none"/>
        </w:tabs>
        <w:ind w:hanging="0" w:start="0" w:end="720"/>
        <w:rPr/>
      </w:pPr>
      <w:r>
        <w:rPr/>
      </w:r>
    </w:p>
    <w:p>
      <w:pPr>
        <w:pStyle w:val="WW-BodyText2"/>
        <w:numPr>
          <w:ilvl w:val="0"/>
          <w:numId w:val="0"/>
        </w:numPr>
        <w:ind w:hanging="0" w:start="0"/>
        <w:rPr/>
      </w:pPr>
      <w:r>
        <w:rPr/>
        <w:tab/>
        <w:t>“These rules” include Rule 8.  Mr. Lorenz was correct; SCGC’s brief is wrong.  Rule 8 is currently scheduled to sunset at the end of this year.  It is no basis for rejecting the Comprehensive Settlement.</w:t>
      </w:r>
    </w:p>
    <w:p>
      <w:pPr>
        <w:pStyle w:val="Normal"/>
        <w:numPr>
          <w:ilvl w:val="0"/>
          <w:numId w:val="0"/>
        </w:numPr>
        <w:tabs>
          <w:tab w:val="left" w:pos="720" w:leader="none"/>
        </w:tabs>
        <w:spacing w:lineRule="auto" w:line="360"/>
        <w:ind w:hanging="0" w:start="0" w:end="720"/>
        <w:rPr/>
      </w:pPr>
      <w:r>
        <w:rPr/>
      </w:r>
    </w:p>
    <w:p>
      <w:pPr>
        <w:pStyle w:val="Normal"/>
        <w:numPr>
          <w:ilvl w:val="0"/>
          <w:numId w:val="0"/>
        </w:numPr>
        <w:tabs>
          <w:tab w:val="left" w:pos="720" w:leader="none"/>
        </w:tabs>
        <w:spacing w:lineRule="auto" w:line="360"/>
        <w:ind w:hanging="0" w:start="0" w:end="720"/>
        <w:rPr/>
      </w:pPr>
      <w:r>
        <w:rPr/>
      </w:r>
    </w:p>
    <w:p>
      <w:pPr>
        <w:pStyle w:val="Normal"/>
        <w:numPr>
          <w:ilvl w:val="0"/>
          <w:numId w:val="10"/>
        </w:numPr>
        <w:tabs>
          <w:tab w:val="clear" w:pos="720"/>
          <w:tab w:val="left" w:pos="0" w:leader="none"/>
        </w:tabs>
        <w:ind w:hanging="1890" w:start="2610" w:end="720"/>
        <w:rPr>
          <w:b/>
          <w:bCs/>
        </w:rPr>
      </w:pPr>
      <w:r>
        <w:rPr>
          <w:b/>
          <w:bCs/>
        </w:rPr>
        <w:t>Implementation costs for capacity-related provisions are treated reasonably under the Comprehensive Settlement.</w:t>
      </w:r>
    </w:p>
    <w:p>
      <w:pPr>
        <w:pStyle w:val="Normal"/>
        <w:numPr>
          <w:ilvl w:val="0"/>
          <w:numId w:val="0"/>
        </w:numPr>
        <w:ind w:hanging="0" w:start="720" w:end="720"/>
        <w:rPr>
          <w:b/>
          <w:bCs/>
        </w:rPr>
      </w:pPr>
      <w:r>
        <w:rPr>
          <w:b/>
          <w:bCs/>
        </w:rPr>
      </w:r>
    </w:p>
    <w:p>
      <w:pPr>
        <w:pStyle w:val="Normal"/>
        <w:numPr>
          <w:ilvl w:val="0"/>
          <w:numId w:val="0"/>
        </w:numPr>
        <w:tabs>
          <w:tab w:val="left" w:pos="720" w:leader="none"/>
        </w:tabs>
        <w:spacing w:lineRule="auto" w:line="360"/>
        <w:ind w:hanging="0" w:start="0" w:end="720"/>
        <w:rPr/>
      </w:pPr>
      <w:r>
        <w:rPr/>
        <w:tab/>
        <w:t>SCGC at pp.103-104 attacks the ability of SoCalGas to retain revenues from various fees if the $2 million per year funding in the Comprehensive Settlement prior to the next PBR is not sufficient to cover all capacity-related implementation costs.  SCGC claims that Comprehensive Settlement provides SoCalGas with a perverse incentive to drive up the implementation costs so as to be able to retain the associated fees and revenues.</w:t>
      </w:r>
    </w:p>
    <w:p>
      <w:pPr>
        <w:pStyle w:val="Normal"/>
        <w:numPr>
          <w:ilvl w:val="0"/>
          <w:numId w:val="0"/>
        </w:numPr>
        <w:tabs>
          <w:tab w:val="left" w:pos="720" w:leader="none"/>
        </w:tabs>
        <w:spacing w:lineRule="auto" w:line="360"/>
        <w:ind w:hanging="0" w:start="0" w:end="720"/>
        <w:rPr/>
      </w:pPr>
      <w:r>
        <w:rPr/>
        <w:tab/>
        <w:t>This argument makes no sense whatsoever.  SoCalGas is allowed to retain the revenues from these fees only to the extent that actual implementation costs exceed $2 million per year.  Any excess will be returned to customers.  If implementation costs do not exceed $2 million per year, all of the revenues from fees will be credited to customers.  SoCalGas can keep the revenues only to the extent needed to offset implementation costs.  There is no benefit to SoCalGas from driving up implementation costs.  The revenues it keeps just match the costs it incurs.</w:t>
      </w:r>
    </w:p>
    <w:p>
      <w:pPr>
        <w:pStyle w:val="Normal"/>
        <w:numPr>
          <w:ilvl w:val="0"/>
          <w:numId w:val="0"/>
        </w:numPr>
        <w:tabs>
          <w:tab w:val="clear" w:pos="720"/>
          <w:tab w:val="left" w:pos="0" w:leader="none"/>
        </w:tabs>
        <w:spacing w:lineRule="auto" w:line="360"/>
        <w:ind w:hanging="0" w:start="0" w:end="0"/>
        <w:rPr/>
      </w:pPr>
      <w:r>
        <w:rPr/>
      </w:r>
    </w:p>
    <w:p>
      <w:pPr>
        <w:pStyle w:val="Normal"/>
        <w:numPr>
          <w:ilvl w:val="0"/>
          <w:numId w:val="0"/>
        </w:numPr>
        <w:tabs>
          <w:tab w:val="clear" w:pos="720"/>
          <w:tab w:val="left" w:pos="0" w:leader="none"/>
        </w:tabs>
        <w:spacing w:lineRule="auto" w:line="360"/>
        <w:ind w:hanging="0" w:start="0" w:end="0"/>
        <w:rPr/>
      </w:pPr>
      <w:r>
        <w:rPr/>
      </w:r>
    </w:p>
    <w:p>
      <w:pPr>
        <w:pStyle w:val="Heading5"/>
        <w:numPr>
          <w:ilvl w:val="0"/>
          <w:numId w:val="10"/>
        </w:numPr>
        <w:spacing w:lineRule="auto" w:line="240"/>
        <w:ind w:hanging="1305" w:start="2615" w:end="0"/>
        <w:rPr/>
      </w:pPr>
      <w:r>
        <w:rPr/>
        <w:t>Shareholder absorption of 25% of ITCS costs under the Post-Interim Settlement is unreasonable, contrary to prior Commission decisions and settlements, and unlawful.</w:t>
      </w:r>
    </w:p>
    <w:p>
      <w:pPr>
        <w:pStyle w:val="Normal"/>
        <w:tabs>
          <w:tab w:val="clear" w:pos="720"/>
          <w:tab w:val="left" w:pos="0" w:leader="none"/>
        </w:tabs>
        <w:spacing w:lineRule="auto" w:line="360"/>
        <w:ind w:firstLine="720" w:end="0"/>
        <w:rPr/>
      </w:pPr>
      <w:r>
        <w:rPr/>
      </w:r>
    </w:p>
    <w:p>
      <w:pPr>
        <w:pStyle w:val="Normal"/>
        <w:tabs>
          <w:tab w:val="clear" w:pos="720"/>
          <w:tab w:val="left" w:pos="0" w:leader="none"/>
        </w:tabs>
        <w:spacing w:lineRule="auto" w:line="360"/>
        <w:ind w:firstLine="720" w:end="0"/>
        <w:rPr/>
      </w:pPr>
      <w:r>
        <w:rPr/>
        <w:t>SCGC advocates (pp.104-105) the adoption of the Post-Interim Settlement’s provision that would require SoCalGas shareholders to absorb 25% of ITCS; that is, 25% of the difference between the as-billed rate and the market value in the secondary market of the 406 MMcfd of interstate capacity held by SoCalGas in excess of core needs.</w:t>
      </w:r>
    </w:p>
    <w:p>
      <w:pPr>
        <w:pStyle w:val="Normal"/>
        <w:tabs>
          <w:tab w:val="clear" w:pos="720"/>
          <w:tab w:val="left" w:pos="0" w:leader="none"/>
        </w:tabs>
        <w:spacing w:lineRule="auto" w:line="360"/>
        <w:ind w:firstLine="720" w:end="0"/>
        <w:rPr/>
      </w:pPr>
      <w:r>
        <w:rPr/>
        <w:t>SoCalGas and SDG&amp;E addressed at length in the prepared rebuttal testimony of Mr. Lorenz, Exhibit No.14 at pp.11-17, why this provision should not be adopted.  (These points, plus the legal analysis why this proposal violates the U.S. Constitution, were also covered in detail in SoCalGas/SDG&amp;E’s opening brief.)  SCGC and TURN’s opening briefs do not respond to any of the objections to this proposal raised on the record in Mr. Lorenz’s testimony.  It is not clear whether the proponents of this proposal have no responses, or whether they are waiting to their reply briefs, to which there is no way to respond, before presenting their responses to the Commission.</w:t>
      </w:r>
    </w:p>
    <w:p>
      <w:pPr>
        <w:pStyle w:val="Normal"/>
        <w:tabs>
          <w:tab w:val="clear" w:pos="720"/>
          <w:tab w:val="left" w:pos="0" w:leader="none"/>
        </w:tabs>
        <w:spacing w:lineRule="auto" w:line="360"/>
        <w:ind w:firstLine="720" w:end="0"/>
        <w:rPr/>
      </w:pPr>
      <w:r>
        <w:rPr/>
        <w:t>SoCalGas/SDG&amp;E will not repeat here the extensive material it has already presented on this subject.  One further point is worth making based on the contents of SCGC’s brief.  It is SoCalGas/SDG&amp;E’s contention that the proposal will result in shareholders being forced to absorb tens of millions of dollars of federally-approved costs no matter how expert and prudent SoCalGas is in brokering interstate capacity.  That is, there will be a substantial difference between the FERC-approved as-billed rate and the best price anyone could get from brokering this capacity.</w:t>
      </w:r>
    </w:p>
    <w:p>
      <w:pPr>
        <w:pStyle w:val="Normal"/>
        <w:tabs>
          <w:tab w:val="clear" w:pos="720"/>
          <w:tab w:val="left" w:pos="0" w:leader="none"/>
        </w:tabs>
        <w:spacing w:lineRule="auto" w:line="360"/>
        <w:ind w:firstLine="720" w:end="0"/>
        <w:rPr/>
      </w:pPr>
      <w:r>
        <w:rPr/>
        <w:t>When counsel for SoCalGas/SDG&amp;E cross-examined Ms. Yap, the witness on this subject for SCGC, Ms. Yap did not provide a staightforward answer as to whether she expected the as-billed rate to exceed what a prudent seller could obtain in the secondary market for the capacity (Tr.v.3, pp.247-248)</w:t>
      </w:r>
    </w:p>
    <w:p>
      <w:pPr>
        <w:pStyle w:val="Normal"/>
        <w:tabs>
          <w:tab w:val="clear" w:pos="720"/>
          <w:tab w:val="left" w:pos="0" w:leader="none"/>
        </w:tabs>
        <w:spacing w:lineRule="auto" w:line="360"/>
        <w:ind w:firstLine="720" w:end="0"/>
        <w:rPr/>
      </w:pPr>
      <w:r>
        <w:rPr/>
        <w:t>Fortunately, in its brief, SCGC admits the truth:  that the as-billed rate for interstate capacity will substantially exceed the market value of the capacity in the secondary market.  This admission occurs in the portion of SCGC’s brief that attacks as excessive the provision of the Comprehensive Settlement that would give CTAs the benefit relative to retail core customers of the difference between the as-billed rate and the market price in the secondary market.  In this context, it is to SCGC’s advantage to admit the truth of this difference.</w:t>
      </w:r>
    </w:p>
    <w:p>
      <w:pPr>
        <w:pStyle w:val="Normal"/>
        <w:tabs>
          <w:tab w:val="clear" w:pos="720"/>
          <w:tab w:val="left" w:pos="0" w:leader="none"/>
        </w:tabs>
        <w:spacing w:lineRule="auto" w:line="360"/>
        <w:ind w:firstLine="720" w:end="0"/>
        <w:rPr/>
      </w:pPr>
      <w:r>
        <w:rPr/>
        <w:t>At p.93 of its brief, SCGC says that the secondary market price is likely to below the as-billed rate.  It goes on to assume at p.94 that capacity can be brokered at 50% of the as-billed cost, “consistent with recent experience”, and then calculates the amount of advantage to CTAS from core unbundling that it characterizes as “excessive” based on this 50% relationship.  Given SCGC’s admission that it really thinks a 50% relationship the likely outcome, the amount of stranded noncore interstate pipeline costs that the Post-Interim Settlement would force SoCalGas shareholders to absorb is $25.2 million (See SoCalGas/SDG&amp;E opening brief at p.70).  There is no justification whatsoever for making shareholders absorb tens of millions of dollars of prudently-incurred costs as a result of unbundling that was adopted in order to benefit noncore customers.</w:t>
      </w:r>
    </w:p>
    <w:p>
      <w:pPr>
        <w:pStyle w:val="Normal"/>
        <w:tabs>
          <w:tab w:val="clear" w:pos="720"/>
          <w:tab w:val="left" w:pos="0" w:leader="none"/>
        </w:tabs>
        <w:spacing w:lineRule="auto" w:line="360"/>
        <w:ind w:firstLine="720" w:end="0"/>
        <w:rPr/>
      </w:pPr>
      <w:r>
        <w:rPr/>
      </w:r>
    </w:p>
    <w:p>
      <w:pPr>
        <w:pStyle w:val="Heading5"/>
        <w:tabs>
          <w:tab w:val="clear" w:pos="0"/>
          <w:tab w:val="left" w:pos="1350" w:leader="none"/>
        </w:tabs>
        <w:spacing w:lineRule="auto" w:line="240"/>
        <w:ind w:hanging="630" w:start="1350" w:end="0"/>
        <w:rPr/>
      </w:pPr>
      <w:r>
        <w:rPr/>
        <w:t>E.  THE COMPREHENSIVE SETTLEMENT IS PREFERABLE FOR RETAIL CORE CUSTOMERS RELATIVE TO THE POST-INTERIM SETTLEMENT</w:t>
      </w:r>
    </w:p>
    <w:p>
      <w:pPr>
        <w:pStyle w:val="Normal"/>
        <w:tabs>
          <w:tab w:val="clear" w:pos="720"/>
          <w:tab w:val="left" w:pos="0" w:leader="none"/>
        </w:tabs>
        <w:spacing w:lineRule="auto" w:line="360"/>
        <w:ind w:firstLine="720" w:end="0"/>
        <w:rPr/>
      </w:pPr>
      <w:r>
        <w:rPr/>
      </w:r>
    </w:p>
    <w:p>
      <w:pPr>
        <w:pStyle w:val="Normal"/>
        <w:tabs>
          <w:tab w:val="clear" w:pos="720"/>
          <w:tab w:val="left" w:pos="0" w:leader="none"/>
        </w:tabs>
        <w:spacing w:lineRule="auto" w:line="360"/>
        <w:ind w:firstLine="720" w:end="0"/>
        <w:rPr/>
      </w:pPr>
      <w:r>
        <w:rPr/>
        <w:t>TURN presented a table at p.67 of its brief comparing the alleged affects of the Post-Interim Settlement to the Comprehensive Settlement on retail core customers.  This table appears to capture all the criticisms that SCGC also makes of the Comprehensive Settlement’s alleged impact on core customers.  Therefore, it appears that focusing on TURN’s table on p.67 is the most efficient way to respond to and rebut the allegations about the impact of the Comprehensive Settlement on core customers, and especially retail core customers.  In fact, the TURN table gets the relationship backwards.  The Comprehensive Settlement is better core customers, even for retail core customers.</w:t>
      </w:r>
    </w:p>
    <w:p>
      <w:pPr>
        <w:pStyle w:val="Normal"/>
        <w:tabs>
          <w:tab w:val="clear" w:pos="720"/>
          <w:tab w:val="left" w:pos="0" w:leader="none"/>
        </w:tabs>
        <w:spacing w:lineRule="auto" w:line="360"/>
        <w:ind w:firstLine="720" w:end="0"/>
        <w:rPr/>
      </w:pPr>
      <w:r>
        <w:rPr/>
      </w:r>
    </w:p>
    <w:p>
      <w:pPr>
        <w:pStyle w:val="Normal"/>
        <w:tabs>
          <w:tab w:val="left" w:pos="720" w:leader="none"/>
        </w:tabs>
        <w:ind w:hanging="630" w:start="1440" w:end="0"/>
        <w:rPr>
          <w:b/>
          <w:bCs/>
        </w:rPr>
      </w:pPr>
      <w:r>
        <w:rPr>
          <w:b/>
          <w:bCs/>
        </w:rPr>
        <w:t>1.  Unbundling transmission and storage on the basis of embedded cost does not harm core customers.</w:t>
      </w:r>
    </w:p>
    <w:p>
      <w:pPr>
        <w:pStyle w:val="Normal"/>
        <w:tabs>
          <w:tab w:val="clear" w:pos="720"/>
          <w:tab w:val="left" w:pos="0" w:leader="none"/>
        </w:tabs>
        <w:spacing w:lineRule="auto" w:line="360"/>
        <w:ind w:firstLine="720" w:end="0"/>
        <w:rPr>
          <w:b/>
          <w:bCs/>
        </w:rPr>
      </w:pPr>
      <w:r>
        <w:rPr>
          <w:b/>
          <w:bCs/>
        </w:rPr>
      </w:r>
    </w:p>
    <w:p>
      <w:pPr>
        <w:pStyle w:val="BodyText2"/>
        <w:tabs>
          <w:tab w:val="clear" w:pos="720"/>
          <w:tab w:val="left" w:pos="0" w:leader="none"/>
        </w:tabs>
        <w:spacing w:lineRule="auto" w:line="360"/>
        <w:rPr/>
      </w:pPr>
      <w:r>
        <w:rPr/>
        <w:t>Three of the eight lines showing alleged differences in impact between the Post-Interim and the Comprehensive Settlements are, in fact, meaningless.  The Post-Interim Settlement leaves unchanged through the current BCAP period (through the end of 2002) the allocation of base margin costs between core and noncore customers.  It allows the Commission to change allocation in the next BCAP.  The Comprehensive Settlement unbundles backbone transmission costs at embedded cost, unbundles an increased amount of storage, and uses embedded cost instead of LRMC for all unbundled storage.  However, it deliberately uses cost allocation methodologies selected to ensure that, exclusive of the effect of unbundling of SoCalGas interstate capacity, it results “…in almost no cost shift between core and noncore customer classes.  The provisions of this Settlement Agreement shall be interpreted by the Commission in a manner consistent with this intention.”  In other words, the intent and result of the Comprehensive Settlement is to maintain the current BCAP allocation of costs, exclusive of interstate pipeline costs, between core and noncore customers.  Mr. Lorenz Exhibit No.2 in Attachment 8, shows that the Comprehensive Settlement achieves this result.</w:t>
      </w:r>
    </w:p>
    <w:p>
      <w:pPr>
        <w:pStyle w:val="Normal"/>
        <w:tabs>
          <w:tab w:val="clear" w:pos="720"/>
          <w:tab w:val="left" w:pos="0" w:leader="none"/>
        </w:tabs>
        <w:spacing w:lineRule="auto" w:line="360"/>
        <w:ind w:firstLine="720" w:end="0"/>
        <w:rPr/>
      </w:pPr>
      <w:r>
        <w:rPr/>
        <w:t xml:space="preserve">Thus, the Comprehensive Settlement has the </w:t>
      </w:r>
      <w:r>
        <w:rPr>
          <w:u w:val="single"/>
        </w:rPr>
        <w:t>same</w:t>
      </w:r>
      <w:r>
        <w:rPr/>
        <w:t xml:space="preserve"> bottom line in terms of allocation between core and noncore classes of base margin costs.  There is no difference between the two.  However, TURN’s table on p.67 includes lines for “Unbundling Transmission on Embedded Cost” (line 1), “Unbundling Storage on Embedded Cost” (line 2) and “Montebello” (line 8) that incorrectly make it appear as if there are differences in the impact of base margin costs, including these items, between the two proposed settlements.  In fact, the effect of each of these three is included in the total lack of impact relative the BCAP of the Comprehensive Settlement, as shown in Exhibit No.2.  Furthermore, the simple-minded addition of these three items in TURN’s table is incorrect because it ignores the complicated, cumulative effect of each of the items on the overall EPMC scaling of costs in the BCAP process.  Also, the calculation in TURN’s table on the line regarding “Unbundling Transmission on Embedded Cost” (line 1) is in error because it compares the current BCAP allocation of all transmission (backbone and local) to the Comprehensive Settlement’s allocation of backbone transmission only.</w:t>
      </w:r>
      <w:r>
        <w:br w:type="page"/>
      </w:r>
    </w:p>
    <w:p>
      <w:pPr>
        <w:pStyle w:val="Heading5"/>
        <w:tabs>
          <w:tab w:val="clear" w:pos="0"/>
          <w:tab w:val="left" w:pos="720" w:leader="none"/>
        </w:tabs>
        <w:spacing w:lineRule="auto" w:line="240"/>
        <w:ind w:hanging="540" w:start="1260" w:end="0"/>
        <w:rPr/>
      </w:pPr>
      <w:r>
        <w:rPr/>
        <w:t>2.  Allocating less storage inventory to core customers does not harm them.</w:t>
      </w:r>
    </w:p>
    <w:p>
      <w:pPr>
        <w:pStyle w:val="Normal"/>
        <w:tabs>
          <w:tab w:val="clear" w:pos="720"/>
          <w:tab w:val="left" w:pos="0" w:leader="none"/>
        </w:tabs>
        <w:spacing w:lineRule="auto" w:line="360"/>
        <w:ind w:firstLine="720" w:end="0"/>
        <w:rPr/>
      </w:pPr>
      <w:r>
        <w:rPr/>
      </w:r>
    </w:p>
    <w:p>
      <w:pPr>
        <w:pStyle w:val="Normal"/>
        <w:tabs>
          <w:tab w:val="clear" w:pos="720"/>
          <w:tab w:val="left" w:pos="0" w:leader="none"/>
        </w:tabs>
        <w:spacing w:lineRule="auto" w:line="360"/>
        <w:ind w:firstLine="720" w:end="0"/>
        <w:rPr/>
      </w:pPr>
      <w:r>
        <w:rPr/>
        <w:t xml:space="preserve">TURN provides no basis for its claim that the Comprehensive Settlement’s reduction in storage inventory allocated to the core market from 70 Bcf to 55 Bcf will </w:t>
      </w:r>
      <w:r>
        <w:rPr>
          <w:u w:val="single"/>
        </w:rPr>
        <w:t>increase</w:t>
      </w:r>
      <w:r>
        <w:rPr/>
        <w:t xml:space="preserve"> costs to core customers by $3.2 million/yr. (“Less Storage Inventory”, line 4).  (See also SCGC brief at pp.57-59 on the same subject.)  TURN provides no citation or calculation for this amount in the table on p.67.  In fact, TURN concedes at p.45:  “…the evidence is somewhat ambiguous regarding the exact value of and need for core inventory storage.”  SCGC provides no number at pp.57-59 for the alleged harm to core from reducing its allocated amount of storage inventory.  </w:t>
      </w:r>
      <w:r>
        <w:rPr>
          <w:u w:val="single"/>
        </w:rPr>
        <w:t>Perhaps</w:t>
      </w:r>
      <w:r>
        <w:rPr/>
        <w:t xml:space="preserve"> TURN’s $3.2 million number derives from the sentence on p.44 in which TURN says 15 Bcf of inventory at the embedded unit cost of inventory capacity has a “value” of $3.13 million (which still does not round to $3.2 million).  Perhaps TURN is saying that the core will buy at embedded cost the extra 15 Bcf that it is no longer being assigned? </w:t>
      </w:r>
    </w:p>
    <w:p>
      <w:pPr>
        <w:pStyle w:val="Normal"/>
        <w:tabs>
          <w:tab w:val="clear" w:pos="720"/>
          <w:tab w:val="left" w:pos="0" w:leader="none"/>
        </w:tabs>
        <w:spacing w:lineRule="auto" w:line="360"/>
        <w:ind w:firstLine="720" w:end="0"/>
        <w:rPr/>
      </w:pPr>
      <w:r>
        <w:rPr/>
        <w:t xml:space="preserve">TURN concedes that 55 Bcf is not needed for reliability purposes; it cites and does not contest Mr. Lorenz’ testimony at Tr.v.8, p.1008 that 35 Bcf of inventory is enough for seasonal reliability and 17-18 Bcf is enough for peak day withdrawal reliability needs.  The only remaining value in choosing to buy the 15 Bcf would be for core to be able to buy more gas in the summer and store </w:t>
      </w:r>
      <w:r>
        <w:br w:type="page"/>
      </w:r>
    </w:p>
    <w:p>
      <w:pPr>
        <w:pStyle w:val="Normal"/>
        <w:tabs>
          <w:tab w:val="clear" w:pos="720"/>
          <w:tab w:val="left" w:pos="0" w:leader="none"/>
        </w:tabs>
        <w:spacing w:lineRule="auto" w:line="360"/>
        <w:rPr/>
      </w:pPr>
      <w:r>
        <w:rPr/>
        <w:t>it for consumption in the winter, rather than buying that amount in the winter</w:t>
      </w:r>
      <w:r>
        <w:rPr>
          <w:rStyle w:val="FootnoteCharacters"/>
          <w:rStyle w:val="FootnoteReference"/>
        </w:rPr>
        <w:footnoteReference w:id="20"/>
      </w:r>
      <w:r>
        <w:rPr/>
        <w:t xml:space="preserve">.  But that would depend on gas being lower in price in the summer than the winter.  No one has shown that to be the case.  Thus, no one has shown that the extra 15 Bcf would have any value to the core, and that the core is harmed at all by the reduction in storage inventory allocation from 70 Bcf to 55 Bcf.  In fact, the market price of gas in southern California in 1999, as well as in the seven year period 1993-1999, was higher in the summer </w:t>
      </w:r>
    </w:p>
    <w:p>
      <w:pPr>
        <w:pStyle w:val="Normal"/>
        <w:tabs>
          <w:tab w:val="clear" w:pos="720"/>
          <w:tab w:val="left" w:pos="0" w:leader="none"/>
        </w:tabs>
        <w:spacing w:lineRule="auto" w:line="360"/>
        <w:rPr/>
      </w:pPr>
      <w:r>
        <w:rPr/>
        <w:t>than the winter.  The number on this line in TURN’s brief should be zero, not $3.2 million.</w:t>
      </w:r>
    </w:p>
    <w:p>
      <w:pPr>
        <w:pStyle w:val="Normal"/>
        <w:tabs>
          <w:tab w:val="clear" w:pos="720"/>
          <w:tab w:val="left" w:pos="0" w:leader="none"/>
        </w:tabs>
        <w:spacing w:lineRule="auto" w:line="360"/>
        <w:ind w:firstLine="720" w:end="0"/>
        <w:rPr/>
      </w:pPr>
      <w:r>
        <w:rPr/>
      </w:r>
    </w:p>
    <w:p>
      <w:pPr>
        <w:pStyle w:val="Normal"/>
        <w:tabs>
          <w:tab w:val="clear" w:pos="720"/>
          <w:tab w:val="left" w:pos="0" w:leader="none"/>
        </w:tabs>
        <w:spacing w:lineRule="auto" w:line="360"/>
        <w:ind w:firstLine="720" w:end="0"/>
        <w:rPr/>
      </w:pPr>
      <w:r>
        <w:rPr/>
      </w:r>
    </w:p>
    <w:p>
      <w:pPr>
        <w:pStyle w:val="Heading5"/>
        <w:tabs>
          <w:tab w:val="clear" w:pos="0"/>
          <w:tab w:val="left" w:pos="1350" w:leader="none"/>
        </w:tabs>
        <w:spacing w:lineRule="auto" w:line="240"/>
        <w:ind w:hanging="634" w:start="1354" w:end="0"/>
        <w:rPr/>
      </w:pPr>
      <w:r>
        <w:rPr/>
        <w:t>3.  An allocation of 1,000 MMcfd of backbone capacity to retail core customers under the Comprehensive Settlement will not increase the costs they pay.</w:t>
      </w:r>
    </w:p>
    <w:p>
      <w:pPr>
        <w:pStyle w:val="Normal"/>
        <w:tabs>
          <w:tab w:val="clear" w:pos="720"/>
          <w:tab w:val="left" w:pos="0" w:leader="none"/>
        </w:tabs>
        <w:spacing w:lineRule="auto" w:line="360"/>
        <w:ind w:firstLine="720" w:end="0"/>
        <w:rPr/>
      </w:pPr>
      <w:r>
        <w:rPr/>
      </w:r>
    </w:p>
    <w:p>
      <w:pPr>
        <w:pStyle w:val="Normal"/>
        <w:tabs>
          <w:tab w:val="clear" w:pos="720"/>
          <w:tab w:val="left" w:pos="0" w:leader="none"/>
        </w:tabs>
        <w:spacing w:lineRule="auto" w:line="360"/>
        <w:ind w:firstLine="720" w:end="0"/>
        <w:rPr/>
      </w:pPr>
      <w:r>
        <w:rPr/>
        <w:t>TURN next claims that the Post-Interim Settlement is more favorable than the Comprehensive Settlement to retail core customers because under the Comprehensive Settlement the retail core allegedly will have to buy additional backbone transmission capacity above its allocated 1,000 on 129 days, at a price of 120% of embedded cost, for a total additional cost of $1.6 million/yr (see TURN opening brief at p.34; “Additional Backbone Capacity”, fourth line, in table on p.67).  This claim is without merit.</w:t>
      </w:r>
    </w:p>
    <w:p>
      <w:pPr>
        <w:pStyle w:val="Normal"/>
        <w:tabs>
          <w:tab w:val="clear" w:pos="720"/>
          <w:tab w:val="left" w:pos="0" w:leader="none"/>
        </w:tabs>
        <w:spacing w:lineRule="auto" w:line="360"/>
        <w:ind w:firstLine="720" w:end="0"/>
        <w:rPr/>
      </w:pPr>
      <w:r>
        <w:rPr/>
        <w:t xml:space="preserve">First, it simply fails to examine the other side of the equation.  </w:t>
      </w:r>
      <w:r>
        <w:rPr>
          <w:u w:val="single"/>
        </w:rPr>
        <w:t>Assuming</w:t>
      </w:r>
      <w:r>
        <w:rPr/>
        <w:t xml:space="preserve"> there are 129 days in a year on </w:t>
      </w:r>
      <w:r>
        <w:br w:type="page"/>
      </w:r>
    </w:p>
    <w:p>
      <w:pPr>
        <w:pStyle w:val="Normal"/>
        <w:tabs>
          <w:tab w:val="clear" w:pos="720"/>
          <w:tab w:val="left" w:pos="0" w:leader="none"/>
        </w:tabs>
        <w:spacing w:lineRule="auto" w:line="360"/>
        <w:rPr/>
      </w:pPr>
      <w:r>
        <w:rPr/>
        <w:t>which the core will need to acquire a supplement to its 1,000 MMcfd of backbone capacity, then there will be approximately 236 days on which the core could broker a portion of its 1,000 MMcfd of capacity.  TURN and SCGC simply fail to put any value on the ability to sell capacity on the greater number of days in which the core does not need all of its 1,000 MMcfd.  Given that the number of days below 1,000 are significantly greater than the number of days above 1,000, there is probably a net benefit to retail core under the Comprehensive Settlement.</w:t>
      </w:r>
    </w:p>
    <w:p>
      <w:pPr>
        <w:pStyle w:val="Normal"/>
        <w:tabs>
          <w:tab w:val="clear" w:pos="720"/>
          <w:tab w:val="left" w:pos="0" w:leader="none"/>
        </w:tabs>
        <w:spacing w:lineRule="auto" w:line="360"/>
        <w:ind w:firstLine="720" w:end="0"/>
        <w:rPr/>
      </w:pPr>
      <w:r>
        <w:rPr/>
        <w:t>Second, the calculation of 129 or 130 days in 1999 is incorrect and much too high. SoCalGas and SDG&amp;E have addressed above how SCGC errs in saying that the retail core will use an average of 998 MMcfd of backbone capacity in the summer.  In fact, the number is about 810 MMcfd.</w:t>
      </w:r>
    </w:p>
    <w:p>
      <w:pPr>
        <w:pStyle w:val="Normal"/>
        <w:spacing w:lineRule="auto" w:line="360"/>
        <w:ind w:firstLine="720" w:end="0"/>
        <w:rPr/>
      </w:pPr>
      <w:r>
        <w:rPr/>
        <w:t xml:space="preserve">TURN’s calculation of the number of days when the 1,000 MMcfd of backbone capacity allocated to the retail core would be inadequate is flawed in a number of respects.  The number of days in 1999 when the core did use flowing supplies of more than 1000 mmcfd (sendout – storage withdrawals) is interpreted in Ms. Yap’s rebuttal testimony to indicate the number of days under the Comprehensive Settlement when the core would </w:t>
      </w:r>
      <w:r>
        <w:rPr>
          <w:u w:val="single"/>
        </w:rPr>
        <w:t>need</w:t>
      </w:r>
      <w:r>
        <w:rPr>
          <w:i/>
          <w:iCs/>
        </w:rPr>
        <w:t xml:space="preserve"> </w:t>
      </w:r>
      <w:r>
        <w:rPr/>
        <w:t>to bring in flowing supplies of more than 1,000 mmcfd.  The historical data on the core withdrawals does not indicate what SoCalGas Gas Acquisition would be able to do under the conditions of the Comprehensive Settlement, only what they chose to do under the conditions prevailing in 1999.  To properly calculate how much additional flowing supply the core would need under the Comprehensive Settlement, if demand conditions were exactly like 1999, the backbone reservation has to be adjusted for CTA market share (since the 1,000 MMcfd reservation is for retail core only, but sendout data includes CTA customers).  Throughout the record in this proceeding, a CTA market share of 10% has been used for projections of the effects of the Comprehensive Settlement.</w:t>
      </w:r>
      <w:r>
        <w:rPr>
          <w:rStyle w:val="FootnoteCharacters"/>
          <w:rStyle w:val="FootnoteReference"/>
        </w:rPr>
        <w:footnoteReference w:id="21"/>
      </w:r>
      <w:r>
        <w:rPr/>
        <w:t xml:space="preserve">  The core reservation of 1000 MMcfd reflects retail core only; the total core equivalent is 1,111 MMcfd.</w:t>
      </w:r>
    </w:p>
    <w:p>
      <w:pPr>
        <w:pStyle w:val="Normal"/>
        <w:spacing w:lineRule="auto" w:line="360"/>
        <w:rPr/>
      </w:pPr>
      <w:r>
        <w:rPr/>
        <w:tab/>
        <w:t>The core’s need for additional flowing supply would be based on its revised storage assets (and peak day minimum inventory requirements) under the Comprehensive Settlement.  In the summer, an average of 224 MMcfd (55 Bcf – 7 Bcf minimum / 214 days) would be used for injection, and not available to serve core demand, so the net available backbone capacity would be 887 MMcfd.  In the winter, the core could withdraw an average of 318 MMcfd to supplement flowing supplies ((55 Bcf – 7 Bcf minimum) / 151 days) so the core could serve up to 1,429 mmcfd of demand on average using backbone transmission and storage.</w:t>
      </w:r>
      <w:r>
        <w:rPr>
          <w:rStyle w:val="FootnoteCharacters"/>
          <w:rStyle w:val="FootnoteReference"/>
        </w:rPr>
        <w:footnoteReference w:id="22"/>
      </w:r>
      <w:r>
        <w:rPr/>
        <w:t xml:space="preserve">  These calculations are conservative, because the summer calculation assumes starting from a minimum winter-ending inventory on March 31, although there is no requirement that the core actually withdraw inventory all the way down from 55 Bcf to 7 Bcf.</w:t>
      </w:r>
    </w:p>
    <w:p>
      <w:pPr>
        <w:pStyle w:val="BodyText2"/>
        <w:spacing w:lineRule="auto" w:line="360"/>
        <w:rPr/>
      </w:pPr>
      <w:r>
        <w:rPr/>
        <w:t>Using these corrected but still very conservative calculations of available backbone capacity, based on 1999 daily core sendout shown in Exhibit No.109, the core would have needed to purchase additional backbone capacity on a total of 80 days – 30 summer and 50 winter – not 129.  On the other 285 days the core would have had excess capacity to sell.</w:t>
      </w:r>
    </w:p>
    <w:p>
      <w:pPr>
        <w:pStyle w:val="Normal"/>
        <w:spacing w:lineRule="auto" w:line="360"/>
        <w:rPr/>
      </w:pPr>
      <w:r>
        <w:rPr/>
        <w:tab/>
        <w:t xml:space="preserve">TURN argues that the core will likely have to pay high prices for backbone capacity because the core will need the capacity when demand is highest, implying that when the core has capacity available to sell it will have to sell for low prices.  The validity of this claim is questionable because there is a fairly even split of the days between summer and winter, although somewhat skewed toward winter.  </w:t>
      </w:r>
    </w:p>
    <w:p>
      <w:pPr>
        <w:pStyle w:val="Normal"/>
        <w:spacing w:lineRule="auto" w:line="360"/>
        <w:rPr/>
      </w:pPr>
      <w:r>
        <w:rPr/>
        <w:t xml:space="preserve">Furthermore, SCGC, whose members are summer-peaking, would have the Commission believe that they will have to pay more for backbone they buy in the summer than for excess backbone they could sell in the winter.  In any case, SoCalGas and SDG&amp;E have attached in an appendix to this brief calculations that show that even if the core had to pay 120% of embedded cost for any additional backbone capacity on days it had to purchase it, it would “break even” if on the days it had excess backbone capacity to sell it could sell this capacity for only </w:t>
      </w:r>
      <w:r>
        <w:rPr>
          <w:u w:val="single"/>
        </w:rPr>
        <w:t>55</w:t>
      </w:r>
      <w:r>
        <w:rPr/>
        <w:t>% of embedded cost of capacity</w:t>
      </w:r>
      <w:r>
        <w:rPr>
          <w:b/>
          <w:bCs/>
          <w:i/>
          <w:iCs/>
        </w:rPr>
        <w:t>.</w:t>
      </w:r>
      <w:r>
        <w:rPr/>
        <w:t xml:space="preserve">  If core could sell its excess capacity for 120% of embedded cost, it would be $3.3 million </w:t>
      </w:r>
      <w:r>
        <w:rPr>
          <w:u w:val="single"/>
        </w:rPr>
        <w:t>better off</w:t>
      </w:r>
      <w:r>
        <w:rPr/>
        <w:t xml:space="preserve"> with respect to this feature of the Comprehensive Settlement than under the Post-Interim Settlement.</w:t>
      </w:r>
    </w:p>
    <w:p>
      <w:pPr>
        <w:pStyle w:val="Normal"/>
        <w:spacing w:lineRule="auto" w:line="360"/>
        <w:rPr/>
      </w:pPr>
      <w:r>
        <w:rPr/>
      </w:r>
    </w:p>
    <w:p>
      <w:pPr>
        <w:pStyle w:val="Normal"/>
        <w:ind w:hanging="540" w:start="1980" w:end="0"/>
        <w:rPr>
          <w:b/>
          <w:bCs/>
        </w:rPr>
      </w:pPr>
      <w:r>
        <w:rPr>
          <w:b/>
          <w:bCs/>
        </w:rPr>
        <w:t>4.  There is no mismatch of core intrastate and interstate capacity that will cause increased stranded interstate costs under the Comprehensive Settlement.</w:t>
      </w:r>
    </w:p>
    <w:p>
      <w:pPr>
        <w:pStyle w:val="Normal"/>
        <w:spacing w:lineRule="auto" w:line="360"/>
        <w:ind w:hanging="540" w:start="1980" w:end="0"/>
        <w:rPr>
          <w:b/>
          <w:bCs/>
        </w:rPr>
      </w:pPr>
      <w:r>
        <w:rPr>
          <w:b/>
          <w:bCs/>
        </w:rPr>
      </w:r>
    </w:p>
    <w:p>
      <w:pPr>
        <w:pStyle w:val="Normal"/>
        <w:tabs>
          <w:tab w:val="clear" w:pos="720"/>
          <w:tab w:val="left" w:pos="0" w:leader="none"/>
        </w:tabs>
        <w:spacing w:lineRule="auto" w:line="360"/>
        <w:ind w:firstLine="720" w:end="0"/>
        <w:rPr/>
      </w:pPr>
      <w:r>
        <w:rPr/>
        <w:t>TURN claims (p.36-38) there is a mismatch under the Comprehensive Settlement between interstate capacity for the core and intrastate backbone capacity for the core, and that this alleged mismatch will cause the core to incur $1.8 million in “Stranded Interstate Capacity” cost, shown on line 5 of the table on its p.67.</w:t>
      </w:r>
    </w:p>
    <w:p>
      <w:pPr>
        <w:pStyle w:val="Normal"/>
        <w:tabs>
          <w:tab w:val="clear" w:pos="720"/>
          <w:tab w:val="left" w:pos="0" w:leader="none"/>
        </w:tabs>
        <w:spacing w:lineRule="auto" w:line="360"/>
        <w:ind w:firstLine="720" w:end="0"/>
        <w:rPr/>
      </w:pPr>
      <w:r>
        <w:rPr/>
        <w:t>In fact, there is no such mismatch.  The explanation for why there is no mismatch was covered in ORA witness Pocta’s testimony in Exhibit No.4 at p.10, and again by Mr. Pocta and Mr. Lorenz during hearings.</w:t>
      </w:r>
    </w:p>
    <w:p>
      <w:pPr>
        <w:pStyle w:val="Normal"/>
        <w:spacing w:lineRule="auto" w:line="360"/>
        <w:ind w:firstLine="720" w:end="0"/>
        <w:rPr/>
      </w:pPr>
      <w:r>
        <w:rPr/>
        <w:t xml:space="preserve">It was explained again at pp.15-16 of SoCalGas/SDG&amp;E’s opening brief.  The Comprehensive Settlement allocates the </w:t>
      </w:r>
      <w:r>
        <w:rPr>
          <w:u w:val="single"/>
        </w:rPr>
        <w:t>retail</w:t>
      </w:r>
      <w:r>
        <w:rPr/>
        <w:t xml:space="preserve"> core 1,000 MMcfd of intrastate backbone transmission capacity, and a lower amount if CTA market share exceeds 10% of the core market.  The current interstate reservation for the </w:t>
      </w:r>
      <w:r>
        <w:rPr>
          <w:u w:val="single"/>
        </w:rPr>
        <w:t>entire</w:t>
      </w:r>
      <w:r>
        <w:rPr/>
        <w:t xml:space="preserve"> core market is 1,044 MMcfd, plus SoCalGas purchases 70 MMcfd from POPCO/Exxon which does not flow through interstate systems, for a total of 1,114 MMcfd.  With CTAs at 10% of the core market, a reservation for the retail core of 90% of 1,114 MMcfd (i.e., 1,002.6 MMcfd) is almost exactly equal to the 1,000 MMcfd provided in the Comprehensive Settlement.  (See ORA witness Pocta, Ex.No.4, p.10).</w:t>
      </w:r>
    </w:p>
    <w:p>
      <w:pPr>
        <w:pStyle w:val="Normal"/>
        <w:tabs>
          <w:tab w:val="clear" w:pos="720"/>
          <w:tab w:val="left" w:pos="0" w:leader="none"/>
        </w:tabs>
        <w:spacing w:lineRule="auto" w:line="360"/>
        <w:ind w:firstLine="720" w:end="0"/>
        <w:rPr/>
      </w:pPr>
      <w:r>
        <w:rPr/>
        <w:t>TURN errs at p.36 in saying that there could be a mismatch if CTAs did not reject their entire share of interstate capacity.  Under the Comprehensive Settlement, CTAs do not have an option to take assignment of interstate capacity from SoCalGas, so they have no option to “reject” this capacity.  Under Section 5.3.3, CTAs are responsible for arranging on their own for the delivery of gas supplies to the SoCalGas system.  Pursuant to 5.3.3.2, SoCalGas will release in the secondary market an amount of the core 1044 MMcfd of interstate capacity proportional to the percentage of the total core market served by CTAs.  TURN apparently confuses the option that CTAs do have under the Comprehensive Settlement to accept or reject core storage with its treatment of core interstate pipeline capacity.  The provisions are not the same.</w:t>
      </w:r>
    </w:p>
    <w:p>
      <w:pPr>
        <w:pStyle w:val="Normal"/>
        <w:tabs>
          <w:tab w:val="clear" w:pos="720"/>
          <w:tab w:val="left" w:pos="0" w:leader="none"/>
        </w:tabs>
        <w:spacing w:lineRule="auto" w:line="360"/>
        <w:ind w:firstLine="720" w:end="0"/>
        <w:rPr/>
      </w:pPr>
      <w:r>
        <w:rPr/>
        <w:t xml:space="preserve">TURN is also unreasonable and inconsistent by rejecting the reasonable projection of a 10% CTA market share in analyzing this issue.  Of course, TURN has to reject the 10% projection here in order to create an issue, because at 10% CTA market share there is </w:t>
      </w:r>
      <w:r>
        <w:rPr>
          <w:u w:val="single"/>
        </w:rPr>
        <w:t>no</w:t>
      </w:r>
      <w:r>
        <w:rPr/>
        <w:t xml:space="preserve"> adverse impact on retail core customers.  Ten percent is reasonable considering the variety of options that the Comprehensive Settlement provides to CTAs and their customers.  These changes include changes that have not yet been implemented on the SoCalGas, SDG&amp;E, or PG&amp;E systems, such as all of the “retail” provisions of the Comprehensive Settlement.</w:t>
      </w:r>
      <w:r>
        <w:rPr>
          <w:rStyle w:val="FootnoteCharacters"/>
          <w:rStyle w:val="FootnoteReference"/>
        </w:rPr>
        <w:footnoteReference w:id="23"/>
      </w:r>
      <w:r>
        <w:rPr/>
        <w:t xml:space="preserve">  They also include unbundling of core interstate capacity costs on SoCalGas, which is likely to have a much greater impact</w:t>
      </w:r>
      <w:r>
        <w:rPr>
          <w:rStyle w:val="FootnoteCharacters"/>
          <w:rStyle w:val="FootnoteReference"/>
        </w:rPr>
        <w:footnoteReference w:id="24"/>
      </w:r>
      <w:r>
        <w:rPr/>
        <w:t xml:space="preserve"> on CTA competitiveness on the SoCalGas system due to the greater amount of difference between as-billed capacity costs and market capacity costs for SoCalGas’ holdings of interstate capacity for the core.  TURN is inconsistent, because it otherwise assumes a 10% CTA market share when it calculates impacts of the proposals in this case (see footnote 16 on p.69 of TURN’s brief).</w:t>
      </w:r>
    </w:p>
    <w:p>
      <w:pPr>
        <w:pStyle w:val="Normal"/>
        <w:tabs>
          <w:tab w:val="clear" w:pos="720"/>
          <w:tab w:val="left" w:pos="0" w:leader="none"/>
        </w:tabs>
        <w:spacing w:lineRule="auto" w:line="360"/>
        <w:ind w:firstLine="720" w:end="0"/>
        <w:rPr/>
      </w:pPr>
      <w:r>
        <w:rPr/>
        <w:t>Furthermore, even if TURN were right about CTAs staying at the current 5% market share, there is no reason the core would be required to purchase an additional 57 MMcfd of intrastate capacity to match its interstate capacity.  The 1,044 MMcfd of interstate capacity assignment (plus 70 MMcfd of California supply) is only neede by the core in a one-in-35-year cold year condition.  In most years, core would simply broker the excess 57 MMcfd of capacity rather than purchase a matching amount of intrastate backbone transmission capacity.</w:t>
      </w:r>
    </w:p>
    <w:p>
      <w:pPr>
        <w:pStyle w:val="Normal"/>
        <w:tabs>
          <w:tab w:val="clear" w:pos="720"/>
          <w:tab w:val="left" w:pos="0" w:leader="none"/>
        </w:tabs>
        <w:spacing w:lineRule="auto" w:line="360"/>
        <w:ind w:firstLine="720" w:end="0"/>
        <w:rPr/>
      </w:pPr>
      <w:r>
        <w:rPr/>
        <w:t>Using reasonable assumptions, the impact of this factor is zero.</w:t>
      </w:r>
    </w:p>
    <w:p>
      <w:pPr>
        <w:pStyle w:val="Normal"/>
        <w:tabs>
          <w:tab w:val="clear" w:pos="720"/>
          <w:tab w:val="left" w:pos="0" w:leader="none"/>
        </w:tabs>
        <w:spacing w:lineRule="auto" w:line="360"/>
        <w:ind w:firstLine="720" w:end="0"/>
        <w:rPr/>
      </w:pPr>
      <w:r>
        <w:rPr/>
      </w:r>
    </w:p>
    <w:p>
      <w:pPr>
        <w:pStyle w:val="Normal"/>
        <w:tabs>
          <w:tab w:val="clear" w:pos="720"/>
          <w:tab w:val="left" w:pos="0" w:leader="none"/>
        </w:tabs>
        <w:spacing w:lineRule="auto" w:line="360"/>
        <w:ind w:firstLine="720" w:end="0"/>
        <w:rPr/>
      </w:pPr>
      <w:r>
        <w:rPr/>
      </w:r>
    </w:p>
    <w:p>
      <w:pPr>
        <w:pStyle w:val="Normal"/>
        <w:ind w:hanging="540" w:start="1260" w:end="0"/>
        <w:rPr>
          <w:b/>
          <w:bCs/>
        </w:rPr>
      </w:pPr>
      <w:r>
        <w:rPr>
          <w:b/>
          <w:bCs/>
        </w:rPr>
        <w:t>5.  Allocation of stranded core interstate costs under the Comprehensive Settlement will not increase costs to the total core and is reasonable.</w:t>
      </w:r>
    </w:p>
    <w:p>
      <w:pPr>
        <w:pStyle w:val="Normal"/>
        <w:tabs>
          <w:tab w:val="clear" w:pos="720"/>
          <w:tab w:val="left" w:pos="0" w:leader="none"/>
        </w:tabs>
        <w:spacing w:lineRule="auto" w:line="360"/>
        <w:ind w:firstLine="720" w:end="0"/>
        <w:rPr>
          <w:b/>
          <w:bCs/>
        </w:rPr>
      </w:pPr>
      <w:r>
        <w:rPr>
          <w:b/>
          <w:bCs/>
        </w:rPr>
      </w:r>
    </w:p>
    <w:p>
      <w:pPr>
        <w:pStyle w:val="Normal"/>
        <w:tabs>
          <w:tab w:val="clear" w:pos="720"/>
          <w:tab w:val="left" w:pos="0" w:leader="none"/>
        </w:tabs>
        <w:spacing w:lineRule="auto" w:line="360"/>
        <w:ind w:firstLine="720" w:end="0"/>
        <w:rPr/>
      </w:pPr>
      <w:r>
        <w:rPr/>
        <w:t>TURN claims that relative to the Comprehensive Settlement, the Post-Interim Settlement is better for retail core customers by $2.5 million with respect to the “Stranded Cost” of unbundled core interstate pipeline capacity (line 6 on the table on p.67).</w:t>
      </w:r>
    </w:p>
    <w:p>
      <w:pPr>
        <w:pStyle w:val="Normal"/>
        <w:tabs>
          <w:tab w:val="clear" w:pos="720"/>
          <w:tab w:val="left" w:pos="0" w:leader="none"/>
        </w:tabs>
        <w:spacing w:lineRule="auto" w:line="360"/>
        <w:ind w:firstLine="720" w:end="0"/>
        <w:rPr/>
      </w:pPr>
      <w:r>
        <w:rPr/>
        <w:t xml:space="preserve">First, it should be noted that the difference quantified by TURN is totally a matter of allocation </w:t>
      </w:r>
      <w:r>
        <w:rPr>
          <w:u w:val="single"/>
        </w:rPr>
        <w:t>within the core class</w:t>
      </w:r>
      <w:r>
        <w:rPr/>
        <w:t>; see TURN brief at p.19.</w:t>
      </w:r>
      <w:r>
        <w:rPr>
          <w:rStyle w:val="FootnoteCharacters"/>
          <w:rStyle w:val="FootnoteReference"/>
        </w:rPr>
        <w:footnoteReference w:id="25"/>
      </w:r>
      <w:r>
        <w:rPr/>
        <w:t xml:space="preserve">  The Post-Interim </w:t>
      </w:r>
    </w:p>
    <w:p>
      <w:pPr>
        <w:pStyle w:val="Normal"/>
        <w:tabs>
          <w:tab w:val="clear" w:pos="720"/>
          <w:tab w:val="left" w:pos="0" w:leader="none"/>
        </w:tabs>
        <w:spacing w:lineRule="auto" w:line="360"/>
        <w:rPr/>
      </w:pPr>
      <w:r>
        <w:rPr/>
        <w:t xml:space="preserve">Settlement provides CTAs with less than the full difference between SoCalGas’ cost for the unbundled service and the </w:t>
      </w:r>
    </w:p>
    <w:p>
      <w:pPr>
        <w:pStyle w:val="Normal"/>
        <w:tabs>
          <w:tab w:val="clear" w:pos="720"/>
          <w:tab w:val="left" w:pos="0" w:leader="none"/>
        </w:tabs>
        <w:spacing w:lineRule="auto" w:line="360"/>
        <w:rPr/>
      </w:pPr>
      <w:r>
        <w:rPr/>
        <w:t xml:space="preserve">cost that the CTAs will pay if they obtain the service other than from SoCalGas.  In effect, it makes core transportation-only customers pay more stranded costs per therm than core customers who buy gas from SoCalGas do.  Of course, if one’s only criterion in evaluating competing settlements  was to maximize benefits to core customers who </w:t>
      </w:r>
      <w:r>
        <w:br w:type="page"/>
      </w:r>
    </w:p>
    <w:p>
      <w:pPr>
        <w:pStyle w:val="Normal"/>
        <w:tabs>
          <w:tab w:val="clear" w:pos="720"/>
          <w:tab w:val="left" w:pos="0" w:leader="none"/>
        </w:tabs>
        <w:spacing w:lineRule="auto" w:line="360"/>
        <w:rPr/>
      </w:pPr>
      <w:r>
        <w:rPr/>
        <w:t>buy gas from the utility, the “best” settlement would not unbundle core interstate capacity at all.  But that is exactly the opposite of what the Commission has said since 1995 it intends to do for SoCalGas (and has already done for PG&amp;E and SDG&amp;E).</w:t>
      </w:r>
    </w:p>
    <w:p>
      <w:pPr>
        <w:pStyle w:val="Normal"/>
        <w:tabs>
          <w:tab w:val="clear" w:pos="720"/>
          <w:tab w:val="left" w:pos="0" w:leader="none"/>
        </w:tabs>
        <w:spacing w:lineRule="auto" w:line="360"/>
        <w:ind w:firstLine="720" w:end="0"/>
        <w:rPr/>
      </w:pPr>
      <w:r>
        <w:rPr/>
        <w:t>In fact, there is a difference between the Comprehensive Settlement and the Post-Interim Settlement on the allocation of stranded interstate pipeline charges that TURN conveniently overlooks in its table on p.67.  The Comprehensive Settlement would make noncore customers responsible for 50% of the stranded cost of unbundled core interstate capacity (the portion of 1044 MMcfd that would be brokered because of CTA market share), up to a ceiling of $2 million in 2000 and $5 million in 2001 (see Section 5.3.3.5 on p.55).  The Post-Interim Settlement has no similar provision; it allocates all core stranded costs only to core customers from the effective date of the settlement (see Sections 4.3 and 4.3.1 at p.7).  Under both the Comprehensive and Post-Interim Settlements, starting January 1, 2002 and after, the core pays only for stranded interstate costs related to the core’s 1044 MMcfd, and the noncore pays only for stranded costs related to the 406 MMcfd in excess of the 1044 MMcfd (CSA Section 5.3.3.5 at p.56, Post-Interim Section 4.1 at p.7).</w:t>
      </w:r>
    </w:p>
    <w:p>
      <w:pPr>
        <w:pStyle w:val="Normal"/>
        <w:tabs>
          <w:tab w:val="clear" w:pos="720"/>
          <w:tab w:val="left" w:pos="0" w:leader="none"/>
        </w:tabs>
        <w:spacing w:lineRule="auto" w:line="360"/>
        <w:ind w:firstLine="720" w:end="0"/>
        <w:rPr/>
      </w:pPr>
      <w:r>
        <w:rPr/>
        <w:t>Thus, TURN has denied up to $7 million of benefit to core customers in 2000 and 2001 combined!  TURN assumes stranded costs at $6.3 million per year.  With the Comprehensive Settlement allocating 50% to noncore customers (up to the caps) this would represent a combined benefit of $5.15 million to all core customers.  An additional $1.15 million would be allocated to CTA customers only, benefiting the retail core.  TURN may say at p.18 of its brief that “TURN does not oppose” this provision of the Comprehensive Settlement – but it has signed and advocated the Post-Interim Settlement, and its contrary provisions on this issue, in favor of the Comprehensive Settlement.</w:t>
      </w:r>
    </w:p>
    <w:p>
      <w:pPr>
        <w:pStyle w:val="Normal"/>
        <w:tabs>
          <w:tab w:val="clear" w:pos="720"/>
          <w:tab w:val="left" w:pos="0" w:leader="none"/>
        </w:tabs>
        <w:spacing w:lineRule="auto" w:line="360"/>
        <w:ind w:firstLine="720" w:end="0"/>
        <w:rPr/>
      </w:pPr>
      <w:r>
        <w:rPr/>
        <w:t>TURN has conveniently avoided showing this feature when comparing the Comprehensive and Post-Interim Settlements in its table on p.67.  Granted the impact is not recurring after 2001, it must be considered in comparing the effects of the two settlements on core and/or retail core.  By its opposition to the Comprehensive Settlement that has extended a decision until near year-end 2000, TURN has irretrievably squandered $2 million for the customers it claims to represent.  However, again using its assumption of 10% CTA market share and stranded costs of $6.3 million per year, the difference for 2001 is that the Comprehensive Settlement would make retail core $2.84 million better off and core transport up to $315,000 better off than the Post-Interim Settlement.  That’s just under $550,000 for the total core (about $500,000 for the retail core) per year of the settlements’ duration starting in 2001.</w:t>
      </w:r>
    </w:p>
    <w:p>
      <w:pPr>
        <w:pStyle w:val="Normal"/>
        <w:tabs>
          <w:tab w:val="clear" w:pos="720"/>
          <w:tab w:val="left" w:pos="0" w:leader="none"/>
        </w:tabs>
        <w:spacing w:lineRule="auto" w:line="360"/>
        <w:ind w:firstLine="720" w:end="0"/>
        <w:rPr/>
      </w:pPr>
      <w:r>
        <w:rPr/>
      </w:r>
    </w:p>
    <w:p>
      <w:pPr>
        <w:pStyle w:val="Normal"/>
        <w:tabs>
          <w:tab w:val="clear" w:pos="720"/>
          <w:tab w:val="left" w:pos="0" w:leader="none"/>
        </w:tabs>
        <w:spacing w:lineRule="auto" w:line="360"/>
        <w:ind w:firstLine="720" w:end="0"/>
        <w:rPr/>
      </w:pPr>
      <w:r>
        <w:rPr/>
      </w:r>
    </w:p>
    <w:p>
      <w:pPr>
        <w:pStyle w:val="Normal"/>
        <w:tabs>
          <w:tab w:val="clear" w:pos="720"/>
          <w:tab w:val="left" w:pos="180" w:leader="none"/>
        </w:tabs>
        <w:ind w:hanging="547" w:start="1267" w:end="0"/>
        <w:rPr>
          <w:b/>
          <w:bCs/>
        </w:rPr>
      </w:pPr>
      <w:r>
        <w:rPr>
          <w:b/>
          <w:bCs/>
        </w:rPr>
        <w:t>6.  The Comprehensive Settlement does not increase core gas commodity costs by setting core storage injection rights at 327 MMcfd.</w:t>
      </w:r>
    </w:p>
    <w:p>
      <w:pPr>
        <w:pStyle w:val="Normal"/>
        <w:tabs>
          <w:tab w:val="clear" w:pos="720"/>
          <w:tab w:val="left" w:pos="0" w:leader="none"/>
        </w:tabs>
        <w:spacing w:lineRule="auto" w:line="360"/>
        <w:ind w:firstLine="720" w:end="0"/>
        <w:rPr>
          <w:b/>
          <w:bCs/>
        </w:rPr>
      </w:pPr>
      <w:r>
        <w:rPr>
          <w:b/>
          <w:bCs/>
        </w:rPr>
      </w:r>
    </w:p>
    <w:p>
      <w:pPr>
        <w:pStyle w:val="Normal"/>
        <w:tabs>
          <w:tab w:val="clear" w:pos="720"/>
          <w:tab w:val="left" w:pos="0" w:leader="none"/>
        </w:tabs>
        <w:spacing w:lineRule="auto" w:line="360"/>
        <w:ind w:firstLine="720" w:end="0"/>
        <w:rPr/>
      </w:pPr>
      <w:r>
        <w:rPr/>
        <w:t>The table at p.67 of TURN’s brief shows an increase in cost under the Comprehensive Settlement relative to the Post-Interim Settlement of $5.56 million related to “Gas Commodity Cost” (line 7).  This issue is addressed at p.50 of TURN’s brief and pp.57-59 of SCGC’s brief.  It is based on oral testimony by SCGC witness Yap during hearings to the effect that the Comprehensive Settlement’s allocation of only 327 MMcfd</w:t>
      </w:r>
      <w:r>
        <w:rPr>
          <w:rStyle w:val="FootnoteCharacters"/>
          <w:rStyle w:val="FootnoteReference"/>
        </w:rPr>
        <w:footnoteReference w:id="26"/>
      </w:r>
      <w:r>
        <w:rPr/>
        <w:t xml:space="preserve"> of storage injection rights to the core would force core customers to forego benefits from purchases and injections in storage above that level in May and June of each year.  Ms. Yap claimed that the increased gas costs would be $5.56 million per year based on 1999 operations and gas price differentials.</w:t>
      </w:r>
    </w:p>
    <w:p>
      <w:pPr>
        <w:pStyle w:val="Normal"/>
        <w:tabs>
          <w:tab w:val="clear" w:pos="720"/>
          <w:tab w:val="left" w:pos="0" w:leader="none"/>
        </w:tabs>
        <w:spacing w:lineRule="auto" w:line="360"/>
        <w:ind w:firstLine="720" w:end="0"/>
        <w:rPr/>
      </w:pPr>
      <w:r>
        <w:rPr/>
        <w:t xml:space="preserve">This is an alleged impact of the Comprehensive Settlement that was not mentioned in the prepared testimony of Ms. Yap (or Mr. Florio or Mr. Weil, for that matter).  It was not even offered in additional oral direct testimony.  It was volunteered by Ms. Yap </w:t>
      </w:r>
      <w:r>
        <w:rPr>
          <w:u w:val="single"/>
        </w:rPr>
        <w:t>after</w:t>
      </w:r>
      <w:r>
        <w:rPr/>
        <w:t xml:space="preserve"> cross-examination, when her panel was being questioned by the ALJ (Tr.v.3, p.323-325).  This fact alone ought to raise doubts about a claim that parties effectively had no opportunity to examine and challenge at hearings.</w:t>
      </w:r>
    </w:p>
    <w:p>
      <w:pPr>
        <w:pStyle w:val="Normal"/>
        <w:tabs>
          <w:tab w:val="clear" w:pos="720"/>
          <w:tab w:val="left" w:pos="0" w:leader="none"/>
        </w:tabs>
        <w:spacing w:lineRule="auto" w:line="360"/>
        <w:ind w:firstLine="720" w:end="0"/>
        <w:rPr/>
      </w:pPr>
      <w:r>
        <w:rPr/>
        <w:t>In any case, an examination of this claim shows it is without merit.  Ms. Yap’s Exhibit 109 shows core summer injections of 55 Bcf.  This was with a 70 Bcf November 1 storage target, but the Comprehensive Settlement reduces core inventory storage rights to 55 Bcf.  To arrive at a 55 Bcf November 1 inventory, the core would have needed in 1999 to inject only 40 Bcf over the summer, considering the its winter-ending level of gas in storage on March 31, 1999.  327 MMcfd of injection rights would allow the core to inject 10 Bcf/month (327 times 30.4 days/month).  The core could have stayed within their injection rights by injecting 10 Bcf/month from April-July.  This way, they would only incur the 11 cent higher cost for July shown in Exhibit 109 for 10 Bcf ($1.1 MM).  However, under the Comprehensive Settlement Agreement, the core could sell its unneeded firm injection over the August-October period.  If the core sold only 257 MMcfd of firm injection rights</w:t>
      </w:r>
      <w:r>
        <w:rPr>
          <w:rStyle w:val="FootnoteCharacters"/>
          <w:rStyle w:val="FootnoteReference"/>
        </w:rPr>
        <w:footnoteReference w:id="27"/>
      </w:r>
      <w:r>
        <w:rPr/>
        <w:t>, at only 50% of the current tariff (8.7 cents/mcf/day), this nearly 24 Bcf of August-October firm injection capacity would be worth over $2 million.  Conceivably, core customers might come out ahead, not behind, from the allocation of 327 MMcfd of injection rights.  For current purposes, however, SoCalGas and SDG&amp;E will reflect only a zero net impact on this issue.</w:t>
      </w:r>
    </w:p>
    <w:p>
      <w:pPr>
        <w:pStyle w:val="Normal"/>
        <w:tabs>
          <w:tab w:val="clear" w:pos="720"/>
          <w:tab w:val="left" w:pos="0" w:leader="none"/>
        </w:tabs>
        <w:spacing w:lineRule="auto" w:line="360"/>
        <w:ind w:firstLine="720" w:end="0"/>
        <w:rPr/>
      </w:pPr>
      <w:r>
        <w:rPr/>
      </w:r>
    </w:p>
    <w:p>
      <w:pPr>
        <w:pStyle w:val="Normal"/>
        <w:tabs>
          <w:tab w:val="clear" w:pos="720"/>
          <w:tab w:val="left" w:pos="0" w:leader="none"/>
        </w:tabs>
        <w:spacing w:lineRule="auto" w:line="360"/>
        <w:ind w:firstLine="720" w:end="0"/>
        <w:rPr/>
      </w:pPr>
      <w:r>
        <w:rPr/>
      </w:r>
    </w:p>
    <w:p>
      <w:pPr>
        <w:pStyle w:val="Heading5"/>
        <w:tabs>
          <w:tab w:val="clear" w:pos="0"/>
          <w:tab w:val="left" w:pos="720" w:leader="none"/>
        </w:tabs>
        <w:spacing w:lineRule="auto" w:line="240"/>
        <w:ind w:hanging="634" w:start="1354" w:end="0"/>
        <w:rPr/>
      </w:pPr>
      <w:r>
        <w:rPr/>
        <w:t>7.  The Comprehensive Settlement benefits retail core customers by its allocation of intrastate backbone capacity at Topock</w:t>
      </w:r>
    </w:p>
    <w:p>
      <w:pPr>
        <w:pStyle w:val="Normal"/>
        <w:tabs>
          <w:tab w:val="clear" w:pos="720"/>
          <w:tab w:val="left" w:pos="0" w:leader="none"/>
        </w:tabs>
        <w:spacing w:lineRule="auto" w:line="360"/>
        <w:ind w:firstLine="720" w:end="0"/>
        <w:rPr/>
      </w:pPr>
      <w:r>
        <w:rPr/>
      </w:r>
    </w:p>
    <w:p>
      <w:pPr>
        <w:pStyle w:val="Normal"/>
        <w:tabs>
          <w:tab w:val="clear" w:pos="720"/>
          <w:tab w:val="left" w:pos="0" w:leader="none"/>
        </w:tabs>
        <w:spacing w:lineRule="auto" w:line="360"/>
        <w:ind w:firstLine="720" w:end="0"/>
        <w:rPr/>
      </w:pPr>
      <w:r>
        <w:rPr/>
        <w:t>In its table, TURN simply ignores the benefit the Comprehensive Settlement provides relative to the Post-Interim in terms of allocation of a disproportionately large share of relatively desirable intrastate backbone transmission capacity at Topock.  The Comprehensive Settlement gives core 290 MMcfd of backbone at Topock, about 90 MMcfd more than a share proportional to retail core throughput as a percentage of system total.  Mr. Pocta of ORA put a value on this 90 MMcfd of about $2.8 million annually (Exhibit No.4, p.11).  TURN’s table fails to reflect this significant amount, which does not work to support TURN’s position.</w:t>
      </w:r>
    </w:p>
    <w:p>
      <w:pPr>
        <w:pStyle w:val="Normal"/>
        <w:tabs>
          <w:tab w:val="clear" w:pos="720"/>
          <w:tab w:val="left" w:pos="0" w:leader="none"/>
        </w:tabs>
        <w:spacing w:lineRule="auto" w:line="360"/>
        <w:ind w:firstLine="720" w:end="0"/>
        <w:rPr/>
      </w:pPr>
      <w:r>
        <w:rPr/>
      </w:r>
    </w:p>
    <w:p>
      <w:pPr>
        <w:pStyle w:val="Normal"/>
        <w:tabs>
          <w:tab w:val="left" w:pos="720" w:leader="none"/>
        </w:tabs>
        <w:ind w:hanging="540" w:start="1260" w:end="0"/>
        <w:rPr>
          <w:b/>
          <w:bCs/>
        </w:rPr>
      </w:pPr>
      <w:r>
        <w:rPr>
          <w:b/>
          <w:bCs/>
        </w:rPr>
        <w:t>8.  The allocation of the cost of the Montebello field under the Comprehensive Settlement does not shift total costs to core customers.</w:t>
      </w:r>
    </w:p>
    <w:p>
      <w:pPr>
        <w:pStyle w:val="Normal"/>
        <w:tabs>
          <w:tab w:val="clear" w:pos="720"/>
          <w:tab w:val="left" w:pos="0" w:leader="none"/>
        </w:tabs>
        <w:spacing w:lineRule="auto" w:line="360"/>
        <w:ind w:firstLine="720" w:end="0"/>
        <w:rPr>
          <w:b/>
          <w:bCs/>
        </w:rPr>
      </w:pPr>
      <w:r>
        <w:rPr>
          <w:b/>
          <w:bCs/>
        </w:rPr>
      </w:r>
    </w:p>
    <w:p>
      <w:pPr>
        <w:pStyle w:val="Normal"/>
        <w:tabs>
          <w:tab w:val="clear" w:pos="720"/>
          <w:tab w:val="left" w:pos="0" w:leader="none"/>
        </w:tabs>
        <w:spacing w:lineRule="auto" w:line="360"/>
        <w:ind w:firstLine="720" w:end="0"/>
        <w:rPr/>
      </w:pPr>
      <w:r>
        <w:rPr/>
        <w:t>TURN’s inclusion of Montebello on Line 8 of its table on p.67 is incorrect for several reasons.  First, it is part of the $4.7 million figure TURN shows on the first line because Montebello is now all recovered in the LRMC scaling.  Second, assuming the Commission allows SoCalGas to sell or abandon Montebello per the pending application (which TURN presumably supports given its claim the field is not used or useful and should be removed from rates), the field will be removed from rates no later than SoCalGas’ next PBR/Cost of Service proceeding and any impact will be for only the beginning of the settlement period.  Finally, and most importantly, as described above, the Comprehensive Settlement and Post-Interim Settlement both preserve the total class cost allocation results of the recent BCAP decision, including the cost of Montebello.</w:t>
      </w:r>
    </w:p>
    <w:p>
      <w:pPr>
        <w:pStyle w:val="Normal"/>
        <w:tabs>
          <w:tab w:val="clear" w:pos="720"/>
          <w:tab w:val="left" w:pos="0" w:leader="none"/>
        </w:tabs>
        <w:spacing w:lineRule="auto" w:line="360"/>
        <w:ind w:firstLine="720" w:end="0"/>
        <w:rPr/>
      </w:pPr>
      <w:r>
        <w:rPr/>
      </w:r>
    </w:p>
    <w:p>
      <w:pPr>
        <w:pStyle w:val="Heading5"/>
        <w:tabs>
          <w:tab w:val="clear" w:pos="0"/>
          <w:tab w:val="left" w:pos="1080" w:leader="none"/>
        </w:tabs>
        <w:spacing w:lineRule="auto" w:line="240"/>
        <w:ind w:hanging="634" w:start="1354" w:end="0"/>
        <w:rPr/>
      </w:pPr>
      <w:r>
        <w:rPr/>
        <w:t>9.  When properly revised, TURN Table 3 shows the Comprehensive Settlement is preferable to the Post-Interim settlement with respect to cost allocation to retail core customers.</w:t>
      </w:r>
    </w:p>
    <w:p>
      <w:pPr>
        <w:pStyle w:val="Normal"/>
        <w:tabs>
          <w:tab w:val="clear" w:pos="720"/>
          <w:tab w:val="left" w:pos="0" w:leader="none"/>
        </w:tabs>
        <w:spacing w:lineRule="auto" w:line="360"/>
        <w:ind w:firstLine="720" w:end="0"/>
        <w:rPr/>
      </w:pPr>
      <w:r>
        <w:rPr/>
      </w:r>
    </w:p>
    <w:p>
      <w:pPr>
        <w:pStyle w:val="Normal"/>
        <w:tabs>
          <w:tab w:val="clear" w:pos="720"/>
          <w:tab w:val="left" w:pos="0" w:leader="none"/>
        </w:tabs>
        <w:spacing w:lineRule="auto" w:line="360"/>
        <w:ind w:firstLine="720" w:end="0"/>
        <w:rPr/>
      </w:pPr>
      <w:r>
        <w:rPr/>
        <w:t>Given the above analysis, the table on p.67 of TURN’s brief can and should be modified to present a true picture, as shown in the table below:</w:t>
      </w:r>
      <w:r>
        <w:br w:type="page"/>
      </w:r>
    </w:p>
    <w:p>
      <w:pPr>
        <w:pStyle w:val="BodyTextIndent3"/>
        <w:rPr>
          <w:b/>
          <w:bCs/>
        </w:rPr>
      </w:pPr>
      <w:r>
        <w:rPr>
          <w:b/>
          <w:bCs/>
        </w:rPr>
      </w:r>
    </w:p>
    <w:p>
      <w:pPr>
        <w:pStyle w:val="BodyTextIndent3"/>
        <w:rPr/>
      </w:pPr>
      <w:r>
        <w:rPr>
          <w:b/>
          <w:bCs/>
        </w:rPr>
        <w:t xml:space="preserve">Revised TURN Table 3:  Quantifiable </w:t>
      </w:r>
      <w:r>
        <w:rPr>
          <w:b/>
          <w:bCs/>
          <w:u w:val="single"/>
        </w:rPr>
        <w:t>benefits</w:t>
      </w:r>
      <w:r>
        <w:rPr>
          <w:b/>
          <w:bCs/>
        </w:rPr>
        <w:t xml:space="preserve"> to retail core of the CSA over the Post-Interim Settlement</w:t>
      </w:r>
    </w:p>
    <w:p>
      <w:pPr>
        <w:pStyle w:val="Normal"/>
        <w:tabs>
          <w:tab w:val="clear" w:pos="720"/>
          <w:tab w:val="left" w:pos="0" w:leader="none"/>
        </w:tabs>
        <w:ind w:start="720" w:end="0"/>
        <w:rPr>
          <w:b/>
          <w:bCs/>
        </w:rPr>
      </w:pPr>
      <w:r>
        <w:rPr>
          <w:b/>
          <w:bCs/>
        </w:rPr>
      </w:r>
    </w:p>
    <w:tbl>
      <w:tblPr>
        <w:tblW w:w="8856" w:type="dxa"/>
        <w:jc w:val="start"/>
        <w:tblInd w:w="0" w:type="dxa"/>
        <w:tblLayout w:type="fixed"/>
        <w:tblCellMar>
          <w:top w:w="0" w:type="dxa"/>
          <w:start w:w="108" w:type="dxa"/>
          <w:bottom w:w="0" w:type="dxa"/>
          <w:end w:w="108" w:type="dxa"/>
        </w:tblCellMar>
      </w:tblPr>
      <w:tblGrid>
        <w:gridCol w:w="2952"/>
        <w:gridCol w:w="2952"/>
        <w:gridCol w:w="2952"/>
      </w:tblGrid>
      <w:tr>
        <w:trPr/>
        <w:tc>
          <w:tcPr>
            <w:tcW w:w="2952" w:type="dxa"/>
            <w:tcBorders>
              <w:top w:val="single" w:sz="6" w:space="0" w:color="000000"/>
              <w:start w:val="single" w:sz="6" w:space="0" w:color="000000"/>
              <w:bottom w:val="single" w:sz="6" w:space="0" w:color="000000"/>
              <w:end w:val="single" w:sz="6" w:space="0" w:color="000000"/>
            </w:tcBorders>
          </w:tcPr>
          <w:p>
            <w:pPr>
              <w:pStyle w:val="Heading4"/>
              <w:ind w:hanging="0" w:start="0"/>
              <w:rPr/>
            </w:pPr>
            <w:r>
              <w:rPr/>
              <w:t>Cost</w:t>
            </w:r>
          </w:p>
        </w:tc>
        <w:tc>
          <w:tcPr>
            <w:tcW w:w="2952" w:type="dxa"/>
            <w:tcBorders>
              <w:top w:val="single" w:sz="6" w:space="0" w:color="000000"/>
              <w:start w:val="single" w:sz="6" w:space="0" w:color="000000"/>
              <w:bottom w:val="single" w:sz="6" w:space="0" w:color="000000"/>
              <w:end w:val="single" w:sz="6" w:space="0" w:color="000000"/>
            </w:tcBorders>
          </w:tcPr>
          <w:p>
            <w:pPr>
              <w:pStyle w:val="Heading4"/>
              <w:ind w:hanging="0" w:start="0"/>
              <w:rPr/>
            </w:pPr>
            <w:r>
              <w:rPr/>
              <w:t>Nature of Cost</w:t>
            </w:r>
          </w:p>
        </w:tc>
        <w:tc>
          <w:tcPr>
            <w:tcW w:w="2952" w:type="dxa"/>
            <w:tcBorders>
              <w:top w:val="single" w:sz="6" w:space="0" w:color="000000"/>
              <w:start w:val="single" w:sz="6" w:space="0" w:color="000000"/>
              <w:bottom w:val="single" w:sz="6" w:space="0" w:color="000000"/>
              <w:end w:val="single" w:sz="6" w:space="0" w:color="000000"/>
            </w:tcBorders>
          </w:tcPr>
          <w:p>
            <w:pPr>
              <w:pStyle w:val="Footer"/>
              <w:tabs>
                <w:tab w:val="clear" w:pos="4320"/>
                <w:tab w:val="clear" w:pos="8640"/>
                <w:tab w:val="left" w:pos="0" w:leader="none"/>
              </w:tabs>
              <w:rPr>
                <w:b/>
                <w:bCs/>
              </w:rPr>
            </w:pPr>
            <w:r>
              <w:rPr>
                <w:b/>
                <w:bCs/>
              </w:rPr>
              <w:t>Estimated Annual Benefit Amount</w:t>
            </w:r>
          </w:p>
        </w:tc>
      </w:tr>
      <w:tr>
        <w:trPr/>
        <w:tc>
          <w:tcPr>
            <w:tcW w:w="2952"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0" w:leader="none"/>
              </w:tabs>
              <w:rPr/>
            </w:pPr>
            <w:r>
              <w:rPr/>
              <w:t xml:space="preserve">Unbundling </w:t>
            </w:r>
          </w:p>
          <w:p>
            <w:pPr>
              <w:pStyle w:val="Normal"/>
              <w:tabs>
                <w:tab w:val="clear" w:pos="720"/>
                <w:tab w:val="left" w:pos="0" w:leader="none"/>
              </w:tabs>
              <w:rPr/>
            </w:pPr>
            <w:r>
              <w:rPr/>
              <w:t xml:space="preserve">Transmission on </w:t>
            </w:r>
          </w:p>
          <w:p>
            <w:pPr>
              <w:pStyle w:val="Normal"/>
              <w:tabs>
                <w:tab w:val="clear" w:pos="720"/>
                <w:tab w:val="left" w:pos="0" w:leader="none"/>
              </w:tabs>
              <w:rPr/>
            </w:pPr>
            <w:r>
              <w:rPr/>
              <w:t>Embedded Cost</w:t>
            </w:r>
          </w:p>
        </w:tc>
        <w:tc>
          <w:tcPr>
            <w:tcW w:w="2952"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0" w:leader="none"/>
              </w:tabs>
              <w:rPr/>
            </w:pPr>
            <w:r>
              <w:rPr/>
              <w:t>No net difference from total BCAP allocations</w:t>
            </w:r>
          </w:p>
        </w:tc>
        <w:tc>
          <w:tcPr>
            <w:tcW w:w="2952"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0" w:leader="none"/>
              </w:tabs>
              <w:rPr/>
            </w:pPr>
            <w:r>
              <w:rPr/>
              <w:t>$0</w:t>
            </w:r>
          </w:p>
        </w:tc>
      </w:tr>
      <w:tr>
        <w:trPr/>
        <w:tc>
          <w:tcPr>
            <w:tcW w:w="2952"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0" w:leader="none"/>
              </w:tabs>
              <w:rPr/>
            </w:pPr>
            <w:r>
              <w:rPr/>
              <w:t>Unbundling Storage</w:t>
            </w:r>
          </w:p>
          <w:p>
            <w:pPr>
              <w:pStyle w:val="Normal"/>
              <w:tabs>
                <w:tab w:val="clear" w:pos="720"/>
                <w:tab w:val="left" w:pos="0" w:leader="none"/>
              </w:tabs>
              <w:rPr/>
            </w:pPr>
            <w:r>
              <w:rPr/>
              <w:t>On Embedded Cost</w:t>
            </w:r>
          </w:p>
        </w:tc>
        <w:tc>
          <w:tcPr>
            <w:tcW w:w="2952"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0" w:leader="none"/>
              </w:tabs>
              <w:rPr/>
            </w:pPr>
            <w:r>
              <w:rPr/>
              <w:t>No net difference from total BCAP allocations</w:t>
            </w:r>
          </w:p>
        </w:tc>
        <w:tc>
          <w:tcPr>
            <w:tcW w:w="2952"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0" w:leader="none"/>
              </w:tabs>
              <w:rPr/>
            </w:pPr>
            <w:r>
              <w:rPr/>
              <w:t>$0</w:t>
            </w:r>
          </w:p>
        </w:tc>
      </w:tr>
      <w:tr>
        <w:trPr/>
        <w:tc>
          <w:tcPr>
            <w:tcW w:w="2952"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0" w:leader="none"/>
              </w:tabs>
              <w:rPr/>
            </w:pPr>
            <w:r>
              <w:rPr/>
              <w:t>Less Storage</w:t>
            </w:r>
          </w:p>
          <w:p>
            <w:pPr>
              <w:pStyle w:val="Normal"/>
              <w:tabs>
                <w:tab w:val="clear" w:pos="720"/>
                <w:tab w:val="left" w:pos="0" w:leader="none"/>
              </w:tabs>
              <w:rPr/>
            </w:pPr>
            <w:r>
              <w:rPr/>
              <w:t>Inventory</w:t>
            </w:r>
          </w:p>
        </w:tc>
        <w:tc>
          <w:tcPr>
            <w:tcW w:w="2952"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0" w:leader="none"/>
              </w:tabs>
              <w:rPr/>
            </w:pPr>
            <w:r>
              <w:rPr/>
              <w:t>Core allocated 15 Bcf less inventory that is not worth replacing</w:t>
            </w:r>
          </w:p>
        </w:tc>
        <w:tc>
          <w:tcPr>
            <w:tcW w:w="2952"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0" w:leader="none"/>
              </w:tabs>
              <w:rPr/>
            </w:pPr>
            <w:r>
              <w:rPr/>
              <w:t>$0</w:t>
            </w:r>
          </w:p>
        </w:tc>
      </w:tr>
      <w:tr>
        <w:trPr/>
        <w:tc>
          <w:tcPr>
            <w:tcW w:w="2952"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0" w:leader="none"/>
              </w:tabs>
              <w:rPr/>
            </w:pPr>
            <w:r>
              <w:rPr/>
              <w:t>Additional Transmission Capacity</w:t>
            </w:r>
          </w:p>
        </w:tc>
        <w:tc>
          <w:tcPr>
            <w:tcW w:w="2952"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0" w:leader="none"/>
              </w:tabs>
              <w:rPr/>
            </w:pPr>
            <w:r>
              <w:rPr/>
              <w:t>Broker/buy difference between 1,000 MMcfd and need at 120% rate</w:t>
            </w:r>
          </w:p>
        </w:tc>
        <w:tc>
          <w:tcPr>
            <w:tcW w:w="2952"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0" w:leader="none"/>
              </w:tabs>
              <w:rPr/>
            </w:pPr>
            <w:r>
              <w:rPr/>
              <w:t>$3.3 million</w:t>
            </w:r>
          </w:p>
        </w:tc>
      </w:tr>
      <w:tr>
        <w:trPr/>
        <w:tc>
          <w:tcPr>
            <w:tcW w:w="2952"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0" w:leader="none"/>
              </w:tabs>
              <w:rPr/>
            </w:pPr>
            <w:r>
              <w:rPr/>
              <w:t>Stranded Interstate Capacity (Mismatch)</w:t>
            </w:r>
          </w:p>
        </w:tc>
        <w:tc>
          <w:tcPr>
            <w:tcW w:w="2952"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0" w:leader="none"/>
              </w:tabs>
              <w:rPr/>
            </w:pPr>
            <w:r>
              <w:rPr/>
              <w:t>No mismatch of retail core intrastate and interstate capacity</w:t>
            </w:r>
          </w:p>
        </w:tc>
        <w:tc>
          <w:tcPr>
            <w:tcW w:w="2952"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0" w:leader="none"/>
              </w:tabs>
              <w:rPr/>
            </w:pPr>
            <w:r>
              <w:rPr/>
              <w:t>$0</w:t>
            </w:r>
          </w:p>
        </w:tc>
      </w:tr>
      <w:tr>
        <w:trPr/>
        <w:tc>
          <w:tcPr>
            <w:tcW w:w="2952"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0" w:leader="none"/>
              </w:tabs>
              <w:rPr/>
            </w:pPr>
            <w:r>
              <w:rPr/>
              <w:t>Allocation to noncore of stranded core interstate cost</w:t>
            </w:r>
          </w:p>
        </w:tc>
        <w:tc>
          <w:tcPr>
            <w:tcW w:w="2952"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0" w:leader="none"/>
              </w:tabs>
              <w:rPr/>
            </w:pPr>
            <w:r>
              <w:rPr/>
              <w:t>$5 million shifted to noncore in 2001, prorated for term</w:t>
            </w:r>
          </w:p>
        </w:tc>
        <w:tc>
          <w:tcPr>
            <w:tcW w:w="2952"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0" w:leader="none"/>
              </w:tabs>
              <w:rPr/>
            </w:pPr>
            <w:r>
              <w:rPr/>
              <w:t>$500,000</w:t>
            </w:r>
          </w:p>
        </w:tc>
      </w:tr>
      <w:tr>
        <w:trPr/>
        <w:tc>
          <w:tcPr>
            <w:tcW w:w="2952"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0" w:leader="none"/>
              </w:tabs>
              <w:rPr/>
            </w:pPr>
            <w:r>
              <w:rPr/>
              <w:t>Gas Commodity Cost</w:t>
            </w:r>
          </w:p>
        </w:tc>
        <w:tc>
          <w:tcPr>
            <w:tcW w:w="2952"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0" w:leader="none"/>
              </w:tabs>
              <w:rPr/>
            </w:pPr>
            <w:r>
              <w:rPr/>
              <w:t xml:space="preserve">TURN overstates lost opportunities and does not include ability to broker injection </w:t>
            </w:r>
          </w:p>
        </w:tc>
        <w:tc>
          <w:tcPr>
            <w:tcW w:w="2952"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0" w:leader="none"/>
              </w:tabs>
              <w:rPr/>
            </w:pPr>
            <w:r>
              <w:rPr/>
              <w:t>$0</w:t>
            </w:r>
          </w:p>
        </w:tc>
      </w:tr>
      <w:tr>
        <w:trPr/>
        <w:tc>
          <w:tcPr>
            <w:tcW w:w="2952"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0" w:leader="none"/>
              </w:tabs>
              <w:rPr/>
            </w:pPr>
            <w:r>
              <w:rPr/>
              <w:t>Disproportionately large retail core allocation of backbone at Topock</w:t>
            </w:r>
          </w:p>
        </w:tc>
        <w:tc>
          <w:tcPr>
            <w:tcW w:w="2952"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0" w:leader="none"/>
              </w:tabs>
              <w:rPr/>
            </w:pPr>
            <w:r>
              <w:rPr/>
              <w:t>Retail core gets 290 MMcfd of 540 backbone MMcfd at Topock</w:t>
            </w:r>
          </w:p>
        </w:tc>
        <w:tc>
          <w:tcPr>
            <w:tcW w:w="2952"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0" w:leader="none"/>
              </w:tabs>
              <w:rPr/>
            </w:pPr>
            <w:r>
              <w:rPr/>
              <w:t>$2.8 million</w:t>
            </w:r>
          </w:p>
        </w:tc>
      </w:tr>
      <w:tr>
        <w:trPr/>
        <w:tc>
          <w:tcPr>
            <w:tcW w:w="2952"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0" w:leader="none"/>
              </w:tabs>
              <w:rPr/>
            </w:pPr>
            <w:r>
              <w:rPr/>
              <w:t>Montebello</w:t>
            </w:r>
          </w:p>
        </w:tc>
        <w:tc>
          <w:tcPr>
            <w:tcW w:w="2952"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0" w:leader="none"/>
              </w:tabs>
              <w:rPr/>
            </w:pPr>
            <w:r>
              <w:rPr/>
              <w:t>No net difference from total BCAP allocations</w:t>
            </w:r>
          </w:p>
        </w:tc>
        <w:tc>
          <w:tcPr>
            <w:tcW w:w="2952"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0" w:leader="none"/>
              </w:tabs>
              <w:rPr/>
            </w:pPr>
            <w:r>
              <w:rPr/>
              <w:t>$0</w:t>
            </w:r>
          </w:p>
        </w:tc>
      </w:tr>
      <w:tr>
        <w:trPr/>
        <w:tc>
          <w:tcPr>
            <w:tcW w:w="2952" w:type="dxa"/>
            <w:tcBorders>
              <w:top w:val="single" w:sz="6" w:space="0" w:color="000000"/>
              <w:start w:val="single" w:sz="6" w:space="0" w:color="000000"/>
              <w:bottom w:val="single" w:sz="6" w:space="0" w:color="000000"/>
              <w:end w:val="single" w:sz="6" w:space="0" w:color="000000"/>
            </w:tcBorders>
          </w:tcPr>
          <w:p>
            <w:pPr>
              <w:pStyle w:val="Heading4"/>
              <w:ind w:hanging="0" w:start="0"/>
              <w:rPr>
                <w:b w:val="false"/>
                <w:bCs w:val="false"/>
              </w:rPr>
            </w:pPr>
            <w:r>
              <w:rPr>
                <w:b w:val="false"/>
                <w:bCs w:val="false"/>
              </w:rPr>
              <w:t>Interstate Stranded Cost Allocation w/in Core</w:t>
            </w:r>
          </w:p>
        </w:tc>
        <w:tc>
          <w:tcPr>
            <w:tcW w:w="2952" w:type="dxa"/>
            <w:tcBorders>
              <w:top w:val="single" w:sz="6" w:space="0" w:color="000000"/>
              <w:start w:val="single" w:sz="6" w:space="0" w:color="000000"/>
              <w:bottom w:val="single" w:sz="6" w:space="0" w:color="000000"/>
              <w:end w:val="single" w:sz="6" w:space="0" w:color="000000"/>
            </w:tcBorders>
          </w:tcPr>
          <w:p>
            <w:pPr>
              <w:pStyle w:val="Footer"/>
              <w:tabs>
                <w:tab w:val="clear" w:pos="4320"/>
                <w:tab w:val="clear" w:pos="8640"/>
                <w:tab w:val="left" w:pos="0" w:leader="none"/>
              </w:tabs>
              <w:rPr/>
            </w:pPr>
            <w:r>
              <w:rPr/>
              <w:t>Post-Interim allocates more stranded cost to CTAs</w:t>
            </w:r>
          </w:p>
        </w:tc>
        <w:tc>
          <w:tcPr>
            <w:tcW w:w="2952"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0" w:leader="none"/>
              </w:tabs>
              <w:rPr/>
            </w:pPr>
            <w:r>
              <w:rPr/>
              <w:t>-$2.5 million</w:t>
            </w:r>
          </w:p>
        </w:tc>
      </w:tr>
      <w:tr>
        <w:trPr/>
        <w:tc>
          <w:tcPr>
            <w:tcW w:w="2952" w:type="dxa"/>
            <w:tcBorders>
              <w:top w:val="single" w:sz="6" w:space="0" w:color="000000"/>
              <w:start w:val="single" w:sz="6" w:space="0" w:color="000000"/>
              <w:bottom w:val="single" w:sz="6" w:space="0" w:color="000000"/>
              <w:end w:val="single" w:sz="6" w:space="0" w:color="000000"/>
            </w:tcBorders>
          </w:tcPr>
          <w:p>
            <w:pPr>
              <w:pStyle w:val="Heading4"/>
              <w:ind w:hanging="0" w:start="0"/>
              <w:rPr/>
            </w:pPr>
            <w:r>
              <w:rPr/>
              <w:t>TOTAL CSA BENEFITS</w:t>
            </w:r>
          </w:p>
        </w:tc>
        <w:tc>
          <w:tcPr>
            <w:tcW w:w="2952"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0" w:leader="none"/>
              </w:tabs>
              <w:snapToGrid w:val="false"/>
              <w:rPr/>
            </w:pPr>
            <w:r>
              <w:rPr/>
            </w:r>
          </w:p>
        </w:tc>
        <w:tc>
          <w:tcPr>
            <w:tcW w:w="2952"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0" w:leader="none"/>
              </w:tabs>
              <w:rPr>
                <w:b/>
                <w:bCs/>
              </w:rPr>
            </w:pPr>
            <w:r>
              <w:rPr>
                <w:b/>
                <w:bCs/>
              </w:rPr>
              <w:t>$4.1 million</w:t>
            </w:r>
          </w:p>
        </w:tc>
      </w:tr>
    </w:tbl>
    <w:p>
      <w:pPr>
        <w:pStyle w:val="BodyText2"/>
        <w:tabs>
          <w:tab w:val="clear" w:pos="720"/>
          <w:tab w:val="left" w:pos="0" w:leader="none"/>
        </w:tabs>
        <w:spacing w:lineRule="auto" w:line="360"/>
        <w:rPr/>
      </w:pPr>
      <w:r>
        <w:rPr/>
      </w:r>
    </w:p>
    <w:p>
      <w:pPr>
        <w:pStyle w:val="BodyText2"/>
        <w:tabs>
          <w:tab w:val="clear" w:pos="720"/>
          <w:tab w:val="left" w:pos="0" w:leader="none"/>
        </w:tabs>
        <w:spacing w:lineRule="auto" w:line="360"/>
        <w:rPr/>
      </w:pPr>
      <w:r>
        <w:rPr/>
        <w:t>The bottom line is that quantifiable effects of the Comprehensive Settlement on costs to core customers is more favorable than the Post-Interim Settlement.</w:t>
      </w:r>
    </w:p>
    <w:p>
      <w:pPr>
        <w:pStyle w:val="Normal"/>
        <w:tabs>
          <w:tab w:val="clear" w:pos="720"/>
          <w:tab w:val="left" w:pos="0" w:leader="none"/>
        </w:tabs>
        <w:spacing w:lineRule="auto" w:line="360"/>
        <w:ind w:firstLine="720" w:end="0"/>
        <w:rPr/>
      </w:pPr>
      <w:r>
        <w:rPr/>
        <w:t xml:space="preserve">The Comprehensive Settlement is also more favorable than the Post-Interim Settlement to </w:t>
      </w:r>
      <w:r>
        <w:rPr>
          <w:u w:val="single"/>
        </w:rPr>
        <w:t>retail</w:t>
      </w:r>
      <w:r>
        <w:rPr/>
        <w:t xml:space="preserve"> core customers, although the difference is less because of the differences in allocating core interstate pipeline costs between retail core and core transportation customers.  The reason why the Comprehensive Settlement is more reasonable on this point was discussed in SoCalGas/SDG&amp;E’s opening brief at pp.86-89, and is also discussed in Section II. of this reply brief below.</w:t>
      </w:r>
    </w:p>
    <w:p>
      <w:pPr>
        <w:pStyle w:val="Normal"/>
        <w:tabs>
          <w:tab w:val="clear" w:pos="720"/>
          <w:tab w:val="left" w:pos="0" w:leader="none"/>
        </w:tabs>
        <w:spacing w:lineRule="auto" w:line="360"/>
        <w:ind w:firstLine="720" w:end="0"/>
        <w:rPr/>
      </w:pPr>
      <w:r>
        <w:rPr/>
        <w:t>Relative to the status quo, the Comprehensive Settlement is clearly preferable for bundled core customers, largely because it relieves core customers of their current liability for ITCS effective in 2002.</w:t>
      </w:r>
    </w:p>
    <w:p>
      <w:pPr>
        <w:pStyle w:val="Normal"/>
        <w:tabs>
          <w:tab w:val="clear" w:pos="720"/>
          <w:tab w:val="left" w:pos="0" w:leader="none"/>
        </w:tabs>
        <w:spacing w:lineRule="auto" w:line="360"/>
        <w:ind w:firstLine="720" w:end="0"/>
        <w:rPr/>
      </w:pPr>
      <w:r>
        <w:rPr/>
        <w:t>For customers as a whole, the Comprehensive Settlement provides non-quantifiable benefits not afforded by the Post-Interim Settlement.  It allows individual customers to tailor services to meet their individual needs, and it enables increased competition in more dimensions of gas service.</w:t>
      </w:r>
    </w:p>
    <w:p>
      <w:pPr>
        <w:pStyle w:val="Normal"/>
        <w:tabs>
          <w:tab w:val="clear" w:pos="720"/>
          <w:tab w:val="left" w:pos="0" w:leader="none"/>
        </w:tabs>
        <w:spacing w:lineRule="auto" w:line="360"/>
        <w:ind w:firstLine="720" w:end="0"/>
        <w:rPr/>
      </w:pPr>
      <w:r>
        <w:rPr/>
      </w:r>
    </w:p>
    <w:p>
      <w:pPr>
        <w:pStyle w:val="Normal"/>
        <w:tabs>
          <w:tab w:val="clear" w:pos="720"/>
          <w:tab w:val="left" w:pos="0" w:leader="none"/>
        </w:tabs>
        <w:spacing w:lineRule="auto" w:line="360"/>
        <w:ind w:firstLine="720" w:end="0"/>
        <w:rPr/>
      </w:pPr>
      <w:r>
        <w:rPr/>
      </w:r>
    </w:p>
    <w:p>
      <w:pPr>
        <w:pStyle w:val="Heading2"/>
        <w:rPr/>
      </w:pPr>
      <w:r>
        <w:rPr/>
        <w:t>SOCALGAS CORE INTERSTATE CAPACITY UNBUNDLING</w:t>
      </w:r>
    </w:p>
    <w:p>
      <w:pPr>
        <w:pStyle w:val="Normal"/>
        <w:rPr/>
      </w:pPr>
      <w:r>
        <w:rPr/>
      </w:r>
    </w:p>
    <w:p>
      <w:pPr>
        <w:pStyle w:val="BodyText2"/>
        <w:spacing w:lineRule="auto" w:line="360"/>
        <w:rPr/>
      </w:pPr>
      <w:r>
        <w:rPr/>
        <w:t>TURN’s brief correctly concludes that under either settlement the Commission’s objective to unbundle interstate capacity from core transport rates is satisfied (p. 14).  As far as it goes, TURN is also correct that, as the Commission anticipated in the “promising options” decision, core transport customers could derive substantial benefits by means of an unbundled rate where interstate capacity could be available to them at market rates.</w:t>
      </w:r>
    </w:p>
    <w:p>
      <w:pPr>
        <w:pStyle w:val="BodyText2"/>
        <w:spacing w:lineRule="auto" w:line="360"/>
        <w:rPr/>
      </w:pPr>
      <w:r>
        <w:rPr/>
        <w:t xml:space="preserve">Indeed, as TURN correctly points out, the “difference” between the two settlements is in the subsequent allocation of the stranded costs that result from the unbundling of interstate capacity from core rates in the first place.  Conspicuously absent from TURN’s characterization of these differences, however, is the acknowledgement that the allocation of stranded costs proposed in the Post-Interim Settlement does not follow conventional cost allocation methodology previously approved by the Commission, while the Comprehensive Settlement does. </w:t>
      </w:r>
    </w:p>
    <w:p>
      <w:pPr>
        <w:pStyle w:val="BodyText2"/>
        <w:spacing w:lineRule="auto" w:line="360"/>
        <w:rPr/>
      </w:pPr>
      <w:r>
        <w:rPr/>
        <w:t xml:space="preserve">While the Post-Interim Settlement makes a good show of supporting the promising option of unbundling interstate capacity in such a manner that will encourage development of the retail energy commodity market, it does so in a manner which is largely illusory.  Because the Post-Interim Settlement, by virtue of an unorthodox 50/50 allocation scheme, allocates a disproportionate share of the stranded costs that result from the unbundling of core interstate capacity back to the very customers to whom the benefits of the unbundling were intended by the Commission in the first place, it would stifle third-party competition and the development of the retail market.  (SoCalGas/SDG&amp;E Opening Brief, pp. 88-89).  </w:t>
      </w:r>
    </w:p>
    <w:p>
      <w:pPr>
        <w:pStyle w:val="BodyText2"/>
        <w:spacing w:lineRule="auto" w:line="360"/>
        <w:rPr/>
      </w:pPr>
      <w:r>
        <w:rPr/>
        <w:t xml:space="preserve">Nor should the Commission be misled by the protestations set forth in the Opening Brief of SCGC where the “do-nothing” outcome preferred in the Post-Interim Settlement is referred to as the “more measured” approach to the Commission’s desire, expressed as a “promising option,” to promote competition (p. 93).  According to SCGC, the “subsidy” to encourage competition provided for in the Comprehensive Settlement is excessive because it exceeds the “subsidy” that would result from the Post-Interim Settlement (p. 93).  And for TURN, the difference is “unprecedented and unwarranted” because it would exceed the result of the Post-Interim Settlement. (p.20)  </w:t>
      </w:r>
    </w:p>
    <w:p>
      <w:pPr>
        <w:pStyle w:val="BodyTextIndent2"/>
        <w:spacing w:before="0" w:after="0"/>
        <w:ind w:firstLine="810" w:end="0"/>
        <w:rPr>
          <w:rFonts w:ascii="Courier New" w:hAnsi="Courier New" w:eastAsia="Courier New" w:cs="Courier New"/>
        </w:rPr>
      </w:pPr>
      <w:r>
        <w:rPr>
          <w:rFonts w:eastAsia="Courier New" w:cs="Courier New" w:ascii="Courier New" w:hAnsi="Courier New"/>
        </w:rPr>
        <w:t xml:space="preserve">Unlike the manipulative approach preferred by TURN and SCGC whereby the difference between the pipeline tariff rate and the market price of such capacity would not be permitted to define the benefit as a result of unbundling, the Comprehensive Settlement is fully responsive to the Commission’s objectives.  First by extending to CTAs, and by extension, to core customers, the very same opportunity to acquire capacity at market rates just as noncore customers have been permitted to do for many years, the Comprehensive Settlement simply fulfills the Commission’s objective to create for core customers an equal share of the benefits to be derived from a competitive market.  </w:t>
      </w:r>
    </w:p>
    <w:p>
      <w:pPr>
        <w:pStyle w:val="BodyText2"/>
        <w:spacing w:lineRule="auto" w:line="360"/>
        <w:rPr/>
      </w:pPr>
      <w:r>
        <w:rPr/>
        <w:t>Second, by allocating the shortfall created by unbundling core interstate capacity on the basis of customer class participation in the core aggregation program and equal cents per therm within the class, the Comprehensive Settlement achieves a traditional result by allocating the stranded costs to core customer classes (residential, nonresidential) in the same proportion that those customers participate in the core aggregation program.</w:t>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spacing w:lineRule="auto" w:line="360"/>
        <w:rPr/>
      </w:pPr>
      <w:r>
        <w:rPr/>
      </w:r>
    </w:p>
    <w:p>
      <w:pPr>
        <w:pStyle w:val="Heading2"/>
        <w:rPr/>
      </w:pPr>
      <w:r>
        <w:rPr/>
        <w:t>“</w:t>
      </w:r>
      <w:r>
        <w:rPr/>
        <w:t>RETAIL” PROMISING OPTIONS</w:t>
      </w:r>
    </w:p>
    <w:p>
      <w:pPr>
        <w:pStyle w:val="Normal"/>
        <w:rPr/>
      </w:pPr>
      <w:r>
        <w:rPr/>
      </w:r>
    </w:p>
    <w:p>
      <w:pPr>
        <w:pStyle w:val="Normal"/>
        <w:rPr/>
      </w:pPr>
      <w:r>
        <w:rPr/>
      </w:r>
    </w:p>
    <w:p>
      <w:pPr>
        <w:pStyle w:val="Heading3"/>
        <w:spacing w:lineRule="auto" w:line="240"/>
        <w:ind w:hanging="720" w:start="1440" w:end="0"/>
        <w:rPr>
          <w:rFonts w:ascii="Courier New" w:hAnsi="Courier New" w:eastAsia="Courier New" w:cs="Courier New"/>
          <w:b/>
          <w:bCs/>
        </w:rPr>
      </w:pPr>
      <w:r>
        <w:rPr>
          <w:rFonts w:eastAsia="Courier New" w:cs="Courier New" w:ascii="Courier New" w:hAnsi="Courier New"/>
          <w:b/>
          <w:bCs/>
        </w:rPr>
        <w:t>A.</w:t>
        <w:tab/>
        <w:t xml:space="preserve">PRICE DISCLOSURE ON CTA CONSOLIDATED BILLS IS NOT NECESSARY OR CONSISTENT WITH ELECTRIC REGULATION. </w:t>
      </w:r>
    </w:p>
    <w:p>
      <w:pPr>
        <w:pStyle w:val="Normal"/>
        <w:rPr>
          <w:rFonts w:ascii="Courier New" w:hAnsi="Courier New" w:eastAsia="Courier New" w:cs="Courier New"/>
          <w:b/>
          <w:bCs/>
        </w:rPr>
      </w:pPr>
      <w:r>
        <w:rPr>
          <w:rFonts w:eastAsia="Courier New" w:cs="Courier New"/>
          <w:b/>
          <w:bCs/>
        </w:rPr>
      </w:r>
    </w:p>
    <w:p>
      <w:pPr>
        <w:pStyle w:val="BodyText2"/>
        <w:spacing w:lineRule="auto" w:line="360"/>
        <w:rPr/>
      </w:pPr>
      <w:r>
        <w:rPr/>
        <w:t>TURN argues in its Opening Brief that core customers would be well-served if core aggregators (“CTAs” or “ESPs”) were required to furnish the current utility core procurement price in each end-user bill rendered by the aggregator (p. 59).  According to TURN, disclosure of the utility procurement price, or at least some market-index commodity price, would allow consumers to compare gas prices and avoid falling prey to aggregators who charge more, not less, than the utility.  TURN also suggests that such a requirement would create consistency with similar practices in effect for PG&amp;E.</w:t>
      </w:r>
    </w:p>
    <w:p>
      <w:pPr>
        <w:pStyle w:val="BodyTextIndent2"/>
        <w:spacing w:before="0" w:after="0"/>
        <w:ind w:firstLine="720" w:end="0"/>
        <w:rPr>
          <w:rFonts w:ascii="Courier New" w:hAnsi="Courier New" w:eastAsia="Courier New" w:cs="Courier New"/>
        </w:rPr>
      </w:pPr>
      <w:r>
        <w:rPr>
          <w:rFonts w:eastAsia="Courier New" w:cs="Courier New" w:ascii="Courier New" w:hAnsi="Courier New"/>
        </w:rPr>
        <w:t xml:space="preserve">While at first glance it may seem that there would be some merit to TURN’s proposal, closer inspection reveals that such a procedure would create more problems than it would solve.  In the first place, such a comparison would be likely to cause considerable customer confusion, primarily because of the apples-to-oranges nature of any such comparison due to differences in timing and other variables that affect the utility price as well as the aggregator price.  Inappropriate comparisons between transportation charges and procurement costs can also result in confusion to the customer.  </w:t>
      </w:r>
    </w:p>
    <w:p>
      <w:pPr>
        <w:pStyle w:val="BodyTextIndent2"/>
        <w:spacing w:before="0" w:after="0"/>
        <w:ind w:firstLine="720" w:end="0"/>
        <w:rPr>
          <w:rFonts w:ascii="Courier New" w:hAnsi="Courier New" w:eastAsia="Courier New" w:cs="Courier New"/>
        </w:rPr>
      </w:pPr>
      <w:r>
        <w:rPr>
          <w:rFonts w:eastAsia="Courier New" w:cs="Courier New" w:ascii="Courier New" w:hAnsi="Courier New"/>
        </w:rPr>
        <w:t xml:space="preserve">The fact that no similar requirement was imposed on electricity commodity providers in the Electric Restructuring proceeding is persuasive evidence that the potential for customer confusion there was sufficient to outweigh the consumer protection concern expressed by TURN in its brief here, if indeed the potential exists at all.  </w:t>
      </w:r>
    </w:p>
    <w:p>
      <w:pPr>
        <w:pStyle w:val="BodyTextIndent2"/>
        <w:spacing w:before="0" w:after="0"/>
        <w:ind w:firstLine="720" w:end="0"/>
        <w:rPr>
          <w:rFonts w:ascii="Courier New" w:hAnsi="Courier New" w:eastAsia="Courier New" w:cs="Courier New"/>
        </w:rPr>
      </w:pPr>
      <w:r>
        <w:rPr>
          <w:rFonts w:eastAsia="Courier New" w:cs="Courier New" w:ascii="Courier New" w:hAnsi="Courier New"/>
        </w:rPr>
        <w:t>There is also the prospect of creating customer confusion from a consistency perspective, as well, since many third-party commodity providers furnish both gas and electricity to customers, and present only one bill.  If a bill for both commodities were to reflect the utility charge for one commodity but not the other, even more confusion could result.</w:t>
      </w:r>
    </w:p>
    <w:p>
      <w:pPr>
        <w:pStyle w:val="BodyTextIndent2"/>
        <w:spacing w:before="0" w:after="0"/>
        <w:ind w:firstLine="720" w:end="0"/>
        <w:rPr>
          <w:rFonts w:ascii="Courier New" w:hAnsi="Courier New" w:eastAsia="Courier New" w:cs="Courier New"/>
        </w:rPr>
      </w:pPr>
      <w:r>
        <w:rPr>
          <w:rFonts w:eastAsia="Courier New" w:cs="Courier New" w:ascii="Courier New" w:hAnsi="Courier New"/>
        </w:rPr>
        <w:t>In this regard, SoCalGas/SDG&amp;E witness Nelson testified that he could see no consumer protection need for requiring aggregators to include the utility commodity charge on the aggregator bill to end-users, primarily because there will be sufficient price transparency in the marketplace to ensure sufficient consumer awareness and that aggregators offering uncompetitive rates will quickly become the instruments of their own demise (Tr.v.9, pp.1126-1127).</w:t>
      </w:r>
    </w:p>
    <w:p>
      <w:pPr>
        <w:pStyle w:val="BodyTextIndent2"/>
        <w:spacing w:before="0" w:after="0"/>
        <w:ind w:firstLine="720" w:end="0"/>
        <w:rPr>
          <w:rFonts w:ascii="Courier New" w:hAnsi="Courier New" w:eastAsia="Courier New" w:cs="Courier New"/>
        </w:rPr>
      </w:pPr>
      <w:r>
        <w:rPr>
          <w:rFonts w:eastAsia="Courier New" w:cs="Courier New" w:ascii="Courier New" w:hAnsi="Courier New"/>
        </w:rPr>
        <w:t xml:space="preserve">As far as PG&amp;E is concerned, while aggregators providing the gas commodity are required to disclose the current utility procurement rate in accordance with the PG&amp;E settlement, as TURN points out, the requirement may expire and should not be construed here as the basis for adopting a measure which our record shows would be confusing to customers and an unnecessary consumer protection.  </w:t>
      </w:r>
    </w:p>
    <w:p>
      <w:pPr>
        <w:pStyle w:val="BodyTextIndent2"/>
        <w:spacing w:before="0" w:after="0"/>
        <w:rPr>
          <w:rFonts w:ascii="Courier New" w:hAnsi="Courier New" w:eastAsia="Courier New" w:cs="Courier New"/>
        </w:rPr>
      </w:pPr>
      <w:r>
        <w:rPr>
          <w:rFonts w:eastAsia="Courier New" w:cs="Courier New" w:ascii="Courier New" w:hAnsi="Courier New"/>
        </w:rPr>
      </w:r>
    </w:p>
    <w:p>
      <w:pPr>
        <w:pStyle w:val="BodyText2"/>
        <w:ind w:hanging="547" w:start="1267" w:end="0"/>
        <w:rPr>
          <w:b/>
          <w:bCs/>
        </w:rPr>
      </w:pPr>
      <w:r>
        <w:rPr>
          <w:b/>
          <w:bCs/>
        </w:rPr>
        <w:t>B.  THE COMPREHENSIVE SETTLEMENT’S PROVISIONS ARE REASONABLE REGARDING RECOVERY OF THE COST TO IMPLEMENT RETAIL AND CORE INTERSTATE PROVISIONS.</w:t>
      </w:r>
    </w:p>
    <w:p>
      <w:pPr>
        <w:pStyle w:val="BodyTextIndent2"/>
        <w:spacing w:before="0" w:after="0"/>
        <w:ind w:firstLine="720" w:end="0"/>
        <w:rPr>
          <w:rFonts w:ascii="Courier New" w:hAnsi="Courier New" w:eastAsia="Courier New" w:cs="Courier New"/>
          <w:b/>
          <w:bCs/>
        </w:rPr>
      </w:pPr>
      <w:r>
        <w:rPr>
          <w:rFonts w:eastAsia="Courier New" w:cs="Courier New" w:ascii="Courier New" w:hAnsi="Courier New"/>
          <w:b/>
          <w:bCs/>
        </w:rPr>
      </w:r>
    </w:p>
    <w:p>
      <w:pPr>
        <w:pStyle w:val="BodyTextIndent2"/>
        <w:spacing w:before="0" w:after="0"/>
        <w:ind w:firstLine="720" w:end="0"/>
        <w:rPr>
          <w:rFonts w:ascii="Courier New" w:hAnsi="Courier New" w:eastAsia="Courier New" w:cs="Courier New"/>
        </w:rPr>
      </w:pPr>
      <w:r>
        <w:rPr>
          <w:rFonts w:eastAsia="Courier New" w:cs="Courier New" w:ascii="Courier New" w:hAnsi="Courier New"/>
        </w:rPr>
        <w:t>TURN at pp.59-61 of its opening brief attacks the provisions (Part I, Section 1.6.1.2 and 1.6.2.2) of the Comprehensive Settlement that would allow SoCalGas and SDG&amp;E to earn a regulated return on their actual capital investment to implement the retail and core interstate portions of the Comprehensive Settlement, effective with the effective date of their next PBR/Cost-of-Service decision.  This will not be before January 1, 2003 for both utilities.</w:t>
      </w:r>
    </w:p>
    <w:p>
      <w:pPr>
        <w:pStyle w:val="BodyTextIndent2"/>
        <w:spacing w:before="0" w:after="0"/>
        <w:ind w:firstLine="720" w:end="0"/>
        <w:rPr/>
      </w:pPr>
      <w:r>
        <w:rPr>
          <w:rFonts w:eastAsia="Courier New" w:cs="Courier New" w:ascii="Courier New" w:hAnsi="Courier New"/>
        </w:rPr>
        <w:t xml:space="preserve">TURN’s principal opposition is to the provision that would not allow “reasonableness review” of the amount that SoCalGas and SDG&amp;E spend on capital for this purpose.  One must consider the whole of the provisions related to retail implementation cost recovery when evaluating the reasonableness of the Comprehensive Settlement.  The Comprehensive Settlement allows SoCalGas and SDG&amp;E </w:t>
      </w:r>
      <w:r>
        <w:rPr>
          <w:rFonts w:eastAsia="Courier New" w:cs="Courier New" w:ascii="Courier New" w:hAnsi="Courier New"/>
          <w:u w:val="single"/>
        </w:rPr>
        <w:t>no</w:t>
      </w:r>
      <w:r>
        <w:rPr>
          <w:rFonts w:eastAsia="Courier New" w:cs="Courier New" w:ascii="Courier New" w:hAnsi="Courier New"/>
        </w:rPr>
        <w:t xml:space="preserve"> recovery in rates of retail/core interstate implementation costs prior to the effective date of their next PBR/Cost-of-Service proceedings.  That means that shareholders will absorb all retail/core interstate implementation costs for about two years.  This includes both O&amp;M costs and return, depreciation and taxes on capital investment.  SoCalGas and SDG&amp;E will have an incentive to minimize its capital investment in this period because it will earn no return on it until at least 2003.  In light of shareholder absorption of all retail/core interstate implementation costs in the first two years, it is reasonable not to subject SoCalGas and SDG&amp;E to reasonableness review of their capital spending for implementation in this period.</w:t>
      </w:r>
    </w:p>
    <w:p>
      <w:pPr>
        <w:pStyle w:val="BodyTextIndent2"/>
        <w:spacing w:before="0" w:after="0"/>
        <w:ind w:firstLine="720" w:end="0"/>
        <w:rPr>
          <w:rFonts w:ascii="Courier New" w:hAnsi="Courier New" w:eastAsia="Courier New" w:cs="Courier New"/>
        </w:rPr>
      </w:pPr>
      <w:r>
        <w:rPr>
          <w:rFonts w:eastAsia="Courier New" w:cs="Courier New" w:ascii="Courier New" w:hAnsi="Courier New"/>
        </w:rPr>
        <w:t>TURN’s citation of allowance of CIS costs in the last SoCalGas PBR is irrelevant.  This was a system that went into service in 1996.  Furthermore, the Commission allowed in rates in that decision only a percentage of its total capital cost because of the timing of when it went into service relative to the test year.  In fact, SoCalGas shareholders have absorbed the return, depreciation and taxes on a significant portion of that system while it has been fully functional to serve customers since 1996.</w:t>
      </w:r>
    </w:p>
    <w:p>
      <w:pPr>
        <w:pStyle w:val="BodyTextIndent2"/>
        <w:spacing w:before="0" w:after="0"/>
        <w:ind w:firstLine="720" w:end="0"/>
        <w:rPr>
          <w:rFonts w:ascii="Courier New" w:hAnsi="Courier New" w:eastAsia="Courier New" w:cs="Courier New"/>
        </w:rPr>
      </w:pPr>
      <w:r>
        <w:rPr>
          <w:rFonts w:eastAsia="Courier New" w:cs="Courier New" w:ascii="Courier New" w:hAnsi="Courier New"/>
        </w:rPr>
        <w:t>Finally, TURN says at p.61 there is no justification making SoCalGas ratepayers pay for the changes necessary for SDG&amp;E operations.  This statement makes no sense.  The Comprehensive Settlement provides for SoCalGas ratepayers to pay its post-2002 implementation costs in Part I, Section 1.6.1.2 and for SDG&amp;E customers to do the same for SDG&amp;E’s costs in Section 1.6.2.2.</w:t>
      </w:r>
    </w:p>
    <w:p>
      <w:pPr>
        <w:pStyle w:val="BodyTextIndent2"/>
        <w:spacing w:before="0" w:after="0"/>
        <w:rPr>
          <w:rFonts w:ascii="Courier New" w:hAnsi="Courier New" w:eastAsia="Courier New" w:cs="Courier New"/>
        </w:rPr>
      </w:pPr>
      <w:r>
        <w:rPr>
          <w:rFonts w:eastAsia="Courier New" w:cs="Courier New" w:ascii="Courier New" w:hAnsi="Courier New"/>
        </w:rPr>
      </w:r>
    </w:p>
    <w:p>
      <w:pPr>
        <w:pStyle w:val="BodyTextIndent2"/>
        <w:spacing w:before="0" w:after="0"/>
        <w:rPr>
          <w:rFonts w:ascii="Courier New" w:hAnsi="Courier New" w:eastAsia="Courier New" w:cs="Courier New"/>
        </w:rPr>
      </w:pPr>
      <w:r>
        <w:rPr>
          <w:rFonts w:eastAsia="Courier New" w:cs="Courier New" w:ascii="Courier New" w:hAnsi="Courier New"/>
        </w:rPr>
      </w:r>
    </w:p>
    <w:p>
      <w:pPr>
        <w:pStyle w:val="Heading2"/>
        <w:tabs>
          <w:tab w:val="clear" w:pos="720"/>
          <w:tab w:val="left" w:pos="1620" w:leader="none"/>
        </w:tabs>
        <w:ind w:hanging="900" w:start="1620" w:end="0"/>
        <w:rPr/>
      </w:pPr>
      <w:r>
        <w:rPr/>
        <w:t>ELIMINATION OF CORE SUBSCRITPION IMPLEMENTS PROMISING OPTIONS AND IS CONSISTENT WITH PG&amp;E.</w:t>
      </w:r>
    </w:p>
    <w:p>
      <w:pPr>
        <w:pStyle w:val="Normal"/>
        <w:rPr/>
      </w:pPr>
      <w:r>
        <w:rPr/>
      </w:r>
    </w:p>
    <w:p>
      <w:pPr>
        <w:pStyle w:val="BodyTextIndent2"/>
        <w:spacing w:before="0" w:after="0"/>
        <w:ind w:firstLine="720" w:end="0"/>
        <w:rPr>
          <w:rFonts w:ascii="Courier New" w:hAnsi="Courier New" w:eastAsia="Courier New" w:cs="Courier New"/>
        </w:rPr>
      </w:pPr>
      <w:r>
        <w:rPr>
          <w:rFonts w:eastAsia="Courier New" w:cs="Courier New" w:ascii="Courier New" w:hAnsi="Courier New"/>
        </w:rPr>
        <w:t>TURN suggests in its Opening Brief (p. 61) that the provision in the Comprehensive Settlement Agreement terminating the core subscription program will limit customer choice and force current core subscription customers to incur the transactions costs necessary to obtain desirable service packages from marketers.</w:t>
      </w:r>
    </w:p>
    <w:p>
      <w:pPr>
        <w:pStyle w:val="BodyText2"/>
        <w:spacing w:lineRule="auto" w:line="360"/>
        <w:rPr/>
      </w:pPr>
      <w:r>
        <w:rPr/>
        <w:t>TURN’s concerns are misplaced.  Existing core subscription customers will continue to have an equivalent number of choices as they do today, including the choice of core versus noncore service and the choice of whether to take procurement service from either the utility or a third-party provider.  If, as TURN submits, some of these customers will continue to value the reliability and ease of bundled utility service, they will have the option of becoming core customers.  On the other hand, should they wish to procure their gas from third parties, they will have the option of becoming noncore customers.</w:t>
      </w:r>
    </w:p>
    <w:p>
      <w:pPr>
        <w:pStyle w:val="BodyText2"/>
        <w:spacing w:lineRule="auto" w:line="360"/>
        <w:rPr/>
      </w:pPr>
      <w:r>
        <w:rPr/>
        <w:t>The PG&amp;E Gas Accord as approved by the Commission in 1997 eliminates core subscription service by PG&amp;E effective March 1, 2001, and the Commission confirmed that result less than three months ago when it approved the PG&amp;E January 28 settlement in D.00-05-049; see Section 3.9 at p.30 of the PG&amp;E January 28 settlement saying parties agree no further action is needed with respect to the scheduled termination of that service.  There is no reason the Commission should not approve the same for SoCalGas and SDG&amp;E.</w:t>
      </w:r>
    </w:p>
    <w:p>
      <w:pPr>
        <w:pStyle w:val="Normal"/>
        <w:spacing w:lineRule="auto" w:line="360"/>
        <w:rPr/>
      </w:pPr>
      <w:r>
        <w:rPr/>
      </w:r>
    </w:p>
    <w:p>
      <w:pPr>
        <w:pStyle w:val="Heading1"/>
        <w:tabs>
          <w:tab w:val="clear" w:pos="720"/>
          <w:tab w:val="left" w:pos="0" w:leader="none"/>
        </w:tabs>
        <w:spacing w:lineRule="auto" w:line="360"/>
        <w:ind w:hanging="720" w:start="720"/>
        <w:rPr/>
      </w:pPr>
      <w:r>
        <w:rPr/>
        <w:t>CONCLUSION</w:t>
      </w:r>
    </w:p>
    <w:p>
      <w:pPr>
        <w:pStyle w:val="Normal"/>
        <w:rPr/>
      </w:pPr>
      <w:r>
        <w:rPr/>
      </w:r>
    </w:p>
    <w:p>
      <w:pPr>
        <w:pStyle w:val="Normal"/>
        <w:spacing w:lineRule="auto" w:line="360"/>
        <w:rPr/>
      </w:pPr>
      <w:r>
        <w:rPr/>
        <w:tab/>
        <w:t>SoCalGas and SDG&amp;E have been highly responsive to the Commission’s direction in this proceeding.  They appreciate the cooperation and effort of other parties who worked to develop the Comprehensive Settlement.</w:t>
      </w:r>
    </w:p>
    <w:p>
      <w:pPr>
        <w:pStyle w:val="Normal"/>
        <w:spacing w:lineRule="auto" w:line="360"/>
        <w:ind w:firstLine="720" w:end="0"/>
        <w:rPr/>
      </w:pPr>
      <w:r>
        <w:rPr/>
        <w:t>The Comprehensive Settlement will be good for gas consumers.  It will give them more options and encourage competition to serve them.  It will provide consistency in the gas market in southern California with that already approved for northern California.  It will implement essentially every option identified by the Commission last year as promising for the southern California market.</w:t>
      </w:r>
    </w:p>
    <w:p>
      <w:pPr>
        <w:pStyle w:val="Normal"/>
        <w:spacing w:lineRule="auto" w:line="360"/>
        <w:ind w:firstLine="720" w:end="0"/>
        <w:rPr/>
      </w:pPr>
      <w:r>
        <w:rPr/>
        <w:t>The Interim Settlement is acceptable to SoCalGas and SDG&amp;E, but if approved, by its own terms it will require the Commission to immediately institute a new proceeding to consider “capacity-related” structural reforms to be effective on or after January 1, 2003, that are already contained in the Comprehensive Settlement.  Also, the Interim Settlement fails to address unbundling of SoCalGas’ core interstate capacity and “retail” matters covered by the Comprehensive Settlement, and the Commission would need to institute new proceedings to consider these issues for implementation even before January 1, 2003.</w:t>
      </w:r>
    </w:p>
    <w:p>
      <w:pPr>
        <w:pStyle w:val="Normal"/>
        <w:spacing w:lineRule="auto" w:line="360"/>
        <w:ind w:firstLine="720" w:end="0"/>
        <w:rPr/>
      </w:pPr>
      <w:r>
        <w:rPr/>
        <w:t>In no case should the Commission approve the ill-considered and unlawful Post-Interim Settlement.</w:t>
      </w:r>
    </w:p>
    <w:p>
      <w:pPr>
        <w:pStyle w:val="Normal"/>
        <w:spacing w:lineRule="auto" w:line="360"/>
        <w:ind w:firstLine="720" w:end="0"/>
        <w:rPr/>
      </w:pPr>
      <w:r>
        <w:rPr/>
        <w:t>SoCalGas and SDG&amp;E appreciate the Commission’s consideration of the facts and analysis they have presented in this proceeding.</w:t>
      </w:r>
    </w:p>
    <w:p>
      <w:pPr>
        <w:pStyle w:val="Normal"/>
        <w:spacing w:lineRule="auto" w:line="360"/>
        <w:jc w:val="center"/>
        <w:rPr>
          <w:b/>
          <w:bCs/>
        </w:rPr>
      </w:pPr>
      <w:r>
        <w:rPr>
          <w:b/>
          <w:bCs/>
        </w:rPr>
      </w:r>
    </w:p>
    <w:p>
      <w:pPr>
        <w:pStyle w:val="Normal"/>
        <w:spacing w:lineRule="auto" w:line="360"/>
        <w:jc w:val="center"/>
        <w:rPr>
          <w:b/>
          <w:bCs/>
        </w:rPr>
      </w:pPr>
      <w:r>
        <w:rPr>
          <w:b/>
          <w:bCs/>
        </w:rPr>
      </w:r>
    </w:p>
    <w:p>
      <w:pPr>
        <w:pStyle w:val="Footer"/>
        <w:tabs>
          <w:tab w:val="clear" w:pos="4320"/>
          <w:tab w:val="clear" w:pos="8640"/>
        </w:tabs>
        <w:spacing w:lineRule="auto" w:line="360"/>
        <w:rPr/>
      </w:pPr>
      <w:r>
        <w:rPr/>
        <w:tab/>
        <w:tab/>
        <w:tab/>
        <w:tab/>
        <w:tab/>
        <w:t>SOUTHERN CALIFORNIA GAS COMPANY</w:t>
      </w:r>
    </w:p>
    <w:p>
      <w:pPr>
        <w:pStyle w:val="Footer"/>
        <w:tabs>
          <w:tab w:val="clear" w:pos="4320"/>
          <w:tab w:val="clear" w:pos="8640"/>
        </w:tabs>
        <w:spacing w:lineRule="auto" w:line="360"/>
        <w:rPr/>
      </w:pPr>
      <w:r>
        <w:rPr/>
        <w:tab/>
        <w:tab/>
        <w:tab/>
        <w:tab/>
        <w:tab/>
        <w:t>SAN DIEGO GAS &amp; ELECTRIC COMPANY</w:t>
      </w:r>
    </w:p>
    <w:p>
      <w:pPr>
        <w:pStyle w:val="Footer"/>
        <w:tabs>
          <w:tab w:val="clear" w:pos="4320"/>
          <w:tab w:val="clear" w:pos="8640"/>
        </w:tabs>
        <w:spacing w:lineRule="auto" w:line="360"/>
        <w:rPr/>
      </w:pPr>
      <w:r>
        <w:rPr/>
      </w:r>
    </w:p>
    <w:p>
      <w:pPr>
        <w:pStyle w:val="Footer"/>
        <w:tabs>
          <w:tab w:val="clear" w:pos="4320"/>
          <w:tab w:val="clear" w:pos="8640"/>
        </w:tabs>
        <w:spacing w:lineRule="auto" w:line="360"/>
        <w:rPr/>
      </w:pPr>
      <w:r>
        <w:rPr/>
        <w:t xml:space="preserve">July 31, 2000      </w:t>
        <w:tab/>
        <w:tab/>
        <w:t>By:______________________________</w:t>
      </w:r>
    </w:p>
    <w:p>
      <w:pPr>
        <w:pStyle w:val="Footer"/>
        <w:tabs>
          <w:tab w:val="clear" w:pos="4320"/>
          <w:tab w:val="clear" w:pos="8640"/>
        </w:tabs>
        <w:spacing w:lineRule="auto" w:line="360"/>
        <w:rPr/>
      </w:pPr>
      <w:r>
        <w:rPr/>
        <w:tab/>
        <w:tab/>
        <w:tab/>
        <w:tab/>
        <w:tab/>
        <w:tab/>
        <w:t xml:space="preserve">  Glen J. Sullivan</w:t>
      </w:r>
    </w:p>
    <w:p>
      <w:pPr>
        <w:pStyle w:val="Footer"/>
        <w:tabs>
          <w:tab w:val="clear" w:pos="4320"/>
          <w:tab w:val="clear" w:pos="8640"/>
        </w:tabs>
        <w:spacing w:lineRule="auto" w:line="360"/>
        <w:rPr/>
      </w:pPr>
      <w:r>
        <w:rPr/>
      </w:r>
    </w:p>
    <w:p>
      <w:pPr>
        <w:pStyle w:val="Footer"/>
        <w:tabs>
          <w:tab w:val="clear" w:pos="4320"/>
          <w:tab w:val="clear" w:pos="8640"/>
        </w:tabs>
        <w:rPr/>
      </w:pPr>
      <w:r>
        <w:rPr/>
        <w:tab/>
        <w:tab/>
        <w:tab/>
        <w:tab/>
        <w:tab/>
        <w:t>David B. Follett</w:t>
      </w:r>
    </w:p>
    <w:p>
      <w:pPr>
        <w:pStyle w:val="Footer"/>
        <w:tabs>
          <w:tab w:val="clear" w:pos="4320"/>
          <w:tab w:val="clear" w:pos="8640"/>
        </w:tabs>
        <w:rPr/>
      </w:pPr>
      <w:r>
        <w:rPr/>
        <w:tab/>
        <w:tab/>
        <w:tab/>
        <w:tab/>
        <w:tab/>
        <w:t>Glen J. Sullivan</w:t>
      </w:r>
    </w:p>
    <w:p>
      <w:pPr>
        <w:pStyle w:val="Footer"/>
        <w:tabs>
          <w:tab w:val="clear" w:pos="4320"/>
          <w:tab w:val="clear" w:pos="8640"/>
        </w:tabs>
        <w:rPr/>
      </w:pPr>
      <w:r>
        <w:rPr/>
        <w:tab/>
        <w:tab/>
        <w:tab/>
        <w:tab/>
        <w:tab/>
        <w:t>Sempra Energy Law Department</w:t>
      </w:r>
    </w:p>
    <w:p>
      <w:pPr>
        <w:pStyle w:val="Footer"/>
        <w:tabs>
          <w:tab w:val="clear" w:pos="4320"/>
          <w:tab w:val="clear" w:pos="8640"/>
        </w:tabs>
        <w:rPr/>
      </w:pPr>
      <w:r>
        <w:rPr/>
        <w:tab/>
        <w:tab/>
        <w:tab/>
        <w:tab/>
        <w:tab/>
        <w:t>101 Ash Street</w:t>
      </w:r>
    </w:p>
    <w:p>
      <w:pPr>
        <w:pStyle w:val="Footer"/>
        <w:tabs>
          <w:tab w:val="clear" w:pos="4320"/>
          <w:tab w:val="clear" w:pos="8640"/>
        </w:tabs>
        <w:rPr/>
      </w:pPr>
      <w:r>
        <w:rPr/>
        <w:tab/>
        <w:tab/>
        <w:tab/>
        <w:tab/>
        <w:tab/>
        <w:t>San Diego, California  92101</w:t>
      </w:r>
    </w:p>
    <w:p>
      <w:pPr>
        <w:pStyle w:val="Footer"/>
        <w:tabs>
          <w:tab w:val="clear" w:pos="4320"/>
          <w:tab w:val="clear" w:pos="8640"/>
        </w:tabs>
        <w:rPr/>
      </w:pPr>
      <w:r>
        <w:rPr/>
        <w:tab/>
        <w:tab/>
        <w:tab/>
        <w:tab/>
        <w:tab/>
        <w:t>Telephone:  (619) 699-5162</w:t>
      </w:r>
    </w:p>
    <w:p>
      <w:pPr>
        <w:pStyle w:val="Footer"/>
        <w:tabs>
          <w:tab w:val="clear" w:pos="4320"/>
          <w:tab w:val="clear" w:pos="8640"/>
        </w:tabs>
        <w:rPr/>
      </w:pPr>
      <w:r>
        <w:rPr/>
        <w:tab/>
        <w:tab/>
        <w:tab/>
        <w:tab/>
        <w:tab/>
        <w:t>Fax:  (619) 699-5027</w:t>
      </w:r>
    </w:p>
    <w:p>
      <w:pPr>
        <w:pStyle w:val="Footer"/>
        <w:tabs>
          <w:tab w:val="clear" w:pos="4320"/>
          <w:tab w:val="clear" w:pos="8640"/>
        </w:tabs>
        <w:rPr/>
      </w:pPr>
      <w:r>
        <w:rPr/>
        <w:tab/>
        <w:tab/>
        <w:tab/>
        <w:tab/>
        <w:tab/>
        <w:t xml:space="preserve">E-mail:  </w:t>
      </w:r>
      <w:r>
        <w:rPr>
          <w:rStyle w:val="Hyperlink"/>
        </w:rPr>
        <w:t>dfollett@sempra.com</w:t>
      </w:r>
      <w:r>
        <w:rPr/>
        <w:t xml:space="preserve"> and</w:t>
      </w:r>
    </w:p>
    <w:p>
      <w:pPr>
        <w:pStyle w:val="Footer"/>
        <w:tabs>
          <w:tab w:val="clear" w:pos="4320"/>
          <w:tab w:val="clear" w:pos="8640"/>
        </w:tabs>
        <w:rPr/>
      </w:pPr>
      <w:r>
        <w:rPr/>
        <w:tab/>
        <w:tab/>
        <w:tab/>
        <w:tab/>
        <w:tab/>
        <w:tab/>
        <w:t xml:space="preserve">    gsullivan@sempra.com</w:t>
      </w:r>
    </w:p>
    <w:p>
      <w:pPr>
        <w:pStyle w:val="Footer"/>
        <w:tabs>
          <w:tab w:val="clear" w:pos="4320"/>
          <w:tab w:val="clear" w:pos="8640"/>
        </w:tabs>
        <w:rPr/>
      </w:pPr>
      <w:r>
        <w:rPr/>
      </w:r>
    </w:p>
    <w:p>
      <w:pPr>
        <w:pStyle w:val="Footer"/>
        <w:tabs>
          <w:tab w:val="clear" w:pos="4320"/>
          <w:tab w:val="clear" w:pos="8640"/>
        </w:tabs>
        <w:rPr/>
      </w:pPr>
      <w:r>
        <w:rPr/>
        <w:tab/>
        <w:tab/>
        <w:tab/>
        <w:tab/>
        <w:tab/>
        <w:t>Attorneys for</w:t>
      </w:r>
    </w:p>
    <w:p>
      <w:pPr>
        <w:pStyle w:val="Footer"/>
        <w:tabs>
          <w:tab w:val="clear" w:pos="4320"/>
          <w:tab w:val="clear" w:pos="8640"/>
        </w:tabs>
        <w:rPr/>
      </w:pPr>
      <w:r>
        <w:rPr/>
        <w:tab/>
        <w:tab/>
        <w:tab/>
        <w:tab/>
        <w:tab/>
        <w:t xml:space="preserve">Southern California Gas Company </w:t>
      </w:r>
    </w:p>
    <w:p>
      <w:pPr>
        <w:pStyle w:val="Footer"/>
        <w:tabs>
          <w:tab w:val="clear" w:pos="4320"/>
          <w:tab w:val="clear" w:pos="8640"/>
        </w:tabs>
        <w:ind w:start="3600" w:end="0"/>
        <w:rPr/>
      </w:pPr>
      <w:r>
        <w:rPr/>
        <w:t>and San Diego Gas &amp; Electric Company</w:t>
      </w:r>
    </w:p>
    <w:p>
      <w:pPr>
        <w:pStyle w:val="Footer"/>
        <w:tabs>
          <w:tab w:val="clear" w:pos="4320"/>
          <w:tab w:val="clear" w:pos="8640"/>
        </w:tabs>
        <w:spacing w:lineRule="auto" w:line="360"/>
        <w:rPr/>
      </w:pPr>
      <w:r>
        <w:rPr/>
      </w:r>
    </w:p>
    <w:sectPr>
      <w:headerReference w:type="default" r:id="rId8"/>
      <w:headerReference w:type="first" r:id="rId9"/>
      <w:footerReference w:type="default" r:id="rId10"/>
      <w:footerReference w:type="first" r:id="rId11"/>
      <w:footnotePr>
        <w:numFmt w:val="decimal"/>
      </w:footnotePr>
      <w:type w:val="nextPage"/>
      <w:pgSz w:w="12240" w:h="15840"/>
      <w:pgMar w:left="1800" w:right="1800" w:gutter="0" w:header="720" w:top="1440" w:footer="720" w:bottom="1440"/>
      <w:pgNumType w:start="1"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1"/>
    <w:family w:val="modern"/>
    <w:pitch w:val="default"/>
  </w:font>
  <w:font w:name="Times New Roman">
    <w:charset w:val="01"/>
    <w:family w:val="roman"/>
    <w:pitch w:val="variable"/>
  </w:font>
  <w:font w:name="Book Antiqua">
    <w:altName w:val="Times New Roman"/>
    <w:charset w:val="01"/>
    <w:family w:val="roman"/>
    <w:pitch w:val="variable"/>
  </w:font>
  <w:font w:name="TimesTe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2">
              <wp:simplePos x="0" y="0"/>
              <wp:positionH relativeFrom="margin">
                <wp:align>center</wp:align>
              </wp:positionH>
              <wp:positionV relativeFrom="paragraph">
                <wp:posOffset>635</wp:posOffset>
              </wp:positionV>
              <wp:extent cx="5486400" cy="347980"/>
              <wp:effectExtent l="0" t="0" r="0" b="0"/>
              <wp:wrapSquare wrapText="bothSides"/>
              <wp:docPr id="1" name="Frame1"/>
              <a:graphic xmlns:a="http://schemas.openxmlformats.org/drawingml/2006/main">
                <a:graphicData uri="http://schemas.microsoft.com/office/word/2010/wordprocessingShape">
                  <wps:wsp>
                    <wps:cNvSpPr txBox="1"/>
                    <wps:spPr>
                      <a:xfrm>
                        <a:off x="0" y="0"/>
                        <a:ext cx="5486400" cy="347980"/>
                      </a:xfrm>
                      <a:prstGeom prst="rect"/>
                      <a:solidFill>
                        <a:srgbClr val="FFFFFF">
                          <a:alpha val="0"/>
                        </a:srgbClr>
                      </a:solidFill>
                    </wps:spPr>
                    <wps:txbx>
                      <w:txbxContent>
                        <w:p>
                          <w:pPr>
                            <w:pStyle w:val="Footer"/>
                            <w:rPr>
                              <w:rStyle w:val="PageNumber"/>
                            </w:rPr>
                          </w:pPr>
                          <w:r>
                            <w:rPr/>
                          </w:r>
                        </w:p>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432pt;height:27.4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rStyle w:val="PageNumber"/>
                      </w:rPr>
                    </w:pPr>
                    <w:r>
                      <w:rPr/>
                    </w:r>
                  </w:p>
                  <w:p>
                    <w:pPr>
                      <w:pStyle w:val="Footer"/>
                      <w:rPr>
                        <w:rStyle w:val="PageNumber"/>
                      </w:rPr>
                    </w:pPr>
                    <w:r>
                      <w:rPr/>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5">
              <wp:simplePos x="0" y="0"/>
              <wp:positionH relativeFrom="margin">
                <wp:align>center</wp:align>
              </wp:positionH>
              <wp:positionV relativeFrom="paragraph">
                <wp:posOffset>635</wp:posOffset>
              </wp:positionV>
              <wp:extent cx="5486400" cy="347980"/>
              <wp:effectExtent l="0" t="0" r="0" b="0"/>
              <wp:wrapSquare wrapText="bothSides"/>
              <wp:docPr id="2" name="Frame2"/>
              <a:graphic xmlns:a="http://schemas.openxmlformats.org/drawingml/2006/main">
                <a:graphicData uri="http://schemas.microsoft.com/office/word/2010/wordprocessingShape">
                  <wps:wsp>
                    <wps:cNvSpPr txBox="1"/>
                    <wps:spPr>
                      <a:xfrm>
                        <a:off x="0" y="0"/>
                        <a:ext cx="5486400" cy="347980"/>
                      </a:xfrm>
                      <a:prstGeom prst="rect"/>
                      <a:solidFill>
                        <a:srgbClr val="FFFFFF">
                          <a:alpha val="0"/>
                        </a:srgbClr>
                      </a:solidFill>
                    </wps:spPr>
                    <wps:txbx>
                      <w:txbxContent>
                        <w:p>
                          <w:pPr>
                            <w:pStyle w:val="Footer"/>
                            <w:rPr>
                              <w:rStyle w:val="PageNumber"/>
                            </w:rPr>
                          </w:pPr>
                          <w:r>
                            <w:rPr/>
                          </w:r>
                        </w:p>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432pt;height:27.4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rStyle w:val="PageNumber"/>
                      </w:rPr>
                    </w:pPr>
                    <w:r>
                      <w:rPr/>
                    </w:r>
                  </w:p>
                  <w:p>
                    <w:pPr>
                      <w:pStyle w:val="Footer"/>
                      <w:rPr>
                        <w:rStyle w:val="PageNumber"/>
                      </w:rPr>
                    </w:pPr>
                    <w:r>
                      <w:rPr/>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105">
              <wp:simplePos x="0" y="0"/>
              <wp:positionH relativeFrom="margin">
                <wp:align>center</wp:align>
              </wp:positionH>
              <wp:positionV relativeFrom="paragraph">
                <wp:posOffset>635</wp:posOffset>
              </wp:positionV>
              <wp:extent cx="274955" cy="173990"/>
              <wp:effectExtent l="0" t="0" r="0" b="0"/>
              <wp:wrapSquare wrapText="bothSides"/>
              <wp:docPr id="3" name="Frame3"/>
              <a:graphic xmlns:a="http://schemas.openxmlformats.org/drawingml/2006/main">
                <a:graphicData uri="http://schemas.microsoft.com/office/word/2010/wordprocessingShape">
                  <wps:wsp>
                    <wps:cNvSpPr txBox="1"/>
                    <wps:spPr>
                      <a:xfrm>
                        <a:off x="0" y="0"/>
                        <a:ext cx="274955" cy="17399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101</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21.65pt;height:13.7pt;mso-wrap-distance-left:0pt;mso-wrap-distance-right:0pt;mso-wrap-distance-top:0pt;mso-wrap-distance-bottom:0pt;margin-top:0.05pt;mso-position-vertical-relative:text;margin-left:205.2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101</w:t>
                    </w:r>
                    <w:r>
                      <w:rPr>
                        <w:rStyle w:val="PageNumber"/>
                      </w:rPr>
                      <w:fldChar w:fldCharType="end"/>
                    </w:r>
                  </w:p>
                </w:txbxContent>
              </v:textbox>
              <w10:wrap type="square"/>
            </v:rect>
          </w:pict>
        </mc:Fallback>
      </mc:AlternateConten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Section 2.1.3.5 of the Comprehensive Settlement would accelerate by a maximum of two years negotiated storage contract pricing flexibility if SoCalGas divested sufficient storage capacity (not counting Montebello).  However, the Comprehensive Settlement in no way requires SoCalGas to propose or the Commission to approve any such divestiture.</w:t>
      </w:r>
    </w:p>
  </w:footnote>
  <w:footnote w:id="3">
    <w:p>
      <w:pPr>
        <w:pStyle w:val="FootnoteText"/>
        <w:rPr/>
      </w:pPr>
      <w:r>
        <w:rPr>
          <w:rStyle w:val="FootnoteCharacters"/>
        </w:rPr>
        <w:footnoteRef/>
      </w:r>
      <w:r>
        <w:rPr/>
        <w:t xml:space="preserve"> </w:t>
      </w:r>
      <w:r>
        <w:rPr/>
        <w:t>For instance, see SCGC opening brief at p.2, p.32, p.50, and p.68.</w:t>
      </w:r>
    </w:p>
  </w:footnote>
  <w:footnote w:id="4">
    <w:p>
      <w:pPr>
        <w:pStyle w:val="FootnoteText"/>
        <w:rPr/>
      </w:pPr>
      <w:r>
        <w:rPr>
          <w:rStyle w:val="FootnoteCharacters"/>
        </w:rPr>
        <w:footnoteRef/>
      </w:r>
      <w:r>
        <w:rPr/>
        <w:t xml:space="preserve"> </w:t>
      </w:r>
      <w:r>
        <w:rPr/>
        <w:t>The members of the Northern California Generation Coalition (for purposes of D.00-05-049 apparently consisting of the City of Redding, Modesto Irrigation District, Northern California Power Agency, Silicon Valley Power, and the Turlock Irrigation District) previously participated in R.98-01-011 as members of the “California Generation Coalition”, which included them and the members of the Southern California Generation Coalition as listed in its opening brief filed July 10, 2000.  The NCGC is represented by the same counsel as represented CGC and is representing SCGC.</w:t>
      </w:r>
    </w:p>
  </w:footnote>
  <w:footnote w:id="5">
    <w:p>
      <w:pPr>
        <w:pStyle w:val="FootnoteText"/>
        <w:rPr/>
      </w:pPr>
      <w:r>
        <w:rPr>
          <w:rStyle w:val="FootnoteCharacters"/>
        </w:rPr>
        <w:footnoteRef/>
      </w:r>
      <w:r>
        <w:rPr/>
        <w:t xml:space="preserve"> </w:t>
      </w:r>
      <w:r>
        <w:rPr/>
        <w:t>Subject to total core market “caps” and to certification of alternative means of providing reliable service.</w:t>
      </w:r>
    </w:p>
  </w:footnote>
  <w:footnote w:id="6">
    <w:p>
      <w:pPr>
        <w:pStyle w:val="FootnoteText"/>
        <w:rPr/>
      </w:pPr>
      <w:r>
        <w:rPr>
          <w:rStyle w:val="FootnoteCharacters"/>
        </w:rPr>
        <w:footnoteRef/>
      </w:r>
      <w:r>
        <w:rPr/>
        <w:t xml:space="preserve"> </w:t>
      </w:r>
      <w:r>
        <w:rPr/>
        <w:t>2305 MMcfd of on-system deliveries plus 299 MMcfd of off-system deliveries (e.g., to SoCalGas), p.21 of the 1999 CGR Supplement as revised by the 2000 CGR.</w:t>
      </w:r>
    </w:p>
  </w:footnote>
  <w:footnote w:id="7">
    <w:p>
      <w:pPr>
        <w:pStyle w:val="FootnoteText"/>
        <w:rPr/>
      </w:pPr>
      <w:r>
        <w:rPr>
          <w:rStyle w:val="FootnoteCharacters"/>
        </w:rPr>
        <w:footnoteRef/>
      </w:r>
      <w:r>
        <w:rPr/>
        <w:t xml:space="preserve"> </w:t>
      </w:r>
      <w:r>
        <w:rPr/>
        <w:t>As noted above, SCGC errs by dividing by the capacity rather than by demand.  Nevertheless, in the following paragraphs, SoCalGas and SDG&amp;E will use SCGC’s method to make comparison easier.  Since we are comparing the interstate and intrastate slack factors, using a consistent, although incorrect, methodology should not affect the relative values by much.</w:t>
      </w:r>
    </w:p>
  </w:footnote>
  <w:footnote w:id="8">
    <w:p>
      <w:pPr>
        <w:pStyle w:val="FootnoteText"/>
        <w:rPr/>
      </w:pPr>
      <w:r>
        <w:rPr>
          <w:rStyle w:val="FootnoteCharacters"/>
        </w:rPr>
        <w:footnoteRef/>
      </w:r>
      <w:r>
        <w:rPr/>
        <w:t xml:space="preserve"> </w:t>
      </w:r>
      <w:r>
        <w:rPr/>
        <w:t>This analysis ignores use of storage on PG&amp;E, but this capacity is relatively modest, and on an annual average basis storage injections and withdrawals are equal.</w:t>
      </w:r>
    </w:p>
  </w:footnote>
  <w:footnote w:id="9">
    <w:p>
      <w:pPr>
        <w:pStyle w:val="FootnoteText"/>
        <w:rPr/>
      </w:pPr>
      <w:r>
        <w:rPr>
          <w:rStyle w:val="FootnoteCharacters"/>
        </w:rPr>
        <w:footnoteRef/>
      </w:r>
      <w:r>
        <w:rPr/>
        <w:t xml:space="preserve"> </w:t>
      </w:r>
      <w:r>
        <w:rPr/>
        <w:t>The Commission also approved a 120% ceiling for negotiated “as-available” backbone transmission service by PG&amp;E in the Gas Accord; see 73 CPUC2d at 802-803.</w:t>
      </w:r>
    </w:p>
  </w:footnote>
  <w:footnote w:id="10">
    <w:p>
      <w:pPr>
        <w:pStyle w:val="FootnoteText"/>
        <w:rPr/>
      </w:pPr>
      <w:r>
        <w:rPr>
          <w:rStyle w:val="FootnoteCharacters"/>
        </w:rPr>
        <w:footnoteRef/>
      </w:r>
      <w:r>
        <w:rPr/>
        <w:t xml:space="preserve"> </w:t>
      </w:r>
      <w:r>
        <w:rPr/>
        <w:t>The record does not support a conclusion that SoCalGas and/or marketers could exercise market power even if they colluded.</w:t>
      </w:r>
    </w:p>
  </w:footnote>
  <w:footnote w:id="11">
    <w:p>
      <w:pPr>
        <w:pStyle w:val="FootnoteText"/>
        <w:rPr/>
      </w:pPr>
      <w:r>
        <w:rPr>
          <w:rStyle w:val="FootnoteCharacters"/>
        </w:rPr>
        <w:footnoteRef/>
      </w:r>
      <w:r>
        <w:rPr/>
        <w:t xml:space="preserve"> </w:t>
      </w:r>
      <w:r>
        <w:rPr/>
        <w:t>SoCalGas and SDG&amp;E wish to correct a calculation at p.32 of their opening brief.  In calculating the percentage of its peak load that Pasadena and Glendale contracted to serve with firm interstate capacity, SoCalGas and SDG&amp;E treated PG&amp;E NW and PG&amp;E CA capacity as additive.  On further consideration, it appears that ORA was correct in its brief in treating this capacity as not being additive (PG&amp;E NW capacity does not connect to SoCalGas, it just gets the gas to PG&amp;E CA capacity).  Thus ORA was correct in saying at p.20 of its brief that LADWP, Pasadena and Glendale contracted for only 34% to 38% of their peak demands.  (It would be just under 38% for Pasadena and Glendale.)  This is an even lower figure than had been erroneously calculated in SoCalGas/SDG&amp;E’s opening brief and makes SoCalGas/SDG&amp;E’s point even more powerfully.</w:t>
      </w:r>
    </w:p>
  </w:footnote>
  <w:footnote w:id="12">
    <w:p>
      <w:pPr>
        <w:pStyle w:val="FootnoteText"/>
        <w:rPr/>
      </w:pPr>
      <w:r>
        <w:rPr>
          <w:rStyle w:val="FootnoteCharacters"/>
        </w:rPr>
        <w:footnoteRef/>
      </w:r>
      <w:r>
        <w:rPr/>
        <w:t xml:space="preserve"> </w:t>
      </w:r>
      <w:r>
        <w:rPr/>
        <w:t>Consider the headings of sections in SCGC’s brief:  “The Revenues Needed to Offset the Increased Unit Costs Cannot Be Found Elsewhere by EGs”, and “The Price Squeeze Could Put Marginal Generator Units at Risk of Closure”.</w:t>
      </w:r>
    </w:p>
  </w:footnote>
  <w:footnote w:id="13">
    <w:p>
      <w:pPr>
        <w:pStyle w:val="FootnoteText"/>
        <w:rPr/>
      </w:pPr>
      <w:r>
        <w:rPr>
          <w:rStyle w:val="FootnoteCharacters"/>
        </w:rPr>
        <w:footnoteRef/>
      </w:r>
      <w:r>
        <w:rPr/>
        <w:t xml:space="preserve"> </w:t>
      </w:r>
      <w:r>
        <w:rPr/>
        <w:t>The risk is relative to the amount of backbone capacity allocated to the customer (esp., the 1,000 MMcfd allocated to retail core) rather than to BCAP-adopted core throughput.  Also, it will not take the full 1,000 MMcfd throughput to generate full shareholder cost recovery due to the 0.4 cent/dth premium for the 50/50 rate design option.</w:t>
      </w:r>
    </w:p>
  </w:footnote>
  <w:footnote w:id="14">
    <w:p>
      <w:pPr>
        <w:pStyle w:val="FootnoteText"/>
        <w:rPr/>
      </w:pPr>
      <w:r>
        <w:rPr>
          <w:rStyle w:val="FootnoteCharacters"/>
        </w:rPr>
        <w:footnoteRef/>
      </w:r>
      <w:r>
        <w:rPr/>
        <w:t xml:space="preserve"> </w:t>
      </w:r>
      <w:r>
        <w:rPr/>
        <w:t>SCGC’s citation at p.63 of its brief of the word “mandatory” in Section 6.3.1 of the Comprehensive Settlement at p.68 is irrelevant.  This section summarizes the Commission’s promising option from D.99-07-015 on the subject.  “Mandatory” is what the Commission said, not the operative provision of the Comprehensive Settlement.</w:t>
      </w:r>
    </w:p>
  </w:footnote>
  <w:footnote w:id="15">
    <w:p>
      <w:pPr>
        <w:pStyle w:val="FootnoteText"/>
        <w:rPr/>
      </w:pPr>
      <w:r>
        <w:rPr>
          <w:rStyle w:val="FootnoteCharacters"/>
        </w:rPr>
        <w:footnoteRef/>
      </w:r>
      <w:r>
        <w:rPr/>
        <w:t xml:space="preserve"> </w:t>
      </w:r>
      <w:r>
        <w:rPr/>
        <w:t>Somewhat more total dollars are also at risk for unbundled storage under the Comprehensive Settlement than under the BCAP.</w:t>
      </w:r>
    </w:p>
  </w:footnote>
  <w:footnote w:id="16">
    <w:p>
      <w:pPr>
        <w:pStyle w:val="FootnoteText"/>
        <w:rPr/>
      </w:pPr>
      <w:r>
        <w:rPr>
          <w:rStyle w:val="FootnoteCharacters"/>
        </w:rPr>
        <w:footnoteRef/>
      </w:r>
      <w:r>
        <w:rPr/>
        <w:t xml:space="preserve"> </w:t>
      </w:r>
      <w:r>
        <w:rPr/>
        <w:t>In the first open season, SoCalGas will offer at least 20% for only a one-year term and the remainder for a term that customers can bid of up to the full term of the settlement.  Subsequent open season will offer an amount equal to the amount offered for one year in the original open season.</w:t>
      </w:r>
    </w:p>
  </w:footnote>
  <w:footnote w:id="17">
    <w:p>
      <w:pPr>
        <w:pStyle w:val="FootnoteText"/>
        <w:rPr/>
      </w:pPr>
      <w:r>
        <w:rPr>
          <w:rStyle w:val="FootnoteCharacters"/>
        </w:rPr>
        <w:footnoteRef/>
      </w:r>
      <w:r>
        <w:rPr/>
        <w:t xml:space="preserve"> </w:t>
      </w:r>
      <w:r>
        <w:rPr/>
        <w:t>Because 120% of the sum produces a ceiling of $14.27 per dth per year of inventory, 100% would imply a level of about $11.89 ($14.27 / 120%).</w:t>
      </w:r>
    </w:p>
  </w:footnote>
  <w:footnote w:id="18">
    <w:p>
      <w:pPr>
        <w:pStyle w:val="FootnoteText"/>
        <w:rPr/>
      </w:pPr>
      <w:r>
        <w:rPr>
          <w:rStyle w:val="FootnoteCharacters"/>
        </w:rPr>
        <w:footnoteRef/>
      </w:r>
      <w:r>
        <w:rPr/>
        <w:t xml:space="preserve"> </w:t>
      </w:r>
      <w:r>
        <w:rPr/>
        <w:t>Conceivably, under the Post-Interim Settlement, a process for customer-specific OFOs could be developed and implemented through the OFO forum.</w:t>
      </w:r>
    </w:p>
  </w:footnote>
  <w:footnote w:id="19">
    <w:p>
      <w:pPr>
        <w:pStyle w:val="FootnoteText"/>
        <w:rPr/>
      </w:pPr>
      <w:r>
        <w:rPr>
          <w:rStyle w:val="FootnoteCharacters"/>
        </w:rPr>
        <w:footnoteRef/>
      </w:r>
      <w:r>
        <w:rPr/>
        <w:t xml:space="preserve"> </w:t>
      </w:r>
      <w:r>
        <w:rPr/>
        <w:t>SoCalGas is not guaranteed a reward, and must perform to justify one, under GCIM.  It can be penalized for poor performance.  Inclusion of hub revenues in GCIM does not guarantee it will produce a shareholder reward.</w:t>
      </w:r>
    </w:p>
  </w:footnote>
  <w:footnote w:id="20">
    <w:p>
      <w:pPr>
        <w:pStyle w:val="FootnoteText"/>
        <w:rPr/>
      </w:pPr>
      <w:r>
        <w:rPr>
          <w:rStyle w:val="FootnoteCharacters"/>
        </w:rPr>
        <w:footnoteRef/>
      </w:r>
      <w:r>
        <w:rPr/>
        <w:t xml:space="preserve"> </w:t>
      </w:r>
      <w:r>
        <w:rPr/>
        <w:t>As discussed below, there is no basis for SCGC’s suggestion that a 70 vs. 55 Bcf core inventory allocation would avoid an alleged need for the retail core to buy more than the 1,000 Bcf of backbone intrastate transmission it is allocated.</w:t>
      </w:r>
    </w:p>
  </w:footnote>
  <w:footnote w:id="21">
    <w:p>
      <w:pPr>
        <w:pStyle w:val="FootnoteText"/>
        <w:rPr/>
      </w:pPr>
      <w:r>
        <w:rPr>
          <w:rStyle w:val="FootnoteCharacters"/>
        </w:rPr>
        <w:footnoteRef/>
      </w:r>
      <w:r>
        <w:rPr/>
        <w:t xml:space="preserve"> </w:t>
      </w:r>
      <w:r>
        <w:rPr/>
        <w:t>TURN accepts this assumption, as noted in its Opening Brief at 69.</w:t>
      </w:r>
    </w:p>
  </w:footnote>
  <w:footnote w:id="22">
    <w:p>
      <w:pPr>
        <w:pStyle w:val="FootnoteText"/>
        <w:rPr/>
      </w:pPr>
      <w:r>
        <w:rPr>
          <w:rStyle w:val="FootnoteCharacters"/>
        </w:rPr>
        <w:footnoteRef/>
      </w:r>
      <w:r>
        <w:rPr/>
        <w:t xml:space="preserve"> </w:t>
      </w:r>
      <w:r>
        <w:rPr/>
        <w:t>There is also a minimum inventory requirement for January 31, of about 17 – 18 bcf.  At an even withdrawal rate of 318 mmcfd, the core would have 29 bcf of inventory at the end of January.  The even withdrawal assumption is very conservative, because the core will be able to vary its withdrawals by large amounts to avoid high price conditions or other limitations.</w:t>
      </w:r>
    </w:p>
  </w:footnote>
  <w:footnote w:id="23">
    <w:p>
      <w:pPr>
        <w:pStyle w:val="FootnoteText"/>
        <w:rPr/>
      </w:pPr>
      <w:r>
        <w:rPr>
          <w:rStyle w:val="FootnoteCharacters"/>
        </w:rPr>
        <w:footnoteRef/>
      </w:r>
      <w:r>
        <w:rPr/>
        <w:t xml:space="preserve"> </w:t>
      </w:r>
      <w:r>
        <w:rPr/>
        <w:t>These “retail” provisions are about to be implemented for PG&amp;E given the approval of its January 28, 2000, settlement in May in D.00-05-049.</w:t>
      </w:r>
    </w:p>
  </w:footnote>
  <w:footnote w:id="24">
    <w:p>
      <w:pPr>
        <w:pStyle w:val="FootnoteText"/>
        <w:rPr/>
      </w:pPr>
      <w:r>
        <w:rPr>
          <w:rStyle w:val="FootnoteCharacters"/>
        </w:rPr>
        <w:footnoteRef/>
      </w:r>
      <w:r>
        <w:rPr/>
        <w:t xml:space="preserve"> </w:t>
      </w:r>
      <w:r>
        <w:rPr/>
        <w:t>Certainly if the Comprehensive Settlement’s provisions on this issue are adopted.</w:t>
      </w:r>
    </w:p>
  </w:footnote>
  <w:footnote w:id="25">
    <w:p>
      <w:pPr>
        <w:pStyle w:val="FootnoteText"/>
        <w:rPr/>
      </w:pPr>
      <w:r>
        <w:rPr>
          <w:rStyle w:val="FootnoteCharacters"/>
        </w:rPr>
        <w:footnoteRef/>
      </w:r>
      <w:r>
        <w:rPr/>
        <w:t xml:space="preserve"> </w:t>
      </w:r>
      <w:r>
        <w:rPr/>
        <w:t>It should be noted for this calculation, TURN assumes a 10% CTA market share, which produces a larger difference.  TURN is being inconsistent in its assumptions for CTA market share in a manner that operates to its convenience.</w:t>
      </w:r>
    </w:p>
  </w:footnote>
  <w:footnote w:id="26">
    <w:p>
      <w:pPr>
        <w:pStyle w:val="FootnoteText"/>
        <w:rPr/>
      </w:pPr>
      <w:r>
        <w:rPr>
          <w:rStyle w:val="FootnoteCharacters"/>
        </w:rPr>
        <w:footnoteRef/>
      </w:r>
      <w:r>
        <w:rPr/>
        <w:t xml:space="preserve"> </w:t>
      </w:r>
      <w:r>
        <w:rPr/>
        <w:t>TURN erroneously states this number as 325 MMcfd at p.50 of its brief.  The 327 MMcfd number is in Section 2.1.3.1 at p.30 of the Comprehensive Settlement.</w:t>
      </w:r>
    </w:p>
  </w:footnote>
  <w:footnote w:id="27">
    <w:p>
      <w:pPr>
        <w:pStyle w:val="FootnoteText"/>
        <w:rPr/>
      </w:pPr>
      <w:r>
        <w:rPr>
          <w:rStyle w:val="FootnoteCharacters"/>
        </w:rPr>
        <w:footnoteRef/>
      </w:r>
      <w:r>
        <w:rPr/>
        <w:t xml:space="preserve"> </w:t>
      </w:r>
      <w:r>
        <w:rPr/>
        <w:t>Reserving 70 MMcfd for balancing, which is about 10% of the average daily core sendout.</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start"/>
      <w:pPr>
        <w:tabs>
          <w:tab w:val="num" w:pos="720"/>
        </w:tabs>
        <w:ind w:start="720" w:hanging="72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upperRoman"/>
      <w:lvlText w:val="%1."/>
      <w:lvlJc w:val="start"/>
      <w:pPr>
        <w:tabs>
          <w:tab w:val="num" w:pos="720"/>
        </w:tabs>
        <w:ind w:start="720" w:hanging="72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upperLetter"/>
      <w:lvlText w:val="%1."/>
      <w:lvlJc w:val="start"/>
      <w:pPr>
        <w:tabs>
          <w:tab w:val="num" w:pos="585"/>
        </w:tabs>
        <w:ind w:start="585" w:hanging="585"/>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2"/>
      <w:numFmt w:val="decimal"/>
      <w:lvlText w:val="%1."/>
      <w:lvlJc w:val="start"/>
      <w:pPr>
        <w:tabs>
          <w:tab w:val="num" w:pos="2025"/>
        </w:tabs>
        <w:ind w:start="2025" w:hanging="2025"/>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lowerLetter"/>
      <w:lvlText w:val="%1."/>
      <w:lvlJc w:val="start"/>
      <w:pPr>
        <w:tabs>
          <w:tab w:val="num" w:pos="2615"/>
        </w:tabs>
        <w:ind w:start="2615" w:hanging="2615"/>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2"/>
      <w:numFmt w:val="decimal"/>
      <w:lvlText w:val="%1."/>
      <w:lvlJc w:val="start"/>
      <w:pPr>
        <w:tabs>
          <w:tab w:val="num" w:pos="2025"/>
        </w:tabs>
        <w:ind w:start="2025" w:hanging="2025"/>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
    <w:lvl w:ilvl="0">
      <w:start w:val="1"/>
      <w:numFmt w:val="lowerLetter"/>
      <w:lvlText w:val="%1."/>
      <w:lvlJc w:val="start"/>
      <w:pPr>
        <w:tabs>
          <w:tab w:val="num" w:pos="2025"/>
        </w:tabs>
        <w:ind w:start="2025" w:hanging="2025"/>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
    <w:lvl w:ilvl="0">
      <w:start w:val="2"/>
      <w:numFmt w:val="decimal"/>
      <w:lvlText w:val="%1."/>
      <w:lvlJc w:val="start"/>
      <w:pPr>
        <w:tabs>
          <w:tab w:val="num" w:pos="2025"/>
        </w:tabs>
        <w:ind w:start="2025" w:hanging="2025"/>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9">
    <w:lvl w:ilvl="0">
      <w:start w:val="1"/>
      <w:numFmt w:val="decimal"/>
      <w:lvlText w:val="%1."/>
      <w:lvlJc w:val="start"/>
      <w:pPr>
        <w:tabs>
          <w:tab w:val="num" w:pos="1305"/>
        </w:tabs>
        <w:ind w:start="1305" w:hanging="1305"/>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0">
    <w:lvl w:ilvl="0">
      <w:start w:val="1"/>
      <w:numFmt w:val="decimal"/>
      <w:lvlText w:val="%1."/>
      <w:lvlJc w:val="start"/>
      <w:pPr>
        <w:tabs>
          <w:tab w:val="num" w:pos="1305"/>
        </w:tabs>
        <w:ind w:start="1305" w:hanging="1305"/>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ourier New" w:hAnsi="Courier New" w:eastAsia="Courier New" w:cs="Courier New"/>
      <w:color w:val="auto"/>
      <w:sz w:val="24"/>
      <w:szCs w:val="24"/>
      <w:lang w:val="en-US" w:eastAsia="zh-CN" w:bidi="hi-IN"/>
    </w:rPr>
  </w:style>
  <w:style w:type="paragraph" w:styleId="Heading1">
    <w:name w:val="heading 1"/>
    <w:basedOn w:val="Normal"/>
    <w:next w:val="Normal"/>
    <w:qFormat/>
    <w:pPr>
      <w:keepNext w:val="true"/>
      <w:numPr>
        <w:ilvl w:val="0"/>
        <w:numId w:val="1"/>
      </w:numPr>
      <w:tabs>
        <w:tab w:val="clear" w:pos="720"/>
      </w:tabs>
      <w:ind w:hanging="720" w:start="720"/>
      <w:jc w:val="center"/>
      <w:outlineLvl w:val="0"/>
    </w:pPr>
    <w:rPr>
      <w:b/>
      <w:bCs/>
    </w:rPr>
  </w:style>
  <w:style w:type="paragraph" w:styleId="Heading2">
    <w:name w:val="heading 2"/>
    <w:basedOn w:val="Normal"/>
    <w:next w:val="Normal"/>
    <w:qFormat/>
    <w:pPr>
      <w:keepNext w:val="true"/>
      <w:numPr>
        <w:ilvl w:val="1"/>
        <w:numId w:val="1"/>
      </w:numPr>
      <w:tabs>
        <w:tab w:val="left" w:pos="720" w:leader="none"/>
      </w:tabs>
      <w:ind w:hanging="720" w:start="720" w:end="0"/>
      <w:outlineLvl w:val="1"/>
    </w:pPr>
    <w:rPr>
      <w:b/>
      <w:bCs/>
    </w:rPr>
  </w:style>
  <w:style w:type="paragraph" w:styleId="Heading3">
    <w:name w:val="heading 3"/>
    <w:basedOn w:val="Normal"/>
    <w:next w:val="Normal"/>
    <w:qFormat/>
    <w:pPr>
      <w:keepNext w:val="true"/>
      <w:numPr>
        <w:ilvl w:val="2"/>
        <w:numId w:val="1"/>
      </w:numPr>
      <w:spacing w:lineRule="auto" w:line="360" w:before="0" w:after="120"/>
      <w:outlineLvl w:val="2"/>
    </w:pPr>
    <w:rPr>
      <w:rFonts w:ascii="Times New Roman" w:hAnsi="Times New Roman" w:eastAsia="Times New Roman" w:cs="Times New Roman"/>
    </w:rPr>
  </w:style>
  <w:style w:type="paragraph" w:styleId="Heading4">
    <w:name w:val="heading 4"/>
    <w:basedOn w:val="Normal"/>
    <w:next w:val="Normal"/>
    <w:qFormat/>
    <w:pPr>
      <w:keepNext w:val="true"/>
      <w:numPr>
        <w:ilvl w:val="3"/>
        <w:numId w:val="1"/>
      </w:numPr>
      <w:tabs>
        <w:tab w:val="clear" w:pos="720"/>
        <w:tab w:val="left" w:pos="0" w:leader="none"/>
      </w:tabs>
      <w:outlineLvl w:val="3"/>
    </w:pPr>
    <w:rPr>
      <w:b/>
      <w:bCs/>
    </w:rPr>
  </w:style>
  <w:style w:type="paragraph" w:styleId="Heading5">
    <w:name w:val="heading 5"/>
    <w:basedOn w:val="Normal"/>
    <w:next w:val="Normal"/>
    <w:qFormat/>
    <w:pPr>
      <w:keepNext w:val="true"/>
      <w:numPr>
        <w:ilvl w:val="4"/>
        <w:numId w:val="1"/>
      </w:numPr>
      <w:tabs>
        <w:tab w:val="clear" w:pos="720"/>
        <w:tab w:val="left" w:pos="0" w:leader="none"/>
      </w:tabs>
      <w:spacing w:lineRule="auto" w:line="360"/>
      <w:ind w:firstLine="720" w:start="0" w:end="0"/>
      <w:outlineLvl w:val="4"/>
    </w:pPr>
    <w:rPr>
      <w:b/>
      <w:bCs/>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Hyperlink">
    <w:name w:val="Hyperlink"/>
    <w:basedOn w:val="DefaultParagraphFont"/>
    <w:qFormat/>
    <w:rPr>
      <w:color w:val="0000FF"/>
      <w:u w:val="single"/>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jc w:val="center"/>
    </w:pPr>
    <w:rPr>
      <w:b/>
      <w:bCs/>
    </w:rPr>
  </w:style>
  <w:style w:type="paragraph" w:styleId="BodyText">
    <w:name w:val="Body Text"/>
    <w:basedOn w:val="Normal"/>
    <w:pPr>
      <w:spacing w:lineRule="exact" w:line="447"/>
    </w:pPr>
    <w:rPr>
      <w:rFonts w:ascii="Book Antiqua;Times New Roman" w:hAnsi="Book Antiqua;Times New Roman" w:eastAsia="Book Antiqua;Times New Roman" w:cs="Book Antiqua;Times New Roman"/>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rPr>
      <w:sz w:val="20"/>
      <w:szCs w:val="20"/>
    </w:rPr>
  </w:style>
  <w:style w:type="paragraph" w:styleId="BodyText2">
    <w:name w:val="Body Text 2"/>
    <w:basedOn w:val="Normal"/>
    <w:qFormat/>
    <w:pPr>
      <w:ind w:firstLine="720" w:start="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BlockText">
    <w:name w:val="Block Text"/>
    <w:basedOn w:val="Normal"/>
    <w:qFormat/>
    <w:pPr>
      <w:tabs>
        <w:tab w:val="left" w:pos="720" w:leader="none"/>
      </w:tabs>
      <w:ind w:firstLine="720" w:start="720" w:end="720"/>
    </w:pPr>
    <w:rPr/>
  </w:style>
  <w:style w:type="paragraph" w:styleId="BodyTextIndent2">
    <w:name w:val="Body Text Indent 2"/>
    <w:basedOn w:val="Normal"/>
    <w:qFormat/>
    <w:pPr>
      <w:spacing w:lineRule="auto" w:line="360" w:before="0" w:after="120"/>
      <w:ind w:firstLine="1440" w:start="0" w:end="0"/>
    </w:pPr>
    <w:rPr>
      <w:rFonts w:ascii="Times New Roman" w:hAnsi="Times New Roman" w:eastAsia="Times New Roman" w:cs="Times New Roman"/>
    </w:rPr>
  </w:style>
  <w:style w:type="paragraph" w:styleId="Document">
    <w:name w:val="_Document"/>
    <w:basedOn w:val="Normal"/>
    <w:qFormat/>
    <w:pPr>
      <w:widowControl w:val="false"/>
      <w:suppressLineNumbers/>
      <w:tabs>
        <w:tab w:val="clear" w:pos="720"/>
        <w:tab w:val="left" w:pos="0" w:leader="none"/>
        <w:tab w:val="left" w:pos="440" w:leader="none"/>
        <w:tab w:val="left" w:pos="620" w:leader="none"/>
      </w:tabs>
      <w:spacing w:lineRule="exact" w:line="240" w:before="20" w:after="0"/>
      <w:ind w:firstLine="440" w:start="0" w:end="0"/>
      <w:jc w:val="both"/>
    </w:pPr>
    <w:rPr>
      <w:rFonts w:ascii="TimesTen" w:hAnsi="TimesTen" w:eastAsia="TimesTen" w:cs="TimesTen"/>
      <w:sz w:val="22"/>
      <w:szCs w:val="22"/>
    </w:rPr>
  </w:style>
  <w:style w:type="paragraph" w:styleId="BodyTextIndent3">
    <w:name w:val="Body Text Indent 3"/>
    <w:basedOn w:val="Normal"/>
    <w:qFormat/>
    <w:pPr>
      <w:tabs>
        <w:tab w:val="clear" w:pos="720"/>
        <w:tab w:val="left" w:pos="0" w:leader="none"/>
      </w:tabs>
      <w:ind w:hanging="0" w:start="720" w:end="0"/>
    </w:pPr>
    <w:rPr/>
  </w:style>
  <w:style w:type="paragraph" w:styleId="WW-BodyText2">
    <w:name w:val="WW-Body Text 2"/>
    <w:basedOn w:val="Normal"/>
    <w:qFormat/>
    <w:pPr>
      <w:tabs>
        <w:tab w:val="left" w:pos="720" w:leader="none"/>
      </w:tabs>
      <w:spacing w:lineRule="auto" w:line="360"/>
      <w:ind w:hanging="0" w:start="0" w:end="720"/>
    </w:pPr>
    <w:rPr/>
  </w:style>
  <w:style w:type="paragraph" w:styleId="Header">
    <w:name w:val="header"/>
    <w:basedOn w:val="Normal"/>
    <w:pPr>
      <w:tabs>
        <w:tab w:val="clear" w:pos="720"/>
        <w:tab w:val="center" w:pos="4320" w:leader="none"/>
        <w:tab w:val="right" w:pos="8640" w:leader="none"/>
      </w:tabs>
    </w:pPr>
    <w:rPr/>
  </w:style>
  <w:style w:type="paragraph" w:styleId="Subtitle">
    <w:name w:val="Subtitle"/>
    <w:basedOn w:val="Normal"/>
    <w:next w:val="BodyText"/>
    <w:qFormat/>
    <w:pPr>
      <w:jc w:val="end"/>
    </w:pPr>
    <w:rPr>
      <w:rFonts w:ascii="Times New Roman" w:hAnsi="Times New Roman" w:eastAsia="Times New Roman" w:cs="Times New Roman"/>
      <w:b/>
      <w:bCs/>
      <w:u w:val="single"/>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7.xml"/><Relationship Id="rId11" Type="http://schemas.openxmlformats.org/officeDocument/2006/relationships/footer" Target="footer8.xml"/><Relationship Id="rId12" Type="http://schemas.openxmlformats.org/officeDocument/2006/relationships/footnotes" Target="footnotes.xml"/><Relationship Id="rId13" Type="http://schemas.openxmlformats.org/officeDocument/2006/relationships/numbering" Target="numbering.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347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2000-07-31T12:25:00Z</dcterms:created>
  <dc:creator>Sempra Energy</dc:creator>
  <dc:description/>
  <dc:language>en-CA</dc:language>
  <cp:lastModifiedBy>SEMPRA ENERGY</cp:lastModifiedBy>
  <cp:lastPrinted>2000-07-31T15:18:00Z</cp:lastPrinted>
  <dcterms:modified xsi:type="dcterms:W3CDTF">2000-07-31T19:53:00Z</dcterms:modified>
  <cp:revision>16</cp:revision>
  <dc:subject/>
  <dc:title>Draft – Sat</dc:title>
</cp:coreProperties>
</file>