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p>
      <w:pPr>
        <w:pStyle w:val="Normal"/>
        <w:jc w:val="center"/>
        <w:rPr>
          <w:b/>
          <w:bCs/>
        </w:rPr>
      </w:pPr>
      <w:r>
        <w:rPr>
          <w:b/>
          <w:bCs/>
        </w:rPr>
      </w:r>
    </w:p>
    <w:p>
      <w:pPr>
        <w:pStyle w:val="BodyText"/>
        <w:spacing w:lineRule="auto" w:line="240"/>
        <w:rPr>
          <w:rFonts w:ascii="Courier New" w:hAnsi="Courier New" w:eastAsia="Courier New" w:cs="Courier New"/>
          <w:b/>
          <w:bCs/>
        </w:rPr>
      </w:pPr>
      <w:r>
        <w:rPr>
          <w:rFonts w:eastAsia="Courier New" w:cs="Courier New" w:ascii="Courier New" w:hAnsi="Courier New"/>
          <w:b/>
          <w:bCs/>
        </w:rPr>
        <w:t>Investigation on the Commission’s Own Motion  )</w:t>
      </w:r>
    </w:p>
    <w:p>
      <w:pPr>
        <w:pStyle w:val="BodyText"/>
        <w:spacing w:lineRule="auto" w:line="240"/>
        <w:rPr>
          <w:rFonts w:ascii="Courier New" w:hAnsi="Courier New" w:eastAsia="Courier New" w:cs="Courier New"/>
          <w:b/>
          <w:bCs/>
        </w:rPr>
      </w:pPr>
      <w:r>
        <w:rPr>
          <w:rFonts w:eastAsia="Courier New" w:cs="Courier New" w:ascii="Courier New" w:hAnsi="Courier New"/>
          <w:b/>
          <w:bCs/>
        </w:rPr>
        <w:t>To Consider the Costs and Benefits of Various ) I.99-07-003</w:t>
      </w:r>
    </w:p>
    <w:p>
      <w:pPr>
        <w:pStyle w:val="BodyText"/>
        <w:spacing w:lineRule="auto" w:line="240"/>
        <w:rPr>
          <w:rFonts w:ascii="Courier New" w:hAnsi="Courier New" w:eastAsia="Courier New" w:cs="Courier New"/>
          <w:b/>
          <w:bCs/>
        </w:rPr>
      </w:pPr>
      <w:r>
        <w:rPr>
          <w:rFonts w:eastAsia="Courier New" w:cs="Courier New" w:ascii="Courier New" w:hAnsi="Courier New"/>
          <w:b/>
          <w:bCs/>
        </w:rPr>
        <w:t>Promising Revisions to the Regulatory and     )</w:t>
      </w:r>
    </w:p>
    <w:p>
      <w:pPr>
        <w:pStyle w:val="BodyText"/>
        <w:spacing w:lineRule="auto" w:line="240"/>
        <w:rPr>
          <w:rFonts w:ascii="Courier New" w:hAnsi="Courier New" w:eastAsia="Courier New" w:cs="Courier New"/>
          <w:b/>
          <w:bCs/>
        </w:rPr>
      </w:pPr>
      <w:r>
        <w:rPr>
          <w:rFonts w:eastAsia="Courier New" w:cs="Courier New" w:ascii="Courier New" w:hAnsi="Courier New"/>
          <w:b/>
          <w:bCs/>
        </w:rPr>
        <w:t>Market Structure Governing California’s       )</w:t>
      </w:r>
    </w:p>
    <w:p>
      <w:pPr>
        <w:pStyle w:val="BodyText"/>
        <w:spacing w:lineRule="auto" w:line="240"/>
        <w:rPr>
          <w:rFonts w:ascii="Courier New" w:hAnsi="Courier New" w:eastAsia="Courier New" w:cs="Courier New"/>
          <w:b/>
          <w:bCs/>
        </w:rPr>
      </w:pPr>
      <w:r>
        <w:rPr>
          <w:rFonts w:eastAsia="Courier New" w:cs="Courier New" w:ascii="Courier New" w:hAnsi="Courier New"/>
          <w:b/>
          <w:bCs/>
        </w:rPr>
        <w:t>Natural Gas Industry and to Report to the     )</w:t>
      </w:r>
    </w:p>
    <w:p>
      <w:pPr>
        <w:pStyle w:val="BodyText"/>
        <w:spacing w:lineRule="auto" w:line="240"/>
        <w:rPr>
          <w:rFonts w:ascii="Courier New" w:hAnsi="Courier New" w:eastAsia="Courier New" w:cs="Courier New"/>
          <w:b/>
          <w:bCs/>
        </w:rPr>
      </w:pPr>
      <w:r>
        <w:rPr>
          <w:rFonts w:eastAsia="Courier New" w:cs="Courier New" w:ascii="Courier New" w:hAnsi="Courier New"/>
          <w:b/>
          <w:bCs/>
        </w:rPr>
        <w:t>California Legislature on the Commission’s    )</w:t>
      </w:r>
    </w:p>
    <w:p>
      <w:pPr>
        <w:pStyle w:val="BodyText"/>
        <w:spacing w:lineRule="auto" w:line="240"/>
        <w:rPr>
          <w:rFonts w:ascii="Courier New" w:hAnsi="Courier New" w:eastAsia="Courier New" w:cs="Courier New"/>
          <w:b/>
          <w:bCs/>
        </w:rPr>
      </w:pPr>
      <w:r>
        <w:rPr>
          <w:rFonts w:eastAsia="Courier New" w:cs="Courier New" w:ascii="Courier New" w:hAnsi="Courier New"/>
          <w:b/>
          <w:bCs/>
        </w:rPr>
        <w:t>Findings                                      )</w:t>
      </w:r>
    </w:p>
    <w:p>
      <w:pPr>
        <w:pStyle w:val="BodyText"/>
        <w:spacing w:lineRule="auto" w:line="240"/>
        <w:rPr>
          <w:rFonts w:ascii="Courier New" w:hAnsi="Courier New" w:eastAsia="Courier New" w:cs="Courier New"/>
          <w:b/>
          <w:bCs/>
        </w:rPr>
      </w:pPr>
      <w:r>
        <w:rPr>
          <w:rFonts w:eastAsia="Courier New" w:cs="Courier New" w:ascii="Courier New" w:hAnsi="Courier New"/>
          <w:b/>
          <w:bCs/>
        </w:rPr>
        <w:t>______________________________________________)</w:t>
      </w:r>
    </w:p>
    <w:p>
      <w:pPr>
        <w:pStyle w:val="Footer"/>
        <w:tabs>
          <w:tab w:val="clear" w:pos="4320"/>
          <w:tab w:val="clear" w:pos="8640"/>
        </w:tabs>
        <w:rPr>
          <w:rFonts w:ascii="Courier New" w:hAnsi="Courier New" w:eastAsia="Courier New" w:cs="Courier New"/>
          <w:b/>
          <w:bCs/>
        </w:rPr>
      </w:pPr>
      <w:r>
        <w:rPr>
          <w:rFonts w:eastAsia="Courier New" w:cs="Courier New"/>
          <w:b/>
          <w:bCs/>
        </w:rPr>
      </w:r>
    </w:p>
    <w:p>
      <w:pPr>
        <w:pStyle w:val="Normal"/>
        <w:spacing w:lineRule="auto" w:line="360"/>
        <w:rPr/>
      </w:pPr>
      <w:r>
        <w:rPr/>
      </w:r>
    </w:p>
    <w:p>
      <w:pPr>
        <w:pStyle w:val="Normal"/>
        <w:jc w:val="center"/>
        <w:rPr>
          <w:b/>
          <w:bCs/>
        </w:rPr>
      </w:pPr>
      <w:r>
        <w:rPr>
          <w:b/>
          <w:bCs/>
        </w:rPr>
        <w:t>OPENING BRIEF OF</w:t>
      </w:r>
    </w:p>
    <w:p>
      <w:pPr>
        <w:pStyle w:val="Normal"/>
        <w:jc w:val="center"/>
        <w:rPr>
          <w:b/>
          <w:bCs/>
        </w:rPr>
      </w:pPr>
      <w:r>
        <w:rPr>
          <w:b/>
          <w:bCs/>
        </w:rPr>
        <w:t>SOUTHERN CALIFORNIA GAS COMPANY (U 904 G) AND</w:t>
      </w:r>
    </w:p>
    <w:p>
      <w:pPr>
        <w:pStyle w:val="Normal"/>
        <w:jc w:val="center"/>
        <w:rPr>
          <w:b/>
          <w:bCs/>
        </w:rPr>
      </w:pPr>
      <w:r>
        <w:rPr>
          <w:b/>
          <w:bCs/>
        </w:rPr>
        <w:t>SAN DIEGO GAS &amp; ELECTRIC COMPANY (U 902 G)</w:t>
      </w:r>
    </w:p>
    <w:p>
      <w:pPr>
        <w:pStyle w:val="Normal"/>
        <w:spacing w:lineRule="auto" w:line="360"/>
        <w:jc w:val="center"/>
        <w:rPr>
          <w:b/>
          <w:bCs/>
        </w:rPr>
      </w:pPr>
      <w:r>
        <w:rPr>
          <w:b/>
          <w:bCs/>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Heading"/>
        <w:jc w:val="start"/>
        <w:rPr/>
      </w:pPr>
      <w:r>
        <w:rPr/>
      </w:r>
    </w:p>
    <w:p>
      <w:pPr>
        <w:pStyle w:val="Footer"/>
        <w:tabs>
          <w:tab w:val="clear" w:pos="4320"/>
          <w:tab w:val="clear" w:pos="8640"/>
        </w:tabs>
        <w:ind w:start="2160" w:end="0"/>
        <w:rPr/>
      </w:pPr>
      <w:r>
        <w:rPr/>
        <w:tab/>
        <w:tab/>
        <w:tab/>
        <w:tab/>
        <w:tab/>
        <w:tab/>
        <w:tab/>
        <w:tab/>
        <w:tab/>
        <w:tab/>
        <w:tab/>
      </w:r>
      <w:r>
        <w:rPr>
          <w:b/>
          <w:bCs/>
        </w:rPr>
        <w:t>David B. Follett</w:t>
      </w:r>
    </w:p>
    <w:p>
      <w:pPr>
        <w:pStyle w:val="Footer"/>
        <w:tabs>
          <w:tab w:val="clear" w:pos="4320"/>
          <w:tab w:val="clear" w:pos="8640"/>
        </w:tabs>
        <w:rPr>
          <w:b/>
          <w:bCs/>
        </w:rPr>
      </w:pPr>
      <w:r>
        <w:rPr>
          <w:b/>
          <w:bCs/>
        </w:rPr>
        <w:tab/>
        <w:tab/>
        <w:tab/>
        <w:tab/>
        <w:tab/>
        <w:t>Glen J. Sullivan</w:t>
      </w:r>
    </w:p>
    <w:p>
      <w:pPr>
        <w:pStyle w:val="Footer"/>
        <w:tabs>
          <w:tab w:val="clear" w:pos="4320"/>
          <w:tab w:val="clear" w:pos="8640"/>
        </w:tabs>
        <w:rPr>
          <w:b/>
          <w:bCs/>
        </w:rPr>
      </w:pPr>
      <w:r>
        <w:rPr>
          <w:b/>
          <w:bCs/>
        </w:rPr>
        <w:tab/>
        <w:tab/>
        <w:tab/>
        <w:tab/>
        <w:tab/>
        <w:t>Sempra Energy Law Department</w:t>
      </w:r>
    </w:p>
    <w:p>
      <w:pPr>
        <w:pStyle w:val="Footer"/>
        <w:tabs>
          <w:tab w:val="clear" w:pos="4320"/>
          <w:tab w:val="clear" w:pos="8640"/>
        </w:tabs>
        <w:rPr>
          <w:b/>
          <w:bCs/>
        </w:rPr>
      </w:pPr>
      <w:r>
        <w:rPr>
          <w:b/>
          <w:bCs/>
        </w:rPr>
        <w:tab/>
        <w:tab/>
        <w:tab/>
        <w:tab/>
        <w:tab/>
        <w:t>101 Ash Street</w:t>
      </w:r>
    </w:p>
    <w:p>
      <w:pPr>
        <w:pStyle w:val="Footer"/>
        <w:tabs>
          <w:tab w:val="clear" w:pos="4320"/>
          <w:tab w:val="clear" w:pos="8640"/>
        </w:tabs>
        <w:rPr>
          <w:b/>
          <w:bCs/>
        </w:rPr>
      </w:pPr>
      <w:r>
        <w:rPr>
          <w:b/>
          <w:bCs/>
        </w:rPr>
        <w:tab/>
        <w:tab/>
        <w:tab/>
        <w:tab/>
        <w:tab/>
        <w:t>San Diego, California  92101</w:t>
      </w:r>
    </w:p>
    <w:p>
      <w:pPr>
        <w:pStyle w:val="Footer"/>
        <w:tabs>
          <w:tab w:val="clear" w:pos="4320"/>
          <w:tab w:val="clear" w:pos="8640"/>
        </w:tabs>
        <w:rPr>
          <w:b/>
          <w:bCs/>
        </w:rPr>
      </w:pPr>
      <w:r>
        <w:rPr>
          <w:b/>
          <w:bCs/>
        </w:rPr>
        <w:tab/>
        <w:tab/>
        <w:tab/>
        <w:tab/>
        <w:tab/>
        <w:t>Telephone:  (619) 699-5162</w:t>
      </w:r>
    </w:p>
    <w:p>
      <w:pPr>
        <w:pStyle w:val="Footer"/>
        <w:tabs>
          <w:tab w:val="clear" w:pos="4320"/>
          <w:tab w:val="clear" w:pos="8640"/>
        </w:tabs>
        <w:rPr>
          <w:b/>
          <w:bCs/>
        </w:rPr>
      </w:pPr>
      <w:r>
        <w:rPr>
          <w:b/>
          <w:bCs/>
        </w:rPr>
        <w:tab/>
        <w:tab/>
        <w:tab/>
        <w:tab/>
        <w:tab/>
        <w:t>Fax:  (619) 699-5027</w:t>
      </w:r>
    </w:p>
    <w:p>
      <w:pPr>
        <w:pStyle w:val="Footer"/>
        <w:tabs>
          <w:tab w:val="clear" w:pos="4320"/>
          <w:tab w:val="clear" w:pos="8640"/>
        </w:tabs>
        <w:rPr>
          <w:b/>
          <w:bCs/>
        </w:rPr>
      </w:pPr>
      <w:r>
        <w:rPr>
          <w:b/>
          <w:bCs/>
        </w:rPr>
        <w:tab/>
        <w:tab/>
        <w:tab/>
        <w:tab/>
        <w:tab/>
        <w:t xml:space="preserve">E-mail:  </w:t>
      </w:r>
      <w:r>
        <w:rPr>
          <w:rStyle w:val="Hyperlink"/>
        </w:rPr>
        <w:t>dfollett@sempra.com</w:t>
      </w:r>
      <w:r>
        <w:rPr>
          <w:b/>
          <w:bCs/>
        </w:rPr>
        <w:t xml:space="preserve"> </w:t>
      </w:r>
      <w:r>
        <w:rPr/>
        <w:t>and</w:t>
      </w:r>
    </w:p>
    <w:p>
      <w:pPr>
        <w:pStyle w:val="Footer"/>
        <w:tabs>
          <w:tab w:val="clear" w:pos="4320"/>
          <w:tab w:val="clear" w:pos="8640"/>
        </w:tabs>
        <w:rPr/>
      </w:pPr>
      <w:r>
        <w:rPr>
          <w:b/>
          <w:bCs/>
        </w:rPr>
        <w:tab/>
        <w:tab/>
        <w:tab/>
        <w:tab/>
        <w:tab/>
        <w:tab/>
        <w:t xml:space="preserve">    </w:t>
      </w:r>
      <w:r>
        <w:rPr>
          <w:u w:val="single"/>
        </w:rPr>
        <w:t>gsullivan@sempra.com</w:t>
      </w:r>
    </w:p>
    <w:p>
      <w:pPr>
        <w:pStyle w:val="Footer"/>
        <w:tabs>
          <w:tab w:val="clear" w:pos="4320"/>
          <w:tab w:val="clear" w:pos="8640"/>
        </w:tabs>
        <w:rPr>
          <w:b/>
          <w:bCs/>
          <w:u w:val="single"/>
        </w:rPr>
      </w:pPr>
      <w:r>
        <w:rPr>
          <w:b/>
          <w:bCs/>
          <w:u w:val="single"/>
        </w:rPr>
      </w:r>
    </w:p>
    <w:p>
      <w:pPr>
        <w:pStyle w:val="Footer"/>
        <w:tabs>
          <w:tab w:val="clear" w:pos="4320"/>
          <w:tab w:val="clear" w:pos="8640"/>
        </w:tabs>
        <w:rPr>
          <w:b/>
          <w:bCs/>
        </w:rPr>
      </w:pPr>
      <w:r>
        <w:rPr>
          <w:b/>
          <w:bCs/>
        </w:rPr>
        <w:tab/>
        <w:tab/>
        <w:tab/>
        <w:tab/>
        <w:tab/>
        <w:t>Attorneys for</w:t>
      </w:r>
    </w:p>
    <w:p>
      <w:pPr>
        <w:pStyle w:val="Footer"/>
        <w:tabs>
          <w:tab w:val="clear" w:pos="4320"/>
          <w:tab w:val="clear" w:pos="8640"/>
        </w:tabs>
        <w:rPr>
          <w:b/>
          <w:bCs/>
        </w:rPr>
      </w:pPr>
      <w:r>
        <w:rPr>
          <w:b/>
          <w:bCs/>
        </w:rPr>
        <w:tab/>
        <w:tab/>
        <w:tab/>
        <w:tab/>
        <w:tab/>
        <w:t xml:space="preserve">Southern California Gas Company </w:t>
      </w:r>
    </w:p>
    <w:p>
      <w:pPr>
        <w:pStyle w:val="Footer"/>
        <w:tabs>
          <w:tab w:val="clear" w:pos="4320"/>
          <w:tab w:val="clear" w:pos="8640"/>
        </w:tabs>
        <w:rPr>
          <w:b/>
          <w:bCs/>
        </w:rPr>
      </w:pPr>
      <w:r>
        <w:rPr>
          <w:b/>
          <w:bCs/>
        </w:rPr>
        <w:tab/>
        <w:tab/>
        <w:tab/>
        <w:tab/>
        <w:tab/>
        <w:t>And San Diego Gas &amp; Electric Co.</w:t>
      </w:r>
    </w:p>
    <w:p>
      <w:pPr>
        <w:pStyle w:val="Heading"/>
        <w:ind w:start="4320" w:end="0"/>
        <w:jc w:val="start"/>
        <w:rPr>
          <w:b w:val="false"/>
          <w:bCs w:val="false"/>
        </w:rPr>
      </w:pPr>
      <w:r>
        <w:rPr>
          <w:b w:val="false"/>
          <w:bCs w:val="false"/>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pStyle w:val="Heading"/>
        <w:jc w:val="start"/>
        <w:rPr/>
      </w:pPr>
      <w:r>
        <w:rPr/>
        <w:t>July 10, 2000</w:t>
      </w:r>
    </w:p>
    <w:p>
      <w:pPr>
        <w:pStyle w:val="Heading"/>
        <w:rPr>
          <w:sz w:val="28"/>
          <w:szCs w:val="28"/>
        </w:rPr>
      </w:pPr>
      <w:r>
        <w:rPr>
          <w:sz w:val="28"/>
          <w:szCs w:val="28"/>
        </w:rPr>
        <w:t>TABLE OF CONTENTS</w:t>
      </w:r>
    </w:p>
    <w:p>
      <w:pPr>
        <w:pStyle w:val="Heading"/>
        <w:rPr>
          <w:sz w:val="28"/>
          <w:szCs w:val="28"/>
        </w:rPr>
      </w:pPr>
      <w:r>
        <w:rPr>
          <w:sz w:val="28"/>
          <w:szCs w:val="28"/>
        </w:rPr>
      </w:r>
    </w:p>
    <w:p>
      <w:pPr>
        <w:pStyle w:val="Heading"/>
        <w:jc w:val="start"/>
        <w:rPr/>
      </w:pPr>
      <w:r>
        <w:rPr/>
      </w:r>
    </w:p>
    <w:p>
      <w:pPr>
        <w:pStyle w:val="Heading"/>
        <w:jc w:val="start"/>
        <w:rPr/>
      </w:pPr>
      <w:r>
        <w:rPr/>
        <w:t>TABLE OF AUTHORITIES</w:t>
      </w:r>
      <w:r>
        <w:rPr>
          <w:b w:val="false"/>
          <w:bCs w:val="false"/>
        </w:rPr>
        <w:t>……………………………………………………………………………………</w:t>
        <w:tab/>
        <w:t>iv</w:t>
      </w:r>
    </w:p>
    <w:p>
      <w:pPr>
        <w:pStyle w:val="Heading"/>
        <w:jc w:val="start"/>
        <w:rPr>
          <w:b w:val="false"/>
          <w:bCs w:val="false"/>
        </w:rPr>
      </w:pPr>
      <w:r>
        <w:rPr>
          <w:b w:val="false"/>
          <w:bCs w:val="false"/>
        </w:rPr>
      </w:r>
    </w:p>
    <w:p>
      <w:pPr>
        <w:pStyle w:val="Heading"/>
        <w:jc w:val="start"/>
        <w:rPr/>
      </w:pPr>
      <w:r>
        <w:rPr/>
        <w:t>SUMMARY OF RECOMMENDATIONS</w:t>
      </w:r>
      <w:r>
        <w:rPr>
          <w:b w:val="false"/>
          <w:bCs w:val="false"/>
        </w:rPr>
        <w:t>……………………………………………………………………</w:t>
        <w:tab/>
        <w:t>vi</w:t>
      </w:r>
    </w:p>
    <w:p>
      <w:pPr>
        <w:pStyle w:val="Heading"/>
        <w:jc w:val="start"/>
        <w:rPr>
          <w:b w:val="false"/>
          <w:bCs w:val="false"/>
        </w:rPr>
      </w:pPr>
      <w:r>
        <w:rPr>
          <w:b w:val="false"/>
          <w:bCs w:val="false"/>
        </w:rPr>
      </w:r>
    </w:p>
    <w:p>
      <w:pPr>
        <w:pStyle w:val="Heading"/>
        <w:jc w:val="start"/>
        <w:rPr/>
      </w:pPr>
      <w:r>
        <w:rPr/>
        <w:t>EXECUTIVE SUMMARY</w:t>
      </w:r>
      <w:r>
        <w:rPr>
          <w:b w:val="false"/>
          <w:bCs w:val="false"/>
        </w:rPr>
        <w:t>……………………………………………………………………………………………</w:t>
        <w:tab/>
        <w:t xml:space="preserve"> 1</w:t>
      </w:r>
    </w:p>
    <w:p>
      <w:pPr>
        <w:pStyle w:val="Heading"/>
        <w:jc w:val="start"/>
        <w:rPr>
          <w:b w:val="false"/>
          <w:bCs w:val="false"/>
        </w:rPr>
      </w:pPr>
      <w:r>
        <w:rPr>
          <w:b w:val="false"/>
          <w:bCs w:val="false"/>
        </w:rPr>
      </w:r>
    </w:p>
    <w:p>
      <w:pPr>
        <w:pStyle w:val="Heading"/>
        <w:jc w:val="start"/>
        <w:rPr/>
      </w:pPr>
      <w:r>
        <w:rPr/>
        <w:t>I.</w:t>
        <w:tab/>
        <w:t>“CAPACITY-RELATED” MATTERS</w:t>
      </w:r>
      <w:r>
        <w:rPr>
          <w:b w:val="false"/>
          <w:bCs w:val="false"/>
        </w:rPr>
        <w:t>………………………………………………………</w:t>
        <w:tab/>
        <w:t>10</w:t>
      </w:r>
    </w:p>
    <w:p>
      <w:pPr>
        <w:pStyle w:val="Heading"/>
        <w:jc w:val="start"/>
        <w:rPr>
          <w:b w:val="false"/>
          <w:bCs w:val="false"/>
        </w:rPr>
      </w:pPr>
      <w:r>
        <w:rPr>
          <w:b w:val="false"/>
          <w:bCs w:val="false"/>
        </w:rPr>
      </w:r>
    </w:p>
    <w:p>
      <w:pPr>
        <w:pStyle w:val="Heading"/>
        <w:jc w:val="start"/>
        <w:rPr>
          <w:b w:val="false"/>
          <w:bCs w:val="false"/>
        </w:rPr>
      </w:pPr>
      <w:r>
        <w:rPr>
          <w:b w:val="false"/>
          <w:bCs w:val="false"/>
        </w:rPr>
        <w:tab/>
        <w:t>A.</w:t>
        <w:tab/>
        <w:t>Intrastate Gas Transmission………………………………………</w:t>
        <w:tab/>
        <w:t>10</w:t>
      </w:r>
    </w:p>
    <w:p>
      <w:pPr>
        <w:pStyle w:val="Heading"/>
        <w:jc w:val="start"/>
        <w:rPr>
          <w:b w:val="false"/>
          <w:bCs w:val="false"/>
        </w:rPr>
      </w:pPr>
      <w:r>
        <w:rPr>
          <w:b w:val="false"/>
          <w:bCs w:val="false"/>
        </w:rPr>
        <w:tab/>
        <w:tab/>
        <w:t>1.</w:t>
        <w:tab/>
        <w:t>Definition of Backbone Transmission</w:t>
      </w:r>
    </w:p>
    <w:p>
      <w:pPr>
        <w:pStyle w:val="Heading"/>
        <w:jc w:val="start"/>
        <w:rPr>
          <w:b w:val="false"/>
          <w:bCs w:val="false"/>
        </w:rPr>
      </w:pPr>
      <w:r>
        <w:rPr>
          <w:b w:val="false"/>
          <w:bCs w:val="false"/>
        </w:rPr>
        <w:tab/>
        <w:tab/>
        <w:tab/>
        <w:t>System and Rights……………………………………………………</w:t>
        <w:tab/>
        <w:t>10</w:t>
      </w:r>
    </w:p>
    <w:p>
      <w:pPr>
        <w:pStyle w:val="Heading"/>
        <w:jc w:val="start"/>
        <w:rPr>
          <w:b w:val="false"/>
          <w:bCs w:val="false"/>
        </w:rPr>
      </w:pPr>
      <w:r>
        <w:rPr>
          <w:b w:val="false"/>
          <w:bCs w:val="false"/>
        </w:rPr>
        <w:tab/>
        <w:tab/>
        <w:t>2.</w:t>
        <w:tab/>
        <w:t>Backbone Transmission Open Season…………</w:t>
        <w:tab/>
        <w:t>15</w:t>
      </w:r>
    </w:p>
    <w:p>
      <w:pPr>
        <w:pStyle w:val="Heading"/>
        <w:jc w:val="start"/>
        <w:rPr>
          <w:b w:val="false"/>
          <w:bCs w:val="false"/>
        </w:rPr>
      </w:pPr>
      <w:r>
        <w:rPr>
          <w:b w:val="false"/>
          <w:bCs w:val="false"/>
        </w:rPr>
        <w:tab/>
        <w:tab/>
        <w:t>3.</w:t>
        <w:tab/>
        <w:t>Impact of Backbone Transmission</w:t>
      </w:r>
    </w:p>
    <w:p>
      <w:pPr>
        <w:pStyle w:val="Heading"/>
        <w:jc w:val="start"/>
        <w:rPr>
          <w:b w:val="false"/>
          <w:bCs w:val="false"/>
        </w:rPr>
      </w:pPr>
      <w:r>
        <w:rPr>
          <w:b w:val="false"/>
          <w:bCs w:val="false"/>
        </w:rPr>
        <w:tab/>
        <w:tab/>
        <w:tab/>
        <w:t>Rights on Low Load Factor Customers……</w:t>
        <w:tab/>
        <w:t>25</w:t>
      </w:r>
    </w:p>
    <w:p>
      <w:pPr>
        <w:pStyle w:val="Heading"/>
        <w:jc w:val="start"/>
        <w:rPr>
          <w:b w:val="false"/>
          <w:bCs w:val="false"/>
        </w:rPr>
      </w:pPr>
      <w:r>
        <w:rPr>
          <w:b w:val="false"/>
          <w:bCs w:val="false"/>
        </w:rPr>
        <w:tab/>
        <w:tab/>
        <w:t>4.</w:t>
        <w:tab/>
        <w:t>Other Matters Related to Intrastate</w:t>
      </w:r>
    </w:p>
    <w:p>
      <w:pPr>
        <w:pStyle w:val="Heading"/>
        <w:jc w:val="start"/>
        <w:rPr>
          <w:b w:val="false"/>
          <w:bCs w:val="false"/>
        </w:rPr>
      </w:pPr>
      <w:r>
        <w:rPr>
          <w:b w:val="false"/>
          <w:bCs w:val="false"/>
        </w:rPr>
        <w:tab/>
        <w:tab/>
        <w:tab/>
        <w:t>Backbone Transmission Service……………………</w:t>
        <w:tab/>
        <w:t>34</w:t>
      </w:r>
    </w:p>
    <w:p>
      <w:pPr>
        <w:pStyle w:val="Heading"/>
        <w:jc w:val="start"/>
        <w:rPr>
          <w:b w:val="false"/>
          <w:bCs w:val="false"/>
        </w:rPr>
      </w:pPr>
      <w:r>
        <w:rPr>
          <w:b w:val="false"/>
          <w:bCs w:val="false"/>
        </w:rPr>
        <w:tab/>
        <w:t>B.</w:t>
        <w:tab/>
        <w:t>Storage……………………………………………………………………………………………</w:t>
        <w:tab/>
        <w:t>41</w:t>
      </w:r>
    </w:p>
    <w:p>
      <w:pPr>
        <w:pStyle w:val="Heading"/>
        <w:jc w:val="start"/>
        <w:rPr>
          <w:b w:val="false"/>
          <w:bCs w:val="false"/>
        </w:rPr>
      </w:pPr>
      <w:r>
        <w:rPr>
          <w:b w:val="false"/>
          <w:bCs w:val="false"/>
        </w:rPr>
        <w:tab/>
        <w:t>C.</w:t>
        <w:tab/>
        <w:t>Balancing………………………………………………………………………………………</w:t>
        <w:tab/>
        <w:t>48</w:t>
      </w:r>
    </w:p>
    <w:p>
      <w:pPr>
        <w:pStyle w:val="Heading"/>
        <w:jc w:val="start"/>
        <w:rPr>
          <w:b w:val="false"/>
          <w:bCs w:val="false"/>
        </w:rPr>
      </w:pPr>
      <w:r>
        <w:rPr>
          <w:b w:val="false"/>
          <w:bCs w:val="false"/>
        </w:rPr>
        <w:tab/>
        <w:t>D.</w:t>
        <w:tab/>
        <w:t>Other Capacity-Related Matters………………………………</w:t>
        <w:tab/>
        <w:t>56</w:t>
      </w:r>
    </w:p>
    <w:p>
      <w:pPr>
        <w:pStyle w:val="Heading"/>
        <w:jc w:val="start"/>
        <w:rPr>
          <w:b w:val="false"/>
          <w:bCs w:val="false"/>
        </w:rPr>
      </w:pPr>
      <w:r>
        <w:rPr>
          <w:b w:val="false"/>
          <w:bCs w:val="false"/>
        </w:rPr>
        <w:tab/>
        <w:tab/>
        <w:t>1.</w:t>
        <w:tab/>
        <w:t>Cost to Implement……………………………………………………</w:t>
        <w:tab/>
        <w:t>56</w:t>
      </w:r>
    </w:p>
    <w:p>
      <w:pPr>
        <w:pStyle w:val="Heading"/>
        <w:jc w:val="start"/>
        <w:rPr>
          <w:b w:val="false"/>
          <w:bCs w:val="false"/>
        </w:rPr>
      </w:pPr>
      <w:r>
        <w:rPr>
          <w:b w:val="false"/>
          <w:bCs w:val="false"/>
        </w:rPr>
        <w:tab/>
        <w:tab/>
        <w:t>2.</w:t>
        <w:tab/>
        <w:t>Reporting of Completed Transactions……</w:t>
        <w:tab/>
        <w:t>58</w:t>
      </w:r>
    </w:p>
    <w:p>
      <w:pPr>
        <w:pStyle w:val="Heading"/>
        <w:jc w:val="start"/>
        <w:rPr>
          <w:b w:val="false"/>
          <w:bCs w:val="false"/>
        </w:rPr>
      </w:pPr>
      <w:r>
        <w:rPr>
          <w:b w:val="false"/>
          <w:bCs w:val="false"/>
        </w:rPr>
        <w:tab/>
        <w:tab/>
        <w:t>3.</w:t>
        <w:tab/>
        <w:t>Hub Services…………………………………………………………………</w:t>
        <w:tab/>
        <w:t>61</w:t>
      </w:r>
    </w:p>
    <w:p>
      <w:pPr>
        <w:pStyle w:val="Heading"/>
        <w:jc w:val="start"/>
        <w:rPr>
          <w:b w:val="false"/>
          <w:bCs w:val="false"/>
        </w:rPr>
      </w:pPr>
      <w:r>
        <w:rPr>
          <w:b w:val="false"/>
          <w:bCs w:val="false"/>
        </w:rPr>
        <w:tab/>
        <w:t>E.</w:t>
        <w:tab/>
        <w:t>Post-Interim Settlement…………………………………………………</w:t>
        <w:tab/>
        <w:t>63</w:t>
      </w:r>
    </w:p>
    <w:p>
      <w:pPr>
        <w:pStyle w:val="Heading"/>
        <w:jc w:val="start"/>
        <w:rPr>
          <w:b w:val="false"/>
          <w:bCs w:val="false"/>
        </w:rPr>
      </w:pPr>
      <w:r>
        <w:rPr>
          <w:b w:val="false"/>
          <w:bCs w:val="false"/>
        </w:rPr>
        <w:tab/>
        <w:tab/>
        <w:t>1.</w:t>
        <w:tab/>
        <w:t>Prohibition on Firm Intrastate</w:t>
      </w:r>
    </w:p>
    <w:p>
      <w:pPr>
        <w:pStyle w:val="Heading"/>
        <w:jc w:val="start"/>
        <w:rPr>
          <w:b w:val="false"/>
          <w:bCs w:val="false"/>
        </w:rPr>
      </w:pPr>
      <w:r>
        <w:rPr>
          <w:b w:val="false"/>
          <w:bCs w:val="false"/>
        </w:rPr>
        <w:tab/>
        <w:tab/>
        <w:tab/>
        <w:t>Transmission Rights for 6 years………………</w:t>
        <w:tab/>
        <w:t>63</w:t>
      </w:r>
    </w:p>
    <w:p>
      <w:pPr>
        <w:pStyle w:val="Heading"/>
        <w:jc w:val="start"/>
        <w:rPr>
          <w:b w:val="false"/>
          <w:bCs w:val="false"/>
        </w:rPr>
      </w:pPr>
      <w:r>
        <w:rPr>
          <w:b w:val="false"/>
          <w:bCs w:val="false"/>
        </w:rPr>
        <w:tab/>
        <w:tab/>
        <w:t>2.</w:t>
        <w:tab/>
        <w:t>Requirement for SoCalGas Shareholders</w:t>
      </w:r>
    </w:p>
    <w:p>
      <w:pPr>
        <w:pStyle w:val="Heading"/>
        <w:jc w:val="start"/>
        <w:rPr>
          <w:b w:val="false"/>
          <w:bCs w:val="false"/>
        </w:rPr>
      </w:pPr>
      <w:r>
        <w:rPr>
          <w:b w:val="false"/>
          <w:bCs w:val="false"/>
        </w:rPr>
        <w:tab/>
        <w:tab/>
        <w:tab/>
        <w:t>to Absorb 25% of ITCS Costs…………………………</w:t>
        <w:tab/>
        <w:t>65</w:t>
      </w:r>
    </w:p>
    <w:p>
      <w:pPr>
        <w:pStyle w:val="Heading"/>
        <w:jc w:val="start"/>
        <w:rPr>
          <w:b w:val="false"/>
          <w:bCs w:val="false"/>
        </w:rPr>
      </w:pPr>
      <w:r>
        <w:rPr>
          <w:b w:val="false"/>
          <w:bCs w:val="false"/>
        </w:rPr>
        <w:tab/>
        <w:tab/>
        <w:t>3.</w:t>
        <w:tab/>
        <w:t>Removal from Rates of the Cost of the</w:t>
      </w:r>
    </w:p>
    <w:p>
      <w:pPr>
        <w:pStyle w:val="Heading"/>
        <w:jc w:val="start"/>
        <w:rPr>
          <w:b w:val="false"/>
          <w:bCs w:val="false"/>
        </w:rPr>
      </w:pPr>
      <w:r>
        <w:rPr>
          <w:b w:val="false"/>
          <w:bCs w:val="false"/>
        </w:rPr>
        <w:tab/>
        <w:tab/>
        <w:tab/>
        <w:t>Montebello Storage Field Retroactive</w:t>
      </w:r>
    </w:p>
    <w:p>
      <w:pPr>
        <w:pStyle w:val="Heading"/>
        <w:jc w:val="start"/>
        <w:rPr>
          <w:b w:val="false"/>
          <w:bCs w:val="false"/>
        </w:rPr>
      </w:pPr>
      <w:r>
        <w:rPr>
          <w:b w:val="false"/>
          <w:bCs w:val="false"/>
        </w:rPr>
        <w:tab/>
        <w:tab/>
        <w:tab/>
        <w:t>to September 16, 1999…………………………………………</w:t>
        <w:tab/>
        <w:t>78</w:t>
      </w:r>
    </w:p>
    <w:p>
      <w:pPr>
        <w:pStyle w:val="Heading"/>
        <w:jc w:val="start"/>
        <w:rPr>
          <w:b w:val="false"/>
          <w:bCs w:val="false"/>
        </w:rPr>
      </w:pPr>
      <w:r>
        <w:rPr>
          <w:b w:val="false"/>
          <w:bCs w:val="false"/>
        </w:rPr>
      </w:r>
    </w:p>
    <w:p>
      <w:pPr>
        <w:pStyle w:val="Heading"/>
        <w:jc w:val="start"/>
        <w:rPr/>
      </w:pPr>
      <w:r>
        <w:rPr/>
        <w:t>II.</w:t>
        <w:tab/>
        <w:t>SOCALGAS CORE INTERSTATE PIPELINE CAPACITY</w:t>
      </w:r>
    </w:p>
    <w:p>
      <w:pPr>
        <w:pStyle w:val="Heading"/>
        <w:jc w:val="start"/>
        <w:rPr/>
      </w:pPr>
      <w:r>
        <w:rPr/>
        <w:tab/>
        <w:t>UNBUNDLING</w:t>
      </w:r>
      <w:r>
        <w:rPr>
          <w:b w:val="false"/>
          <w:bCs w:val="false"/>
        </w:rPr>
        <w:t>…………………………………………………………………………………………………</w:t>
        <w:tab/>
        <w:t>86</w:t>
      </w:r>
    </w:p>
    <w:p>
      <w:pPr>
        <w:pStyle w:val="Heading"/>
        <w:jc w:val="start"/>
        <w:rPr>
          <w:b w:val="false"/>
          <w:bCs w:val="false"/>
        </w:rPr>
      </w:pPr>
      <w:r>
        <w:rPr>
          <w:b w:val="false"/>
          <w:bCs w:val="false"/>
        </w:rPr>
      </w:r>
    </w:p>
    <w:p>
      <w:pPr>
        <w:pStyle w:val="Heading"/>
        <w:jc w:val="start"/>
        <w:rPr/>
      </w:pPr>
      <w:r>
        <w:rPr/>
        <w:t>III.</w:t>
        <w:tab/>
        <w:t>PROMISING “RETAIL” OPTIONS</w:t>
      </w:r>
      <w:r>
        <w:rPr>
          <w:b w:val="false"/>
          <w:bCs w:val="false"/>
        </w:rPr>
        <w:t>………………………………………………………</w:t>
        <w:tab/>
        <w:t>89</w:t>
      </w:r>
    </w:p>
    <w:p>
      <w:pPr>
        <w:pStyle w:val="Heading"/>
        <w:jc w:val="start"/>
        <w:rPr>
          <w:b w:val="false"/>
          <w:bCs w:val="false"/>
        </w:rPr>
      </w:pPr>
      <w:r>
        <w:rPr>
          <w:b w:val="false"/>
          <w:bCs w:val="false"/>
        </w:rPr>
      </w:r>
    </w:p>
    <w:p>
      <w:pPr>
        <w:pStyle w:val="Heading"/>
        <w:jc w:val="start"/>
        <w:rPr>
          <w:b w:val="false"/>
          <w:bCs w:val="false"/>
        </w:rPr>
      </w:pPr>
      <w:r>
        <w:rPr>
          <w:b w:val="false"/>
          <w:bCs w:val="false"/>
        </w:rPr>
        <w:tab/>
        <w:t>A.</w:t>
        <w:tab/>
        <w:t>Introduction………………………………………………………………………………</w:t>
        <w:tab/>
        <w:t>89</w:t>
      </w:r>
    </w:p>
    <w:p>
      <w:pPr>
        <w:pStyle w:val="Heading"/>
        <w:jc w:val="start"/>
        <w:rPr>
          <w:b w:val="false"/>
          <w:bCs w:val="false"/>
        </w:rPr>
      </w:pPr>
      <w:r>
        <w:rPr>
          <w:b w:val="false"/>
          <w:bCs w:val="false"/>
        </w:rPr>
      </w:r>
    </w:p>
    <w:p>
      <w:pPr>
        <w:pStyle w:val="Heading"/>
        <w:jc w:val="start"/>
        <w:rPr>
          <w:b w:val="false"/>
          <w:bCs w:val="false"/>
        </w:rPr>
      </w:pPr>
      <w:r>
        <w:rPr>
          <w:b w:val="false"/>
          <w:bCs w:val="false"/>
        </w:rPr>
        <w:tab/>
        <w:t>B.</w:t>
        <w:tab/>
        <w:t>The Promising Retail Options……………………………………</w:t>
        <w:tab/>
        <w:t>91</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rPr>
          <w:b w:val="false"/>
          <w:bCs w:val="false"/>
          <w:sz w:val="20"/>
          <w:szCs w:val="20"/>
        </w:rPr>
      </w:pPr>
      <w:r>
        <w:rPr>
          <w:b w:val="false"/>
          <w:bCs w:val="false"/>
          <w:sz w:val="20"/>
          <w:szCs w:val="20"/>
        </w:rPr>
        <w:t>i</w:t>
      </w:r>
    </w:p>
    <w:p>
      <w:pPr>
        <w:pStyle w:val="Heading"/>
        <w:jc w:val="start"/>
        <w:rPr>
          <w:b w:val="false"/>
          <w:bCs w:val="false"/>
          <w:sz w:val="20"/>
          <w:szCs w:val="20"/>
        </w:rPr>
      </w:pPr>
      <w:r>
        <w:rPr>
          <w:b w:val="false"/>
          <w:bCs w:val="false"/>
          <w:sz w:val="20"/>
          <w:szCs w:val="20"/>
        </w:rPr>
      </w:r>
    </w:p>
    <w:p>
      <w:pPr>
        <w:pStyle w:val="Heading"/>
        <w:jc w:val="start"/>
        <w:rPr>
          <w:b w:val="false"/>
          <w:bCs w:val="false"/>
        </w:rPr>
      </w:pPr>
      <w:r>
        <w:rPr>
          <w:b w:val="false"/>
          <w:bCs w:val="false"/>
        </w:rPr>
      </w:r>
    </w:p>
    <w:p>
      <w:pPr>
        <w:pStyle w:val="Heading"/>
        <w:jc w:val="start"/>
        <w:rPr>
          <w:b w:val="false"/>
          <w:bCs w:val="false"/>
        </w:rPr>
      </w:pPr>
      <w:r>
        <w:rPr>
          <w:b w:val="false"/>
          <w:bCs w:val="false"/>
        </w:rPr>
        <w:tab/>
        <w:t>C.</w:t>
        <w:tab/>
        <w:t>Benefits and Costs of the Retail Measures…</w:t>
        <w:tab/>
        <w:t>92</w:t>
      </w:r>
    </w:p>
    <w:p>
      <w:pPr>
        <w:pStyle w:val="Heading"/>
        <w:jc w:val="start"/>
        <w:rPr>
          <w:b w:val="false"/>
          <w:bCs w:val="false"/>
        </w:rPr>
      </w:pPr>
      <w:r>
        <w:rPr>
          <w:b w:val="false"/>
          <w:bCs w:val="false"/>
        </w:rPr>
        <w:tab/>
        <w:tab/>
        <w:t>1.</w:t>
        <w:tab/>
        <w:t>Unlike the Post-Interim Settlement,</w:t>
      </w:r>
    </w:p>
    <w:p>
      <w:pPr>
        <w:pStyle w:val="Heading"/>
        <w:ind w:start="2160" w:end="0"/>
        <w:jc w:val="start"/>
        <w:rPr>
          <w:b w:val="false"/>
          <w:bCs w:val="false"/>
        </w:rPr>
      </w:pPr>
      <w:r>
        <w:rPr>
          <w:b w:val="false"/>
          <w:bCs w:val="false"/>
        </w:rPr>
        <w:t>the Comprehensive Settlement Addresses</w:t>
      </w:r>
    </w:p>
    <w:p>
      <w:pPr>
        <w:pStyle w:val="Heading"/>
        <w:ind w:start="2160" w:end="0"/>
        <w:jc w:val="start"/>
        <w:rPr>
          <w:b w:val="false"/>
          <w:bCs w:val="false"/>
        </w:rPr>
      </w:pPr>
      <w:r>
        <w:rPr>
          <w:b w:val="false"/>
          <w:bCs w:val="false"/>
        </w:rPr>
        <w:t>the Need to Make Retail Competition Available to Smaller Customers…………………</w:t>
        <w:tab/>
        <w:t>93</w:t>
      </w:r>
    </w:p>
    <w:p>
      <w:pPr>
        <w:pStyle w:val="Heading"/>
        <w:jc w:val="start"/>
        <w:rPr>
          <w:b w:val="false"/>
          <w:bCs w:val="false"/>
        </w:rPr>
      </w:pPr>
      <w:r>
        <w:rPr>
          <w:b w:val="false"/>
          <w:bCs w:val="false"/>
        </w:rPr>
      </w:r>
    </w:p>
    <w:p>
      <w:pPr>
        <w:pStyle w:val="Heading"/>
        <w:jc w:val="start"/>
        <w:rPr>
          <w:b w:val="false"/>
          <w:bCs w:val="false"/>
        </w:rPr>
      </w:pPr>
      <w:r>
        <w:rPr>
          <w:b w:val="false"/>
          <w:bCs w:val="false"/>
        </w:rPr>
        <w:tab/>
        <w:tab/>
        <w:t>2.</w:t>
        <w:tab/>
        <w:t>The Costs to Implement the Retail</w:t>
      </w:r>
    </w:p>
    <w:p>
      <w:pPr>
        <w:pStyle w:val="Heading"/>
        <w:jc w:val="start"/>
        <w:rPr>
          <w:b w:val="false"/>
          <w:bCs w:val="false"/>
        </w:rPr>
      </w:pPr>
      <w:r>
        <w:rPr>
          <w:b w:val="false"/>
          <w:bCs w:val="false"/>
        </w:rPr>
        <w:tab/>
        <w:tab/>
        <w:tab/>
        <w:t>Promising Options are not Only Modest</w:t>
      </w:r>
    </w:p>
    <w:p>
      <w:pPr>
        <w:pStyle w:val="Heading"/>
        <w:jc w:val="start"/>
        <w:rPr>
          <w:b w:val="false"/>
          <w:bCs w:val="false"/>
        </w:rPr>
      </w:pPr>
      <w:r>
        <w:rPr>
          <w:b w:val="false"/>
          <w:bCs w:val="false"/>
        </w:rPr>
        <w:tab/>
        <w:tab/>
        <w:tab/>
        <w:t>But Will be Deferred Until a Future</w:t>
      </w:r>
    </w:p>
    <w:p>
      <w:pPr>
        <w:pStyle w:val="Heading"/>
        <w:jc w:val="start"/>
        <w:rPr>
          <w:b w:val="false"/>
          <w:bCs w:val="false"/>
        </w:rPr>
      </w:pPr>
      <w:r>
        <w:rPr>
          <w:b w:val="false"/>
          <w:bCs w:val="false"/>
        </w:rPr>
        <w:tab/>
        <w:tab/>
        <w:tab/>
        <w:t>Proceeding………………………………………………………………………</w:t>
        <w:tab/>
        <w:t>97</w:t>
      </w:r>
    </w:p>
    <w:p>
      <w:pPr>
        <w:pStyle w:val="Heading"/>
        <w:jc w:val="start"/>
        <w:rPr>
          <w:b w:val="false"/>
          <w:bCs w:val="false"/>
        </w:rPr>
      </w:pPr>
      <w:r>
        <w:rPr>
          <w:b w:val="false"/>
          <w:bCs w:val="false"/>
        </w:rPr>
      </w:r>
    </w:p>
    <w:p>
      <w:pPr>
        <w:pStyle w:val="Heading"/>
        <w:jc w:val="start"/>
        <w:rPr>
          <w:b w:val="false"/>
          <w:bCs w:val="false"/>
        </w:rPr>
      </w:pPr>
      <w:r>
        <w:rPr>
          <w:b w:val="false"/>
          <w:bCs w:val="false"/>
        </w:rPr>
        <w:tab/>
        <w:t>D.</w:t>
        <w:tab/>
        <w:t>Specific Promising Options Addressed in</w:t>
      </w:r>
    </w:p>
    <w:p>
      <w:pPr>
        <w:pStyle w:val="Heading"/>
        <w:jc w:val="start"/>
        <w:rPr>
          <w:b w:val="false"/>
          <w:bCs w:val="false"/>
        </w:rPr>
      </w:pPr>
      <w:r>
        <w:rPr>
          <w:b w:val="false"/>
          <w:bCs w:val="false"/>
        </w:rPr>
        <w:tab/>
        <w:tab/>
        <w:t>the Comprehensive Settlement……………………………………</w:t>
        <w:tab/>
        <w:t>99</w:t>
      </w:r>
    </w:p>
    <w:p>
      <w:pPr>
        <w:pStyle w:val="Heading"/>
        <w:jc w:val="start"/>
        <w:rPr>
          <w:b w:val="false"/>
          <w:bCs w:val="false"/>
        </w:rPr>
      </w:pPr>
      <w:r>
        <w:rPr>
          <w:b w:val="false"/>
          <w:bCs w:val="false"/>
        </w:rPr>
        <w:tab/>
        <w:tab/>
        <w:t>1.</w:t>
        <w:tab/>
        <w:t>Eliminate Core Aggregation Volume Cap</w:t>
        <w:tab/>
        <w:t>99</w:t>
      </w:r>
    </w:p>
    <w:p>
      <w:pPr>
        <w:pStyle w:val="Heading"/>
        <w:jc w:val="start"/>
        <w:rPr>
          <w:b w:val="false"/>
          <w:bCs w:val="false"/>
        </w:rPr>
      </w:pPr>
      <w:r>
        <w:rPr>
          <w:b w:val="false"/>
          <w:bCs w:val="false"/>
        </w:rPr>
        <w:tab/>
        <w:tab/>
        <w:t>2.</w:t>
        <w:tab/>
        <w:t>Customer-Specific Consumption Data………  101</w:t>
      </w:r>
    </w:p>
    <w:p>
      <w:pPr>
        <w:pStyle w:val="Heading"/>
        <w:jc w:val="start"/>
        <w:rPr>
          <w:b w:val="false"/>
          <w:bCs w:val="false"/>
        </w:rPr>
      </w:pPr>
      <w:r>
        <w:rPr>
          <w:b w:val="false"/>
          <w:bCs w:val="false"/>
        </w:rPr>
        <w:tab/>
        <w:tab/>
        <w:t>3.</w:t>
        <w:tab/>
        <w:t>Utility Consolidated Billing………………………  102</w:t>
      </w:r>
    </w:p>
    <w:p>
      <w:pPr>
        <w:pStyle w:val="Heading"/>
        <w:jc w:val="start"/>
        <w:rPr>
          <w:b w:val="false"/>
          <w:bCs w:val="false"/>
        </w:rPr>
      </w:pPr>
      <w:r>
        <w:rPr>
          <w:b w:val="false"/>
          <w:bCs w:val="false"/>
        </w:rPr>
        <w:tab/>
        <w:tab/>
        <w:t>4.</w:t>
        <w:tab/>
        <w:t>Terminate Information-Only Bill</w:t>
      </w:r>
    </w:p>
    <w:p>
      <w:pPr>
        <w:pStyle w:val="Heading"/>
        <w:jc w:val="start"/>
        <w:rPr>
          <w:b w:val="false"/>
          <w:bCs w:val="false"/>
        </w:rPr>
      </w:pPr>
      <w:r>
        <w:rPr>
          <w:b w:val="false"/>
          <w:bCs w:val="false"/>
        </w:rPr>
        <w:tab/>
        <w:tab/>
        <w:tab/>
        <w:t>Requirement……………………………………………………………………  104</w:t>
      </w:r>
    </w:p>
    <w:p>
      <w:pPr>
        <w:pStyle w:val="Heading"/>
        <w:jc w:val="start"/>
        <w:rPr>
          <w:b w:val="false"/>
          <w:bCs w:val="false"/>
        </w:rPr>
      </w:pPr>
      <w:r>
        <w:rPr>
          <w:b w:val="false"/>
          <w:bCs w:val="false"/>
        </w:rPr>
        <w:tab/>
        <w:tab/>
        <w:t>5.</w:t>
        <w:tab/>
        <w:t>ESP Consolidated Billing Avoided</w:t>
      </w:r>
    </w:p>
    <w:p>
      <w:pPr>
        <w:pStyle w:val="Heading"/>
        <w:jc w:val="start"/>
        <w:rPr>
          <w:b w:val="false"/>
          <w:bCs w:val="false"/>
        </w:rPr>
      </w:pPr>
      <w:r>
        <w:rPr>
          <w:b w:val="false"/>
          <w:bCs w:val="false"/>
        </w:rPr>
        <w:tab/>
        <w:tab/>
        <w:tab/>
        <w:t>Cost Credits…………………………………………………………………  105</w:t>
      </w:r>
    </w:p>
    <w:p>
      <w:pPr>
        <w:pStyle w:val="Heading"/>
        <w:jc w:val="start"/>
        <w:rPr>
          <w:b w:val="false"/>
          <w:bCs w:val="false"/>
        </w:rPr>
      </w:pPr>
      <w:r>
        <w:rPr>
          <w:b w:val="false"/>
          <w:bCs w:val="false"/>
        </w:rPr>
        <w:tab/>
        <w:tab/>
        <w:t>6.</w:t>
        <w:tab/>
        <w:t>Re-examination of the Utility Core</w:t>
      </w:r>
    </w:p>
    <w:p>
      <w:pPr>
        <w:pStyle w:val="Heading"/>
        <w:jc w:val="start"/>
        <w:rPr>
          <w:b w:val="false"/>
          <w:bCs w:val="false"/>
        </w:rPr>
      </w:pPr>
      <w:r>
        <w:rPr>
          <w:b w:val="false"/>
          <w:bCs w:val="false"/>
        </w:rPr>
        <w:tab/>
        <w:tab/>
        <w:tab/>
        <w:t>Procurement Role………………………………………………………  107</w:t>
      </w:r>
    </w:p>
    <w:p>
      <w:pPr>
        <w:pStyle w:val="Heading"/>
        <w:jc w:val="start"/>
        <w:rPr>
          <w:b w:val="false"/>
          <w:bCs w:val="false"/>
        </w:rPr>
      </w:pPr>
      <w:r>
        <w:rPr>
          <w:b w:val="false"/>
          <w:bCs w:val="false"/>
        </w:rPr>
        <w:tab/>
        <w:tab/>
        <w:t>7.</w:t>
        <w:tab/>
        <w:t>Increase the Core Brokerage Fee………………  108</w:t>
      </w:r>
    </w:p>
    <w:p>
      <w:pPr>
        <w:pStyle w:val="Heading"/>
        <w:jc w:val="start"/>
        <w:rPr>
          <w:b w:val="false"/>
          <w:bCs w:val="false"/>
        </w:rPr>
      </w:pPr>
      <w:r>
        <w:rPr>
          <w:b w:val="false"/>
          <w:bCs w:val="false"/>
        </w:rPr>
        <w:tab/>
        <w:tab/>
        <w:t>8.</w:t>
        <w:tab/>
        <w:t>Elimination of Core Subscription</w:t>
      </w:r>
    </w:p>
    <w:p>
      <w:pPr>
        <w:pStyle w:val="Heading"/>
        <w:jc w:val="start"/>
        <w:rPr>
          <w:b w:val="false"/>
          <w:bCs w:val="false"/>
        </w:rPr>
      </w:pPr>
      <w:r>
        <w:rPr>
          <w:b w:val="false"/>
          <w:bCs w:val="false"/>
        </w:rPr>
        <w:tab/>
        <w:tab/>
        <w:tab/>
        <w:t>Program………………………………………………………………………………  109</w:t>
      </w:r>
    </w:p>
    <w:p>
      <w:pPr>
        <w:pStyle w:val="Heading"/>
        <w:jc w:val="start"/>
        <w:rPr>
          <w:b w:val="false"/>
          <w:bCs w:val="false"/>
        </w:rPr>
      </w:pPr>
      <w:r>
        <w:rPr>
          <w:b w:val="false"/>
          <w:bCs w:val="false"/>
        </w:rPr>
        <w:tab/>
        <w:tab/>
        <w:t>9.</w:t>
        <w:tab/>
        <w:t>Reduce CTA Volume Threshold…………………………  111</w:t>
      </w:r>
    </w:p>
    <w:p>
      <w:pPr>
        <w:pStyle w:val="Heading"/>
        <w:jc w:val="start"/>
        <w:rPr>
          <w:b w:val="false"/>
          <w:bCs w:val="false"/>
        </w:rPr>
      </w:pPr>
      <w:r>
        <w:rPr>
          <w:b w:val="false"/>
          <w:bCs w:val="false"/>
        </w:rPr>
        <w:tab/>
        <w:tab/>
        <w:t>10.</w:t>
        <w:tab/>
        <w:t>Pilot Meter and Meter Add-On</w:t>
      </w:r>
    </w:p>
    <w:p>
      <w:pPr>
        <w:pStyle w:val="Heading"/>
        <w:jc w:val="start"/>
        <w:rPr>
          <w:b w:val="false"/>
          <w:bCs w:val="false"/>
        </w:rPr>
      </w:pPr>
      <w:r>
        <w:rPr>
          <w:b w:val="false"/>
          <w:bCs w:val="false"/>
        </w:rPr>
        <w:tab/>
        <w:tab/>
        <w:tab/>
        <w:t>Ownership Program……………………………………………………  111</w:t>
      </w:r>
    </w:p>
    <w:p>
      <w:pPr>
        <w:pStyle w:val="Heading"/>
        <w:jc w:val="start"/>
        <w:rPr>
          <w:b w:val="false"/>
          <w:bCs w:val="false"/>
        </w:rPr>
      </w:pPr>
      <w:r>
        <w:rPr>
          <w:b w:val="false"/>
          <w:bCs w:val="false"/>
        </w:rPr>
      </w:r>
    </w:p>
    <w:p>
      <w:pPr>
        <w:pStyle w:val="Heading"/>
        <w:jc w:val="start"/>
        <w:rPr>
          <w:b w:val="false"/>
          <w:bCs w:val="false"/>
        </w:rPr>
      </w:pPr>
      <w:r>
        <w:rPr>
          <w:b w:val="false"/>
          <w:bCs w:val="false"/>
        </w:rPr>
        <w:tab/>
        <w:t>E.</w:t>
        <w:tab/>
        <w:t>Fees Which May Be Paid by ESPs for Services</w:t>
      </w:r>
    </w:p>
    <w:p>
      <w:pPr>
        <w:pStyle w:val="Heading"/>
        <w:jc w:val="start"/>
        <w:rPr>
          <w:b w:val="false"/>
          <w:bCs w:val="false"/>
        </w:rPr>
      </w:pPr>
      <w:r>
        <w:rPr>
          <w:b w:val="false"/>
          <w:bCs w:val="false"/>
        </w:rPr>
        <w:tab/>
        <w:tab/>
        <w:t>Rendered by the Utilities Will Partially</w:t>
      </w:r>
    </w:p>
    <w:p>
      <w:pPr>
        <w:pStyle w:val="Heading"/>
        <w:jc w:val="start"/>
        <w:rPr>
          <w:b w:val="false"/>
          <w:bCs w:val="false"/>
        </w:rPr>
      </w:pPr>
      <w:r>
        <w:rPr>
          <w:b w:val="false"/>
          <w:bCs w:val="false"/>
        </w:rPr>
        <w:tab/>
        <w:tab/>
        <w:t>Offset the O&amp;M Costs Incurred by SoCalGas</w:t>
      </w:r>
    </w:p>
    <w:p>
      <w:pPr>
        <w:pStyle w:val="Heading"/>
        <w:jc w:val="start"/>
        <w:rPr>
          <w:b w:val="false"/>
          <w:bCs w:val="false"/>
        </w:rPr>
      </w:pPr>
      <w:r>
        <w:rPr>
          <w:b w:val="false"/>
          <w:bCs w:val="false"/>
        </w:rPr>
        <w:tab/>
        <w:tab/>
        <w:t>And SDG&amp;E………………………………………………………………………………………  114</w:t>
      </w:r>
    </w:p>
    <w:p>
      <w:pPr>
        <w:pStyle w:val="Heading"/>
        <w:jc w:val="start"/>
        <w:rPr>
          <w:b w:val="false"/>
          <w:bCs w:val="false"/>
        </w:rPr>
      </w:pPr>
      <w:r>
        <w:rPr>
          <w:b w:val="false"/>
          <w:bCs w:val="false"/>
        </w:rPr>
      </w:r>
    </w:p>
    <w:p>
      <w:pPr>
        <w:pStyle w:val="Heading"/>
        <w:jc w:val="start"/>
        <w:rPr>
          <w:b w:val="false"/>
          <w:bCs w:val="false"/>
        </w:rPr>
      </w:pPr>
      <w:r>
        <w:rPr>
          <w:b w:val="false"/>
          <w:bCs w:val="false"/>
        </w:rPr>
        <w:tab/>
        <w:t>F.</w:t>
        <w:tab/>
        <w:t>Impact of Retail Portions of the</w:t>
      </w:r>
    </w:p>
    <w:p>
      <w:pPr>
        <w:pStyle w:val="Heading"/>
        <w:ind w:start="1440" w:end="0"/>
        <w:jc w:val="start"/>
        <w:rPr>
          <w:b w:val="false"/>
          <w:bCs w:val="false"/>
        </w:rPr>
      </w:pPr>
      <w:r>
        <w:rPr>
          <w:b w:val="false"/>
          <w:bCs w:val="false"/>
        </w:rPr>
        <w:t>Comprehensive Settlement on Public Purpose Programs………………………………………….……………………………………………  115</w:t>
      </w:r>
    </w:p>
    <w:p>
      <w:pPr>
        <w:pStyle w:val="Heading"/>
        <w:jc w:val="start"/>
        <w:rPr>
          <w:b w:val="false"/>
          <w:bCs w:val="false"/>
        </w:rPr>
      </w:pPr>
      <w:r>
        <w:rPr>
          <w:b w:val="false"/>
          <w:bCs w:val="false"/>
        </w:rPr>
      </w:r>
    </w:p>
    <w:p>
      <w:pPr>
        <w:pStyle w:val="Heading"/>
        <w:jc w:val="start"/>
        <w:rPr>
          <w:b w:val="false"/>
          <w:bCs w:val="false"/>
        </w:rPr>
      </w:pPr>
      <w:r>
        <w:rPr>
          <w:b w:val="false"/>
          <w:bCs w:val="false"/>
        </w:rPr>
        <w:tab/>
        <w:t>G.</w:t>
        <w:tab/>
        <w:t>The Experiences of Other States Bode Well</w:t>
      </w:r>
    </w:p>
    <w:p>
      <w:pPr>
        <w:pStyle w:val="Heading"/>
        <w:jc w:val="start"/>
        <w:rPr>
          <w:b w:val="false"/>
          <w:bCs w:val="false"/>
        </w:rPr>
      </w:pPr>
      <w:r>
        <w:rPr>
          <w:b w:val="false"/>
          <w:bCs w:val="false"/>
        </w:rPr>
        <w:tab/>
        <w:tab/>
        <w:t>For the Promising Retail Options in</w:t>
      </w:r>
    </w:p>
    <w:p>
      <w:pPr>
        <w:pStyle w:val="Heading"/>
        <w:jc w:val="start"/>
        <w:rPr>
          <w:b w:val="false"/>
          <w:bCs w:val="false"/>
        </w:rPr>
      </w:pPr>
      <w:r>
        <w:rPr>
          <w:b w:val="false"/>
          <w:bCs w:val="false"/>
        </w:rPr>
        <w:tab/>
        <w:tab/>
        <w:t>California……………………………………………………………………………………  115</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pPr>
      <w:r>
        <w:rPr/>
      </w:r>
    </w:p>
    <w:p>
      <w:pPr>
        <w:pStyle w:val="Heading"/>
        <w:rPr>
          <w:b w:val="false"/>
          <w:bCs w:val="false"/>
          <w:sz w:val="20"/>
          <w:szCs w:val="20"/>
        </w:rPr>
      </w:pPr>
      <w:r>
        <w:rPr>
          <w:b w:val="false"/>
          <w:bCs w:val="false"/>
          <w:sz w:val="20"/>
          <w:szCs w:val="20"/>
        </w:rPr>
        <w:t>ii</w:t>
      </w:r>
    </w:p>
    <w:p>
      <w:pPr>
        <w:pStyle w:val="Heading"/>
        <w:jc w:val="start"/>
        <w:rPr>
          <w:b w:val="false"/>
          <w:bCs w:val="false"/>
          <w:sz w:val="20"/>
          <w:szCs w:val="20"/>
        </w:rPr>
      </w:pPr>
      <w:r>
        <w:rPr>
          <w:b w:val="false"/>
          <w:bCs w:val="false"/>
          <w:sz w:val="20"/>
          <w:szCs w:val="20"/>
        </w:rPr>
      </w:r>
    </w:p>
    <w:p>
      <w:pPr>
        <w:pStyle w:val="Heading"/>
        <w:jc w:val="start"/>
        <w:rPr/>
      </w:pPr>
      <w:r>
        <w:rPr/>
      </w:r>
    </w:p>
    <w:p>
      <w:pPr>
        <w:pStyle w:val="Heading"/>
        <w:jc w:val="start"/>
        <w:rPr/>
      </w:pPr>
      <w:r>
        <w:rPr/>
        <w:t>IV.</w:t>
        <w:tab/>
        <w:t>IMPLEMENTATION PROCEDURE FOR COMPREHENSIVE</w:t>
      </w:r>
    </w:p>
    <w:p>
      <w:pPr>
        <w:pStyle w:val="Heading"/>
        <w:jc w:val="start"/>
        <w:rPr/>
      </w:pPr>
      <w:r>
        <w:rPr/>
        <w:tab/>
        <w:t>SETTLEMENT</w:t>
      </w:r>
      <w:r>
        <w:rPr>
          <w:b w:val="false"/>
          <w:bCs w:val="false"/>
        </w:rPr>
        <w:t>…………………………………………………………………………………………………  117</w:t>
      </w:r>
    </w:p>
    <w:p>
      <w:pPr>
        <w:pStyle w:val="Heading"/>
        <w:jc w:val="start"/>
        <w:rPr>
          <w:b w:val="false"/>
          <w:bCs w:val="false"/>
        </w:rPr>
      </w:pPr>
      <w:r>
        <w:rPr>
          <w:b w:val="false"/>
          <w:bCs w:val="false"/>
        </w:rPr>
      </w:r>
    </w:p>
    <w:p>
      <w:pPr>
        <w:pStyle w:val="Heading"/>
        <w:jc w:val="start"/>
        <w:rPr>
          <w:b w:val="false"/>
          <w:bCs w:val="false"/>
        </w:rPr>
      </w:pPr>
      <w:r>
        <w:rPr>
          <w:b w:val="false"/>
          <w:bCs w:val="false"/>
        </w:rPr>
        <w:tab/>
        <w:t>A.</w:t>
        <w:tab/>
        <w:t>Phase One………………………………………………………………………………………  118</w:t>
      </w:r>
    </w:p>
    <w:p>
      <w:pPr>
        <w:pStyle w:val="Heading"/>
        <w:jc w:val="start"/>
        <w:rPr>
          <w:b w:val="false"/>
          <w:bCs w:val="false"/>
        </w:rPr>
      </w:pPr>
      <w:r>
        <w:rPr>
          <w:b w:val="false"/>
          <w:bCs w:val="false"/>
        </w:rPr>
      </w:r>
    </w:p>
    <w:p>
      <w:pPr>
        <w:pStyle w:val="Heading"/>
        <w:jc w:val="start"/>
        <w:rPr>
          <w:b w:val="false"/>
          <w:bCs w:val="false"/>
        </w:rPr>
      </w:pPr>
      <w:r>
        <w:rPr>
          <w:b w:val="false"/>
          <w:bCs w:val="false"/>
        </w:rPr>
        <w:tab/>
        <w:t>B.</w:t>
        <w:tab/>
        <w:t>Phase Two………………………………………………………………………………………  121</w:t>
      </w:r>
    </w:p>
    <w:p>
      <w:pPr>
        <w:pStyle w:val="Heading"/>
        <w:jc w:val="start"/>
        <w:rPr>
          <w:b w:val="false"/>
          <w:bCs w:val="false"/>
        </w:rPr>
      </w:pPr>
      <w:r>
        <w:rPr>
          <w:b w:val="false"/>
          <w:bCs w:val="false"/>
        </w:rPr>
      </w:r>
    </w:p>
    <w:p>
      <w:pPr>
        <w:pStyle w:val="Heading"/>
        <w:jc w:val="start"/>
        <w:rPr>
          <w:b w:val="false"/>
          <w:bCs w:val="false"/>
        </w:rPr>
      </w:pPr>
      <w:r>
        <w:rPr>
          <w:b w:val="false"/>
          <w:bCs w:val="false"/>
        </w:rPr>
        <w:tab/>
        <w:t>C.</w:t>
        <w:tab/>
        <w:t>Phase Three…………………………………………………………………………………  123</w:t>
      </w:r>
    </w:p>
    <w:p>
      <w:pPr>
        <w:pStyle w:val="Heading"/>
        <w:jc w:val="start"/>
        <w:rPr>
          <w:b w:val="false"/>
          <w:bCs w:val="false"/>
        </w:rPr>
      </w:pPr>
      <w:r>
        <w:rPr>
          <w:b w:val="false"/>
          <w:bCs w:val="false"/>
        </w:rPr>
      </w:r>
    </w:p>
    <w:p>
      <w:pPr>
        <w:pStyle w:val="Heading"/>
        <w:jc w:val="start"/>
        <w:rPr>
          <w:b w:val="false"/>
          <w:bCs w:val="false"/>
        </w:rPr>
      </w:pPr>
      <w:r>
        <w:rPr>
          <w:b w:val="false"/>
          <w:bCs w:val="false"/>
        </w:rPr>
        <w:tab/>
        <w:t>D.</w:t>
        <w:tab/>
        <w:t>Other Provisions……………………………………………………………………  125</w:t>
      </w:r>
    </w:p>
    <w:p>
      <w:pPr>
        <w:pStyle w:val="Heading"/>
        <w:jc w:val="start"/>
        <w:rPr>
          <w:b w:val="false"/>
          <w:bCs w:val="false"/>
        </w:rPr>
      </w:pPr>
      <w:r>
        <w:rPr>
          <w:b w:val="false"/>
          <w:bCs w:val="false"/>
        </w:rPr>
      </w:r>
    </w:p>
    <w:p>
      <w:pPr>
        <w:pStyle w:val="Heading"/>
        <w:jc w:val="start"/>
        <w:rPr/>
      </w:pPr>
      <w:r>
        <w:rPr/>
        <w:t>CONCLUSION</w:t>
      </w:r>
      <w:r>
        <w:rPr>
          <w:b w:val="false"/>
          <w:bCs w:val="false"/>
        </w:rPr>
        <w:t>………………………………………………………………………………………………………………  125</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sectPr>
          <w:footerReference w:type="default" r:id="rId4"/>
          <w:footerReference w:type="first" r:id="rId5"/>
          <w:type w:val="nextPage"/>
          <w:pgSz w:w="12240" w:h="15840"/>
          <w:pgMar w:left="1800" w:right="1800" w:gutter="0" w:header="0" w:top="1440" w:footer="720" w:bottom="1440"/>
          <w:pgNumType w:fmt="decimal"/>
          <w:formProt w:val="false"/>
          <w:textDirection w:val="lrTb"/>
        </w:sectPr>
        <w:pStyle w:val="Heading"/>
        <w:rPr>
          <w:b w:val="false"/>
          <w:bCs w:val="false"/>
          <w:sz w:val="20"/>
          <w:szCs w:val="20"/>
        </w:rPr>
      </w:pPr>
      <w:r>
        <w:rPr>
          <w:b w:val="false"/>
          <w:bCs w:val="false"/>
          <w:sz w:val="20"/>
          <w:szCs w:val="20"/>
        </w:rPr>
        <w:t>iii</w:t>
      </w:r>
    </w:p>
    <w:p>
      <w:pPr>
        <w:pStyle w:val="Heading"/>
        <w:tabs>
          <w:tab w:val="clear" w:pos="720"/>
          <w:tab w:val="right" w:pos="7920" w:leader="dot"/>
        </w:tabs>
        <w:rPr/>
      </w:pPr>
      <w:r>
        <w:rPr/>
        <w:t>TABLE OF AUTHORITIES</w:t>
      </w:r>
    </w:p>
    <w:p>
      <w:pPr>
        <w:pStyle w:val="Subtitle"/>
        <w:tabs>
          <w:tab w:val="clear" w:pos="720"/>
          <w:tab w:val="left" w:pos="7470" w:leader="none"/>
        </w:tabs>
        <w:jc w:val="start"/>
        <w:rPr/>
      </w:pPr>
      <w:r>
        <w:rPr>
          <w:rFonts w:eastAsia="Courier New" w:cs="Courier New" w:ascii="Courier New" w:hAnsi="Courier New"/>
          <w:u w:val="none"/>
        </w:rPr>
        <w:tab/>
      </w:r>
      <w:r>
        <w:rPr>
          <w:rFonts w:eastAsia="Courier New" w:cs="Courier New" w:ascii="Courier New" w:hAnsi="Courier New"/>
        </w:rPr>
        <w:t>Page</w:t>
      </w:r>
    </w:p>
    <w:p>
      <w:pPr>
        <w:pStyle w:val="Heading4"/>
        <w:tabs>
          <w:tab w:val="clear" w:pos="720"/>
          <w:tab w:val="right" w:pos="7920" w:leader="dot"/>
        </w:tabs>
        <w:ind w:hanging="0" w:start="0"/>
        <w:rPr>
          <w:rFonts w:ascii="Courier New" w:hAnsi="Courier New" w:eastAsia="Courier New" w:cs="Courier New"/>
        </w:rPr>
      </w:pPr>
      <w:r>
        <w:rPr>
          <w:rFonts w:eastAsia="Courier New" w:cs="Courier New" w:ascii="Courier New" w:hAnsi="Courier New"/>
        </w:rPr>
        <w:t>CPUC DECISIONS</w:t>
      </w:r>
    </w:p>
    <w:p>
      <w:pPr>
        <w:pStyle w:val="Heading3"/>
        <w:tabs>
          <w:tab w:val="clear" w:pos="720"/>
          <w:tab w:val="left" w:pos="7200" w:leader="dot"/>
          <w:tab w:val="left" w:pos="7380" w:leader="none"/>
        </w:tabs>
        <w:spacing w:lineRule="auto" w:line="240" w:before="0" w:after="0"/>
        <w:ind w:start="0" w:end="-360"/>
        <w:rPr/>
      </w:pPr>
      <w:r>
        <w:rPr>
          <w:rFonts w:eastAsia="Courier New" w:cs="Courier New" w:ascii="Courier New" w:hAnsi="Courier New"/>
        </w:rPr>
        <w:t>D.91-11-025, 41 CPUC2d 688; 127 P.U.R. 4</w:t>
      </w:r>
      <w:r>
        <w:rPr>
          <w:rFonts w:eastAsia="Courier New" w:cs="Courier New" w:ascii="Courier New" w:hAnsi="Courier New"/>
          <w:vertAlign w:val="superscript"/>
        </w:rPr>
        <w:t>th</w:t>
      </w:r>
      <w:r>
        <w:rPr>
          <w:rFonts w:eastAsia="Courier New" w:cs="Courier New" w:ascii="Courier New" w:hAnsi="Courier New"/>
        </w:rPr>
        <w:t xml:space="preserve"> 417</w:t>
        <w:tab/>
        <w:tab/>
        <w:t>66</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D.92-07-025, 45 CPUC2d 47</w:t>
        <w:tab/>
        <w:tab/>
        <w:t>71, 72</w:t>
      </w:r>
    </w:p>
    <w:p>
      <w:pPr>
        <w:pStyle w:val="Heading3"/>
        <w:tabs>
          <w:tab w:val="clear" w:pos="720"/>
          <w:tab w:val="left" w:pos="7200" w:leader="dot"/>
          <w:tab w:val="left" w:pos="7380" w:leader="none"/>
        </w:tabs>
        <w:spacing w:lineRule="auto" w:line="240" w:before="0" w:after="0"/>
        <w:ind w:start="0" w:end="-360"/>
        <w:rPr/>
      </w:pPr>
      <w:r>
        <w:rPr>
          <w:rFonts w:eastAsia="Courier New" w:cs="Courier New" w:ascii="Courier New" w:hAnsi="Courier New"/>
        </w:rPr>
        <w:t>D.92-11-052, 46 CPUC2d 444, 139 P.U.R. 4</w:t>
      </w:r>
      <w:r>
        <w:rPr>
          <w:rFonts w:eastAsia="Courier New" w:cs="Courier New" w:ascii="Courier New" w:hAnsi="Courier New"/>
          <w:vertAlign w:val="superscript"/>
        </w:rPr>
        <w:t>th</w:t>
      </w:r>
      <w:r>
        <w:rPr>
          <w:rFonts w:eastAsia="Courier New" w:cs="Courier New" w:ascii="Courier New" w:hAnsi="Courier New"/>
        </w:rPr>
        <w:t xml:space="preserve"> 530;</w:t>
      </w:r>
    </w:p>
    <w:p>
      <w:pPr>
        <w:pStyle w:val="Heading3"/>
        <w:tabs>
          <w:tab w:val="left" w:pos="720" w:leader="none"/>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ab/>
        <w:t>(as modified by D.93-02-058, 48 CPUC2d 289)</w:t>
        <w:tab/>
        <w:tab/>
        <w:t>59, 60</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D.94-04-088, 54 CPUC2d 337</w:t>
        <w:tab/>
        <w:tab/>
        <w:t>72, 74</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D.94-07-064, 55 CPUC2d 452</w:t>
        <w:tab/>
        <w:tab/>
        <w:t>72</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D.97-04-082, 72 CPUC2d 151</w:t>
        <w:tab/>
        <w:tab/>
        <w:t>108</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D.97-06-110, 73 CPUC2d 337</w:t>
        <w:tab/>
        <w:tab/>
        <w:t>59</w:t>
      </w:r>
    </w:p>
    <w:p>
      <w:pPr>
        <w:pStyle w:val="Normal"/>
        <w:tabs>
          <w:tab w:val="clear" w:pos="720"/>
          <w:tab w:val="left" w:pos="7200" w:leader="dot"/>
          <w:tab w:val="left" w:pos="7380" w:leader="none"/>
        </w:tabs>
        <w:ind w:end="-360"/>
        <w:rPr/>
      </w:pPr>
      <w:r>
        <w:rPr/>
        <w:t>D.97-07-054, 73 CPUC2d 469, 179 P.U.R. 4</w:t>
      </w:r>
      <w:r>
        <w:rPr>
          <w:vertAlign w:val="superscript"/>
        </w:rPr>
        <w:t>th</w:t>
      </w:r>
      <w:r>
        <w:rPr/>
        <w:t xml:space="preserve"> 237</w:t>
        <w:tab/>
        <w:tab/>
      </w:r>
      <w:r>
        <w:rPr>
          <w:i/>
          <w:iCs/>
        </w:rPr>
        <w:t>passim</w:t>
      </w:r>
    </w:p>
    <w:p>
      <w:pPr>
        <w:pStyle w:val="Normal"/>
        <w:tabs>
          <w:tab w:val="clear" w:pos="720"/>
          <w:tab w:val="left" w:pos="7200" w:leader="dot"/>
          <w:tab w:val="left" w:pos="7380" w:leader="none"/>
        </w:tabs>
        <w:ind w:end="-360"/>
        <w:rPr/>
      </w:pPr>
      <w:r>
        <w:rPr/>
        <w:t>D.97-08-055, 73 CPUC2d 754</w:t>
        <w:tab/>
        <w:tab/>
        <w:t>17</w:t>
      </w:r>
    </w:p>
    <w:p>
      <w:pPr>
        <w:pStyle w:val="Normal"/>
        <w:tabs>
          <w:tab w:val="clear" w:pos="720"/>
          <w:tab w:val="left" w:pos="7200" w:leader="dot"/>
          <w:tab w:val="left" w:pos="7380" w:leader="none"/>
        </w:tabs>
        <w:ind w:end="-360"/>
        <w:rPr/>
      </w:pPr>
      <w:r>
        <w:rPr/>
        <w:t>D.98-07-017</w:t>
        <w:tab/>
        <w:tab/>
        <w:t>60</w:t>
      </w:r>
    </w:p>
    <w:p>
      <w:pPr>
        <w:pStyle w:val="Normal"/>
        <w:tabs>
          <w:tab w:val="clear" w:pos="720"/>
          <w:tab w:val="left" w:pos="7200" w:leader="dot"/>
          <w:tab w:val="left" w:pos="7380" w:leader="none"/>
        </w:tabs>
        <w:ind w:end="-360"/>
        <w:rPr/>
      </w:pPr>
      <w:r>
        <w:rPr/>
        <w:t>D.99-05-031</w:t>
        <w:tab/>
        <w:tab/>
        <w:t>114</w:t>
      </w:r>
    </w:p>
    <w:p>
      <w:pPr>
        <w:pStyle w:val="Normal"/>
        <w:tabs>
          <w:tab w:val="clear" w:pos="720"/>
          <w:tab w:val="left" w:pos="7200" w:leader="dot"/>
          <w:tab w:val="left" w:pos="7380" w:leader="none"/>
        </w:tabs>
        <w:ind w:end="-360"/>
        <w:rPr/>
      </w:pPr>
      <w:r>
        <w:rPr/>
        <w:t>D.99-07-003</w:t>
        <w:tab/>
        <w:tab/>
        <w:t>50</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D.99-07-015</w:t>
        <w:tab/>
        <w:tab/>
      </w:r>
      <w:r>
        <w:rPr>
          <w:rFonts w:eastAsia="Courier New" w:cs="Courier New" w:ascii="Courier New" w:hAnsi="Courier New"/>
          <w:i/>
          <w:iCs/>
        </w:rPr>
        <w:t>passim</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D.99-09-068</w:t>
        <w:tab/>
        <w:tab/>
      </w:r>
      <w:r>
        <w:rPr>
          <w:rFonts w:eastAsia="Courier New" w:cs="Courier New" w:ascii="Courier New" w:hAnsi="Courier New"/>
          <w:i/>
          <w:iCs/>
        </w:rPr>
        <w:t>passim</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D.00-02-024</w:t>
        <w:tab/>
        <w:tab/>
        <w:t>79</w:t>
      </w:r>
    </w:p>
    <w:p>
      <w:pPr>
        <w:pStyle w:val="Heading3"/>
        <w:tabs>
          <w:tab w:val="clear" w:pos="720"/>
          <w:tab w:val="left" w:pos="7200" w:leader="dot"/>
          <w:tab w:val="left" w:pos="7380" w:leader="none"/>
        </w:tabs>
        <w:spacing w:lineRule="auto" w:line="240" w:before="0" w:after="0"/>
        <w:ind w:start="0" w:end="-900"/>
        <w:rPr>
          <w:rFonts w:ascii="Courier New" w:hAnsi="Courier New" w:eastAsia="Courier New" w:cs="Courier New"/>
        </w:rPr>
      </w:pPr>
      <w:r>
        <w:rPr>
          <w:rFonts w:eastAsia="Courier New" w:cs="Courier New" w:ascii="Courier New" w:hAnsi="Courier New"/>
        </w:rPr>
        <w:t>D.00-04-060</w:t>
        <w:tab/>
        <w:tab/>
      </w:r>
      <w:r>
        <w:rPr>
          <w:rFonts w:eastAsia="Courier New" w:cs="Courier New" w:ascii="Courier New" w:hAnsi="Courier New"/>
          <w:i/>
          <w:iCs/>
        </w:rPr>
        <w:t>passim</w:t>
      </w:r>
    </w:p>
    <w:p>
      <w:pPr>
        <w:pStyle w:val="Heading3"/>
        <w:tabs>
          <w:tab w:val="clear" w:pos="720"/>
          <w:tab w:val="left" w:pos="7200" w:leader="dot"/>
          <w:tab w:val="left" w:pos="7380" w:leader="none"/>
        </w:tabs>
        <w:spacing w:lineRule="auto" w:line="240" w:before="0" w:after="0"/>
        <w:ind w:start="0" w:end="-360"/>
        <w:rPr>
          <w:rFonts w:ascii="Courier New" w:hAnsi="Courier New" w:eastAsia="Courier New" w:cs="Courier New"/>
        </w:rPr>
      </w:pPr>
      <w:r>
        <w:rPr>
          <w:rFonts w:eastAsia="Courier New" w:cs="Courier New" w:ascii="Courier New" w:hAnsi="Courier New"/>
        </w:rPr>
        <w:t>D.00-05-049</w:t>
        <w:tab/>
        <w:tab/>
        <w:t>46, 55, 58</w:t>
      </w:r>
    </w:p>
    <w:p>
      <w:pPr>
        <w:pStyle w:val="Heading3"/>
        <w:tabs>
          <w:tab w:val="clear" w:pos="720"/>
          <w:tab w:val="right" w:pos="6912" w:leader="none"/>
          <w:tab w:val="right" w:pos="8280" w:leader="dot"/>
        </w:tabs>
        <w:ind w:start="0" w:end="0"/>
        <w:rPr>
          <w:rFonts w:ascii="Courier New" w:hAnsi="Courier New" w:eastAsia="Courier New" w:cs="Courier New"/>
          <w:b/>
          <w:bCs/>
          <w:u w:val="single"/>
        </w:rPr>
      </w:pPr>
      <w:r>
        <w:rPr>
          <w:rFonts w:eastAsia="Courier New" w:cs="Courier New" w:ascii="Courier New" w:hAnsi="Courier New"/>
          <w:b/>
          <w:bCs/>
          <w:u w:val="single"/>
        </w:rPr>
      </w:r>
    </w:p>
    <w:p>
      <w:pPr>
        <w:pStyle w:val="Heading3"/>
        <w:tabs>
          <w:tab w:val="clear" w:pos="720"/>
          <w:tab w:val="right" w:pos="6912" w:leader="none"/>
          <w:tab w:val="right" w:pos="8280" w:leader="dot"/>
        </w:tabs>
        <w:ind w:start="0" w:end="0"/>
        <w:rPr>
          <w:rFonts w:ascii="Courier New" w:hAnsi="Courier New" w:eastAsia="Courier New" w:cs="Courier New"/>
          <w:b/>
          <w:bCs/>
          <w:u w:val="single"/>
        </w:rPr>
      </w:pPr>
      <w:r>
        <w:rPr>
          <w:rFonts w:eastAsia="Courier New" w:cs="Courier New" w:ascii="Courier New" w:hAnsi="Courier New"/>
          <w:b/>
          <w:bCs/>
          <w:u w:val="single"/>
        </w:rPr>
        <w:t>CASES</w:t>
      </w:r>
    </w:p>
    <w:p>
      <w:pPr>
        <w:pStyle w:val="Normal"/>
        <w:tabs>
          <w:tab w:val="clear" w:pos="720"/>
          <w:tab w:val="right" w:pos="6912" w:leader="none"/>
          <w:tab w:val="right" w:pos="8280" w:leader="dot"/>
        </w:tabs>
        <w:rPr>
          <w:rFonts w:ascii="Courier New" w:hAnsi="Courier New" w:eastAsia="Courier New" w:cs="Courier New"/>
          <w:b/>
          <w:bCs/>
          <w:u w:val="single"/>
        </w:rPr>
      </w:pPr>
      <w:r>
        <w:rPr>
          <w:rFonts w:eastAsia="Courier New" w:cs="Courier New"/>
          <w:b/>
          <w:bCs/>
          <w:u w:val="single"/>
        </w:rPr>
      </w:r>
    </w:p>
    <w:p>
      <w:pPr>
        <w:pStyle w:val="Normal"/>
        <w:tabs>
          <w:tab w:val="left" w:pos="720" w:leader="none"/>
          <w:tab w:val="left" w:pos="7200" w:leader="dot"/>
          <w:tab w:val="left" w:pos="7387" w:leader="none"/>
        </w:tabs>
        <w:rPr>
          <w:u w:val="single"/>
        </w:rPr>
      </w:pPr>
      <w:r>
        <w:rPr>
          <w:u w:val="single"/>
        </w:rPr>
        <w:t xml:space="preserve">Mississippi Power &amp; Light Co. v. Mississippi </w:t>
      </w:r>
    </w:p>
    <w:p>
      <w:pPr>
        <w:pStyle w:val="Normal"/>
        <w:tabs>
          <w:tab w:val="left" w:pos="720" w:leader="none"/>
          <w:tab w:val="left" w:pos="7200" w:leader="dot"/>
          <w:tab w:val="left" w:pos="7387" w:leader="none"/>
        </w:tabs>
        <w:rPr/>
      </w:pPr>
      <w:r>
        <w:rPr/>
        <w:tab/>
      </w:r>
      <w:r>
        <w:rPr>
          <w:u w:val="single"/>
        </w:rPr>
        <w:t>ex rel.Moore</w:t>
      </w:r>
      <w:r>
        <w:rPr/>
        <w:t>, 487 U.S. 354 (1988)</w:t>
        <w:tab/>
        <w:tab/>
        <w:t>76, 77</w:t>
      </w:r>
    </w:p>
    <w:p>
      <w:pPr>
        <w:pStyle w:val="Header"/>
        <w:tabs>
          <w:tab w:val="clear" w:pos="4320"/>
          <w:tab w:val="clear" w:pos="8640"/>
          <w:tab w:val="left" w:pos="720" w:leader="none"/>
          <w:tab w:val="left" w:pos="7200" w:leader="dot"/>
          <w:tab w:val="left" w:pos="7387" w:leader="none"/>
        </w:tabs>
        <w:rPr/>
      </w:pPr>
      <w:r>
        <w:rPr/>
      </w:r>
    </w:p>
    <w:p>
      <w:pPr>
        <w:pStyle w:val="Normal"/>
        <w:tabs>
          <w:tab w:val="left" w:pos="720" w:leader="none"/>
          <w:tab w:val="left" w:pos="7200" w:leader="dot"/>
          <w:tab w:val="left" w:pos="7387" w:leader="none"/>
        </w:tabs>
        <w:rPr/>
      </w:pPr>
      <w:r>
        <w:rPr>
          <w:u w:val="single"/>
        </w:rPr>
        <w:t>Nantahala Power &amp; Light Co. v. Thornburg</w:t>
      </w:r>
      <w:r>
        <w:rPr/>
        <w:t xml:space="preserve">, </w:t>
      </w:r>
    </w:p>
    <w:p>
      <w:pPr>
        <w:pStyle w:val="Normal"/>
        <w:tabs>
          <w:tab w:val="left" w:pos="720" w:leader="none"/>
          <w:tab w:val="left" w:pos="7200" w:leader="dot"/>
          <w:tab w:val="left" w:pos="7387" w:leader="none"/>
        </w:tabs>
        <w:rPr/>
      </w:pPr>
      <w:r>
        <w:rPr/>
        <w:tab/>
        <w:t>476 U.S. 953 (1986)</w:t>
        <w:tab/>
        <w:tab/>
        <w:t>76</w:t>
      </w:r>
    </w:p>
    <w:p>
      <w:pPr>
        <w:pStyle w:val="Normal"/>
        <w:tabs>
          <w:tab w:val="left" w:pos="720" w:leader="none"/>
          <w:tab w:val="left" w:pos="7200" w:leader="dot"/>
          <w:tab w:val="left" w:pos="7387" w:leader="none"/>
        </w:tabs>
        <w:rPr>
          <w:u w:val="single"/>
        </w:rPr>
      </w:pPr>
      <w:r>
        <w:rPr>
          <w:u w:val="single"/>
        </w:rPr>
      </w:r>
    </w:p>
    <w:p>
      <w:pPr>
        <w:pStyle w:val="Normal"/>
        <w:tabs>
          <w:tab w:val="left" w:pos="720" w:leader="none"/>
          <w:tab w:val="left" w:pos="7200" w:leader="dot"/>
          <w:tab w:val="left" w:pos="7387" w:leader="none"/>
        </w:tabs>
        <w:rPr>
          <w:u w:val="single"/>
        </w:rPr>
      </w:pPr>
      <w:r>
        <w:rPr>
          <w:u w:val="single"/>
        </w:rPr>
        <w:t xml:space="preserve">Pike County Light &amp; Power Co. v. Pennsylvania </w:t>
      </w:r>
    </w:p>
    <w:p>
      <w:pPr>
        <w:pStyle w:val="Normal"/>
        <w:tabs>
          <w:tab w:val="left" w:pos="720" w:leader="none"/>
          <w:tab w:val="left" w:pos="7200" w:leader="dot"/>
          <w:tab w:val="left" w:pos="7387" w:leader="none"/>
        </w:tabs>
        <w:rPr/>
      </w:pPr>
      <w:r>
        <w:rPr/>
        <w:tab/>
      </w:r>
      <w:r>
        <w:rPr>
          <w:u w:val="single"/>
        </w:rPr>
        <w:t>Public Utility Comm’n.</w:t>
      </w:r>
      <w:r>
        <w:rPr/>
        <w:t xml:space="preserve">, 77 Pa.Commnw. 268, </w:t>
      </w:r>
    </w:p>
    <w:p>
      <w:pPr>
        <w:pStyle w:val="Normal"/>
        <w:tabs>
          <w:tab w:val="left" w:pos="720" w:leader="none"/>
          <w:tab w:val="left" w:pos="7200" w:leader="dot"/>
          <w:tab w:val="left" w:pos="7387" w:leader="none"/>
        </w:tabs>
        <w:rPr/>
      </w:pPr>
      <w:r>
        <w:rPr/>
        <w:tab/>
        <w:t>465 A.2d 735 (1983)</w:t>
        <w:tab/>
        <w:tab/>
        <w:t>77</w:t>
      </w:r>
    </w:p>
    <w:p>
      <w:pPr>
        <w:pStyle w:val="Heading3"/>
        <w:tabs>
          <w:tab w:val="clear" w:pos="720"/>
          <w:tab w:val="right" w:pos="6912" w:leader="none"/>
          <w:tab w:val="right" w:pos="8280" w:leader="dot"/>
        </w:tabs>
        <w:ind w:start="0" w:end="0"/>
        <w:rPr>
          <w:rFonts w:ascii="Courier New" w:hAnsi="Courier New" w:eastAsia="Courier New" w:cs="Courier New"/>
        </w:rPr>
      </w:pPr>
      <w:r>
        <w:rPr>
          <w:rFonts w:eastAsia="Courier New" w:cs="Courier New" w:ascii="Courier New" w:hAnsi="Courier New"/>
        </w:rPr>
      </w:r>
    </w:p>
    <w:p>
      <w:pPr>
        <w:pStyle w:val="Heading3"/>
        <w:tabs>
          <w:tab w:val="clear" w:pos="720"/>
          <w:tab w:val="right" w:pos="6912" w:leader="none"/>
          <w:tab w:val="right" w:pos="8280" w:leader="dot"/>
        </w:tabs>
        <w:ind w:start="0" w:end="0"/>
        <w:rPr>
          <w:rFonts w:ascii="Courier New" w:hAnsi="Courier New" w:eastAsia="Courier New" w:cs="Courier New"/>
          <w:b/>
          <w:bCs/>
          <w:u w:val="single"/>
        </w:rPr>
      </w:pPr>
      <w:r>
        <w:rPr>
          <w:rFonts w:eastAsia="Courier New" w:cs="Courier New" w:ascii="Courier New" w:hAnsi="Courier New"/>
          <w:b/>
          <w:bCs/>
          <w:u w:val="single"/>
        </w:rPr>
        <w:t xml:space="preserve">STATUTES </w:t>
      </w:r>
    </w:p>
    <w:p>
      <w:pPr>
        <w:pStyle w:val="Normal"/>
        <w:tabs>
          <w:tab w:val="left" w:pos="720" w:leader="none"/>
          <w:tab w:val="left" w:pos="7200" w:leader="dot"/>
          <w:tab w:val="left" w:pos="7387" w:leader="none"/>
        </w:tabs>
        <w:rPr/>
      </w:pPr>
      <w:r>
        <w:rPr/>
        <w:t>Cal. Public Utilities Code §489</w:t>
        <w:tab/>
        <w:tab/>
        <w:t>59, 60</w:t>
      </w:r>
    </w:p>
    <w:p>
      <w:pPr>
        <w:pStyle w:val="Normal"/>
        <w:tabs>
          <w:tab w:val="left" w:pos="720" w:leader="none"/>
          <w:tab w:val="left" w:pos="7200" w:leader="dot"/>
          <w:tab w:val="left" w:pos="7387" w:leader="none"/>
        </w:tabs>
        <w:rPr/>
      </w:pPr>
      <w:r>
        <w:rPr/>
        <w:t>Cal. Public Utilities Code §489.1</w:t>
        <w:tab/>
        <w:tab/>
        <w:t>59, 60</w:t>
      </w:r>
    </w:p>
    <w:p>
      <w:pPr>
        <w:pStyle w:val="Normal"/>
        <w:tabs>
          <w:tab w:val="left" w:pos="720" w:leader="none"/>
          <w:tab w:val="left" w:pos="7200" w:leader="dot"/>
          <w:tab w:val="left" w:pos="7387" w:leader="none"/>
        </w:tabs>
        <w:rPr/>
      </w:pPr>
      <w:r>
        <w:rPr/>
        <w:t xml:space="preserve">California Natural Gas Policy Act as codified </w:t>
      </w:r>
    </w:p>
    <w:p>
      <w:pPr>
        <w:pStyle w:val="Normal"/>
        <w:tabs>
          <w:tab w:val="left" w:pos="720" w:leader="none"/>
          <w:tab w:val="left" w:pos="7200" w:leader="dot"/>
          <w:tab w:val="left" w:pos="7387" w:leader="none"/>
        </w:tabs>
        <w:rPr/>
      </w:pPr>
      <w:r>
        <w:rPr/>
        <w:tab/>
        <w:t>in Cal. Public Utilities Code §§785-785.7.</w:t>
        <w:tab/>
        <w:tab/>
        <w:t>17</w:t>
      </w:r>
    </w:p>
    <w:p>
      <w:pPr>
        <w:pStyle w:val="Normal"/>
        <w:tabs>
          <w:tab w:val="clear" w:pos="720"/>
          <w:tab w:val="right" w:pos="6912" w:leader="none"/>
          <w:tab w:val="right" w:pos="8280" w:leader="dot"/>
        </w:tabs>
        <w:rPr/>
      </w:pPr>
      <w:r>
        <w:rPr/>
      </w:r>
    </w:p>
    <w:p>
      <w:pPr>
        <w:pStyle w:val="Normal"/>
        <w:tabs>
          <w:tab w:val="clear" w:pos="720"/>
          <w:tab w:val="right" w:pos="6912" w:leader="none"/>
          <w:tab w:val="right" w:pos="8280" w:leader="dot"/>
        </w:tabs>
        <w:rPr/>
      </w:pPr>
      <w:r>
        <w:rPr/>
      </w:r>
    </w:p>
    <w:p>
      <w:pPr>
        <w:pStyle w:val="Normal"/>
        <w:tabs>
          <w:tab w:val="clear" w:pos="720"/>
          <w:tab w:val="right" w:pos="6912" w:leader="none"/>
          <w:tab w:val="right" w:pos="8280" w:leader="dot"/>
        </w:tabs>
        <w:jc w:val="center"/>
        <w:rPr/>
      </w:pPr>
      <w:r>
        <w:rPr/>
        <w:t>iv</w:t>
      </w:r>
      <w:r>
        <w:br w:type="page"/>
      </w:r>
    </w:p>
    <w:p>
      <w:pPr>
        <w:pStyle w:val="Subtitle"/>
        <w:tabs>
          <w:tab w:val="clear" w:pos="720"/>
          <w:tab w:val="left" w:pos="7470" w:leader="none"/>
        </w:tabs>
        <w:jc w:val="start"/>
        <w:rPr>
          <w:rFonts w:ascii="Courier New" w:hAnsi="Courier New" w:eastAsia="Courier New" w:cs="Courier New"/>
          <w:b w:val="false"/>
          <w:bCs w:val="false"/>
        </w:rPr>
      </w:pPr>
      <w:r>
        <w:rPr>
          <w:rFonts w:eastAsia="Courier New" w:cs="Courier New" w:ascii="Courier New" w:hAnsi="Courier New"/>
          <w:b w:val="false"/>
          <w:bCs w:val="false"/>
        </w:rPr>
      </w:r>
    </w:p>
    <w:p>
      <w:pPr>
        <w:pStyle w:val="Subtitle"/>
        <w:tabs>
          <w:tab w:val="clear" w:pos="720"/>
          <w:tab w:val="left" w:pos="7470" w:leader="none"/>
        </w:tabs>
        <w:jc w:val="start"/>
        <w:rPr/>
      </w:pPr>
      <w:r>
        <w:rPr>
          <w:rFonts w:eastAsia="Courier New" w:cs="Courier New" w:ascii="Courier New" w:hAnsi="Courier New"/>
          <w:u w:val="none"/>
        </w:rPr>
        <w:tab/>
      </w:r>
      <w:r>
        <w:rPr>
          <w:rFonts w:eastAsia="Courier New" w:cs="Courier New" w:ascii="Courier New" w:hAnsi="Courier New"/>
        </w:rPr>
        <w:t>Page</w:t>
      </w:r>
    </w:p>
    <w:p>
      <w:pPr>
        <w:pStyle w:val="Heading3"/>
        <w:tabs>
          <w:tab w:val="clear" w:pos="720"/>
          <w:tab w:val="right" w:pos="6912" w:leader="none"/>
          <w:tab w:val="right" w:pos="8280" w:leader="dot"/>
        </w:tabs>
        <w:ind w:start="0" w:end="0"/>
        <w:rPr>
          <w:rFonts w:ascii="Courier New" w:hAnsi="Courier New" w:eastAsia="Courier New" w:cs="Courier New"/>
          <w:b/>
          <w:bCs/>
          <w:u w:val="single"/>
        </w:rPr>
      </w:pPr>
      <w:r>
        <w:rPr>
          <w:rFonts w:eastAsia="Courier New" w:cs="Courier New" w:ascii="Courier New" w:hAnsi="Courier New"/>
          <w:b/>
          <w:bCs/>
          <w:u w:val="single"/>
        </w:rPr>
        <w:t>REGULATIONS</w:t>
      </w:r>
    </w:p>
    <w:p>
      <w:pPr>
        <w:pStyle w:val="Normal"/>
        <w:tabs>
          <w:tab w:val="clear" w:pos="720"/>
          <w:tab w:val="right" w:pos="6912" w:leader="none"/>
          <w:tab w:val="right" w:pos="8280" w:leader="dot"/>
        </w:tabs>
        <w:rPr>
          <w:rFonts w:ascii="Courier New" w:hAnsi="Courier New" w:eastAsia="Courier New" w:cs="Courier New"/>
          <w:b/>
          <w:bCs/>
          <w:u w:val="single"/>
        </w:rPr>
      </w:pPr>
      <w:r>
        <w:rPr>
          <w:rFonts w:eastAsia="Courier New" w:cs="Courier New"/>
          <w:b/>
          <w:bCs/>
          <w:u w:val="single"/>
        </w:rPr>
      </w:r>
    </w:p>
    <w:p>
      <w:pPr>
        <w:pStyle w:val="Normal"/>
        <w:tabs>
          <w:tab w:val="left" w:pos="720" w:leader="none"/>
          <w:tab w:val="left" w:pos="7200" w:leader="dot"/>
          <w:tab w:val="left" w:pos="7387" w:leader="none"/>
        </w:tabs>
        <w:rPr/>
      </w:pPr>
      <w:r>
        <w:rPr/>
        <w:t>Rule 1 of the Commission’s Rules of Practice</w:t>
      </w:r>
    </w:p>
    <w:p>
      <w:pPr>
        <w:pStyle w:val="Header"/>
        <w:tabs>
          <w:tab w:val="clear" w:pos="4320"/>
          <w:tab w:val="clear" w:pos="8640"/>
          <w:tab w:val="left" w:pos="720" w:leader="none"/>
          <w:tab w:val="left" w:pos="7200" w:leader="dot"/>
          <w:tab w:val="left" w:pos="7387" w:leader="none"/>
        </w:tabs>
        <w:rPr/>
      </w:pPr>
      <w:r>
        <w:rPr/>
        <w:tab/>
        <w:t>and Procedure</w:t>
        <w:tab/>
        <w:tab/>
        <w:t>79</w:t>
      </w:r>
    </w:p>
    <w:p>
      <w:pPr>
        <w:pStyle w:val="Normal"/>
        <w:tabs>
          <w:tab w:val="left" w:pos="720" w:leader="none"/>
          <w:tab w:val="left" w:pos="7200" w:leader="dot"/>
          <w:tab w:val="left" w:pos="7387" w:leader="none"/>
        </w:tabs>
        <w:rPr/>
      </w:pPr>
      <w:r>
        <w:rPr/>
        <w:t>Rule 75 of the Commission’s Rules of Practice</w:t>
      </w:r>
    </w:p>
    <w:p>
      <w:pPr>
        <w:pStyle w:val="Header"/>
        <w:tabs>
          <w:tab w:val="clear" w:pos="4320"/>
          <w:tab w:val="clear" w:pos="8640"/>
          <w:tab w:val="left" w:pos="720" w:leader="none"/>
          <w:tab w:val="left" w:pos="7200" w:leader="dot"/>
          <w:tab w:val="left" w:pos="7387" w:leader="none"/>
        </w:tabs>
        <w:rPr/>
      </w:pPr>
      <w:r>
        <w:rPr/>
        <w:tab/>
        <w:t>and Procedure</w:t>
        <w:tab/>
        <w:tab/>
        <w:t>1</w:t>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pStyle w:val="Normal"/>
        <w:tabs>
          <w:tab w:val="left" w:pos="720" w:leader="none"/>
          <w:tab w:val="left" w:pos="7920" w:leader="dot"/>
        </w:tabs>
        <w:rPr/>
      </w:pPr>
      <w:r>
        <w:rPr/>
      </w:r>
    </w:p>
    <w:p>
      <w:pPr>
        <w:sectPr>
          <w:footerReference w:type="default" r:id="rId6"/>
          <w:footerReference w:type="first" r:id="rId7"/>
          <w:type w:val="nextPage"/>
          <w:pgSz w:w="12240" w:h="15840"/>
          <w:pgMar w:left="1800" w:right="1800" w:gutter="0" w:header="0" w:top="1440" w:footer="0" w:bottom="1440"/>
          <w:pgNumType w:fmt="decimal"/>
          <w:formProt w:val="false"/>
          <w:titlePg/>
          <w:textDirection w:val="lrTb"/>
        </w:sectPr>
        <w:pStyle w:val="Normal"/>
        <w:tabs>
          <w:tab w:val="left" w:pos="720" w:leader="none"/>
          <w:tab w:val="left" w:pos="7920" w:leader="dot"/>
        </w:tabs>
        <w:jc w:val="center"/>
        <w:rPr/>
      </w:pPr>
      <w:r>
        <w:rPr/>
        <w:t>v</w:t>
      </w:r>
    </w:p>
    <w:p>
      <w:pPr>
        <w:pStyle w:val="Heading"/>
        <w:rPr/>
      </w:pPr>
      <w:r>
        <w:rPr/>
        <w:t>SUMMARY OF RECOMMENDATIONS</w:t>
      </w:r>
    </w:p>
    <w:p>
      <w:pPr>
        <w:pStyle w:val="Heading"/>
        <w:rPr/>
      </w:pPr>
      <w:r>
        <w:rPr/>
      </w:r>
    </w:p>
    <w:p>
      <w:pPr>
        <w:pStyle w:val="Heading"/>
        <w:rPr/>
      </w:pPr>
      <w:r>
        <w:rPr/>
      </w:r>
    </w:p>
    <w:p>
      <w:pPr>
        <w:pStyle w:val="Heading"/>
        <w:spacing w:lineRule="auto" w:line="360"/>
        <w:jc w:val="start"/>
        <w:rPr>
          <w:b w:val="false"/>
          <w:bCs w:val="false"/>
        </w:rPr>
      </w:pPr>
      <w:r>
        <w:rPr>
          <w:b w:val="false"/>
          <w:bCs w:val="false"/>
        </w:rPr>
        <w:tab/>
        <w:t>Pursuant to Rule 75 of the Commission’s Rules of Practice and Procedure, Southern California Gas Company (“SoCalGas”) and San Diego Gas &amp; Electric Company (“SDG&amp;E”) provide this Summary of Recommendations.</w:t>
      </w:r>
    </w:p>
    <w:p>
      <w:pPr>
        <w:pStyle w:val="Heading"/>
        <w:spacing w:lineRule="auto" w:line="360"/>
        <w:jc w:val="start"/>
        <w:rPr>
          <w:b w:val="false"/>
          <w:bCs w:val="false"/>
        </w:rPr>
      </w:pPr>
      <w:r>
        <w:rPr>
          <w:b w:val="false"/>
          <w:bCs w:val="false"/>
        </w:rPr>
        <w:tab/>
        <w:t>SoCalGas and SDG&amp;E are willing to accept the Interim Settlement.  If the Commission adopts the Interim Settlement, it should immediately institute proceedings to consider:  (a) issues not addressed by the Interim Settlement but permitted by it to be adopted at any time, such as core interstate capacity unbundling for SoCalGas and virtually all of the “retail” measures that have already been adopted for PG&amp;E (and would be adopted by the Comprehensive Settlement); and (b) measures that the Interim Settlement allows to be implemented on or after January 1, 2003, such as the creation of firm, tradable intrastate transmission right and storage rights on SoCalGas’ system.</w:t>
      </w:r>
    </w:p>
    <w:p>
      <w:pPr>
        <w:pStyle w:val="Heading"/>
        <w:spacing w:lineRule="auto" w:line="360"/>
        <w:ind w:firstLine="720" w:end="0"/>
        <w:jc w:val="start"/>
        <w:rPr>
          <w:b w:val="false"/>
          <w:bCs w:val="false"/>
        </w:rPr>
      </w:pPr>
      <w:r>
        <w:rPr>
          <w:b w:val="false"/>
          <w:bCs w:val="false"/>
        </w:rPr>
        <w:t xml:space="preserve">SoCalGas and SDG&amp;E support the Comprehensive Settlement in lieu of the Interim Settlement to the extent that the Commission finds the Interim Settlement insufficiently consistent with the options the Commission found promising in D.99-07-015 or unacceptable for any other reason.  If the Commission approves the Comprehensive Settlement, it should also approve a three-phase process proposed in Section IV of this brief for resolving implementation details and revising SoCalGas and SDG&amp;E’s tariff provisions to reflect the Comprehensive Settlement. </w:t>
      </w:r>
    </w:p>
    <w:p>
      <w:pPr>
        <w:pStyle w:val="Heading"/>
        <w:spacing w:lineRule="auto" w:line="360"/>
        <w:ind w:firstLine="720" w:end="0"/>
        <w:jc w:val="start"/>
        <w:rPr>
          <w:b w:val="false"/>
          <w:bCs w:val="false"/>
        </w:rPr>
      </w:pPr>
      <w:r>
        <w:rPr>
          <w:b w:val="false"/>
          <w:bCs w:val="false"/>
        </w:rPr>
      </w:r>
    </w:p>
    <w:p>
      <w:pPr>
        <w:pStyle w:val="Heading"/>
        <w:spacing w:lineRule="auto" w:line="360"/>
        <w:ind w:firstLine="720" w:end="0"/>
        <w:jc w:val="start"/>
        <w:rPr>
          <w:b w:val="false"/>
          <w:bCs w:val="false"/>
        </w:rPr>
      </w:pPr>
      <w:r>
        <w:rPr>
          <w:b w:val="false"/>
          <w:bCs w:val="false"/>
        </w:rPr>
      </w:r>
    </w:p>
    <w:p>
      <w:pPr>
        <w:pStyle w:val="Heading"/>
        <w:spacing w:lineRule="auto" w:line="360"/>
        <w:ind w:firstLine="720" w:end="0"/>
        <w:rPr>
          <w:b w:val="false"/>
          <w:bCs w:val="false"/>
          <w:sz w:val="20"/>
          <w:szCs w:val="20"/>
        </w:rPr>
      </w:pPr>
      <w:r>
        <w:rPr>
          <w:b w:val="false"/>
          <w:bCs w:val="false"/>
          <w:sz w:val="20"/>
          <w:szCs w:val="20"/>
        </w:rPr>
        <w:t>vi</w:t>
      </w:r>
    </w:p>
    <w:p>
      <w:pPr>
        <w:pStyle w:val="Heading"/>
        <w:spacing w:lineRule="auto" w:line="360"/>
        <w:ind w:firstLine="720" w:end="0"/>
        <w:jc w:val="start"/>
        <w:rPr>
          <w:b w:val="false"/>
          <w:bCs w:val="false"/>
        </w:rPr>
      </w:pPr>
      <w:r>
        <w:rPr>
          <w:b w:val="false"/>
          <w:bCs w:val="false"/>
        </w:rPr>
        <w:t>Under no circumstances should the Commission adopt the Post-Interim Settlement.  The Post-Interim Settlement would foolishly deprive the Commission of the ability to implement any time in the next six years gas industry structural reforms that it may conclude are in the public interest.  It also contains provisions that are unjust, unreasonable, contrary to prior Commission decisions, and unlawful.</w:t>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pStyle w:val="Heading"/>
        <w:spacing w:lineRule="auto" w:line="360"/>
        <w:jc w:val="start"/>
        <w:rPr>
          <w:b w:val="false"/>
          <w:bCs w:val="false"/>
        </w:rPr>
      </w:pPr>
      <w:r>
        <w:rPr>
          <w:b w:val="false"/>
          <w:bCs w:val="false"/>
        </w:rPr>
      </w:r>
    </w:p>
    <w:p>
      <w:pPr>
        <w:sectPr>
          <w:headerReference w:type="default" r:id="rId8"/>
          <w:footerReference w:type="default" r:id="rId9"/>
          <w:type w:val="nextPage"/>
          <w:pgSz w:w="12240" w:h="15840"/>
          <w:pgMar w:left="1800" w:right="1800" w:gutter="0" w:header="720" w:top="1440" w:footer="720" w:bottom="1440"/>
          <w:pgNumType w:start="1" w:fmt="decimal"/>
          <w:formProt w:val="false"/>
          <w:textDirection w:val="lrTb"/>
        </w:sectPr>
        <w:pStyle w:val="Heading"/>
        <w:spacing w:lineRule="auto" w:line="360"/>
        <w:rPr>
          <w:sz w:val="20"/>
          <w:szCs w:val="20"/>
        </w:rPr>
      </w:pPr>
      <w:r>
        <w:rPr>
          <w:b w:val="false"/>
          <w:bCs w:val="false"/>
          <w:sz w:val="20"/>
          <w:szCs w:val="20"/>
        </w:rPr>
        <w:t>vii</w:t>
      </w:r>
    </w:p>
    <w:p>
      <w:pPr>
        <w:pStyle w:val="Heading"/>
        <w:rPr>
          <w:sz w:val="20"/>
          <w:szCs w:val="20"/>
        </w:rPr>
      </w:pPr>
      <w:r>
        <w:rPr>
          <w:sz w:val="20"/>
          <w:szCs w:val="20"/>
        </w:rPr>
      </w:r>
    </w:p>
    <w:p>
      <w:pPr>
        <w:pStyle w:val="Heading"/>
        <w:rPr/>
      </w:pPr>
      <w:r>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p>
      <w:pPr>
        <w:pStyle w:val="Normal"/>
        <w:jc w:val="center"/>
        <w:rPr>
          <w:b/>
          <w:bCs/>
        </w:rPr>
      </w:pPr>
      <w:r>
        <w:rPr>
          <w:b/>
          <w:bCs/>
        </w:rPr>
      </w:r>
    </w:p>
    <w:p>
      <w:pPr>
        <w:pStyle w:val="BodyText"/>
        <w:spacing w:lineRule="auto" w:line="240"/>
        <w:rPr>
          <w:rFonts w:ascii="Courier New" w:hAnsi="Courier New" w:eastAsia="Courier New" w:cs="Courier New"/>
          <w:b/>
          <w:bCs/>
        </w:rPr>
      </w:pPr>
      <w:r>
        <w:rPr>
          <w:rFonts w:eastAsia="Courier New" w:cs="Courier New" w:ascii="Courier New" w:hAnsi="Courier New"/>
          <w:b/>
          <w:bCs/>
        </w:rPr>
        <w:t>Investigation on the Commission’s Own Motion  )</w:t>
      </w:r>
    </w:p>
    <w:p>
      <w:pPr>
        <w:pStyle w:val="BodyText"/>
        <w:spacing w:lineRule="auto" w:line="240"/>
        <w:rPr>
          <w:rFonts w:ascii="Courier New" w:hAnsi="Courier New" w:eastAsia="Courier New" w:cs="Courier New"/>
          <w:b/>
          <w:bCs/>
        </w:rPr>
      </w:pPr>
      <w:r>
        <w:rPr>
          <w:rFonts w:eastAsia="Courier New" w:cs="Courier New" w:ascii="Courier New" w:hAnsi="Courier New"/>
          <w:b/>
          <w:bCs/>
        </w:rPr>
        <w:t>To Consider the Costs and Benefits of Various ) I.99-07-003</w:t>
      </w:r>
    </w:p>
    <w:p>
      <w:pPr>
        <w:pStyle w:val="BodyText"/>
        <w:spacing w:lineRule="auto" w:line="240"/>
        <w:rPr>
          <w:rFonts w:ascii="Courier New" w:hAnsi="Courier New" w:eastAsia="Courier New" w:cs="Courier New"/>
          <w:b/>
          <w:bCs/>
        </w:rPr>
      </w:pPr>
      <w:r>
        <w:rPr>
          <w:rFonts w:eastAsia="Courier New" w:cs="Courier New" w:ascii="Courier New" w:hAnsi="Courier New"/>
          <w:b/>
          <w:bCs/>
        </w:rPr>
        <w:t>Promising Revisions to the Regulatory and     )</w:t>
      </w:r>
    </w:p>
    <w:p>
      <w:pPr>
        <w:pStyle w:val="BodyText"/>
        <w:spacing w:lineRule="auto" w:line="240"/>
        <w:rPr>
          <w:rFonts w:ascii="Courier New" w:hAnsi="Courier New" w:eastAsia="Courier New" w:cs="Courier New"/>
          <w:b/>
          <w:bCs/>
        </w:rPr>
      </w:pPr>
      <w:r>
        <w:rPr>
          <w:rFonts w:eastAsia="Courier New" w:cs="Courier New" w:ascii="Courier New" w:hAnsi="Courier New"/>
          <w:b/>
          <w:bCs/>
        </w:rPr>
        <w:t>Market Structure Governing California’s       )</w:t>
      </w:r>
    </w:p>
    <w:p>
      <w:pPr>
        <w:pStyle w:val="BodyText"/>
        <w:spacing w:lineRule="auto" w:line="240"/>
        <w:rPr>
          <w:rFonts w:ascii="Courier New" w:hAnsi="Courier New" w:eastAsia="Courier New" w:cs="Courier New"/>
          <w:b/>
          <w:bCs/>
        </w:rPr>
      </w:pPr>
      <w:r>
        <w:rPr>
          <w:rFonts w:eastAsia="Courier New" w:cs="Courier New" w:ascii="Courier New" w:hAnsi="Courier New"/>
          <w:b/>
          <w:bCs/>
        </w:rPr>
        <w:t>Natural Gas Industry and to Report to the     )</w:t>
      </w:r>
    </w:p>
    <w:p>
      <w:pPr>
        <w:pStyle w:val="BodyText"/>
        <w:spacing w:lineRule="auto" w:line="240"/>
        <w:rPr>
          <w:rFonts w:ascii="Courier New" w:hAnsi="Courier New" w:eastAsia="Courier New" w:cs="Courier New"/>
          <w:b/>
          <w:bCs/>
        </w:rPr>
      </w:pPr>
      <w:r>
        <w:rPr>
          <w:rFonts w:eastAsia="Courier New" w:cs="Courier New" w:ascii="Courier New" w:hAnsi="Courier New"/>
          <w:b/>
          <w:bCs/>
        </w:rPr>
        <w:t>California Legislature on the Commission’s    )</w:t>
      </w:r>
    </w:p>
    <w:p>
      <w:pPr>
        <w:pStyle w:val="BodyText"/>
        <w:spacing w:lineRule="auto" w:line="240"/>
        <w:rPr>
          <w:rFonts w:ascii="Courier New" w:hAnsi="Courier New" w:eastAsia="Courier New" w:cs="Courier New"/>
          <w:b/>
          <w:bCs/>
        </w:rPr>
      </w:pPr>
      <w:r>
        <w:rPr>
          <w:rFonts w:eastAsia="Courier New" w:cs="Courier New" w:ascii="Courier New" w:hAnsi="Courier New"/>
          <w:b/>
          <w:bCs/>
        </w:rPr>
        <w:t>Findings                                      )</w:t>
      </w:r>
    </w:p>
    <w:p>
      <w:pPr>
        <w:pStyle w:val="BodyText"/>
        <w:spacing w:lineRule="auto" w:line="240"/>
        <w:rPr>
          <w:rFonts w:ascii="Courier New" w:hAnsi="Courier New" w:eastAsia="Courier New" w:cs="Courier New"/>
          <w:b/>
          <w:bCs/>
        </w:rPr>
      </w:pPr>
      <w:r>
        <w:rPr>
          <w:rFonts w:eastAsia="Courier New" w:cs="Courier New" w:ascii="Courier New" w:hAnsi="Courier New"/>
          <w:b/>
          <w:bCs/>
        </w:rPr>
        <w:t>______________________________________________)</w:t>
      </w:r>
    </w:p>
    <w:p>
      <w:pPr>
        <w:pStyle w:val="Footer"/>
        <w:tabs>
          <w:tab w:val="clear" w:pos="4320"/>
          <w:tab w:val="clear" w:pos="8640"/>
        </w:tabs>
        <w:rPr>
          <w:rFonts w:ascii="Courier New" w:hAnsi="Courier New" w:eastAsia="Courier New" w:cs="Courier New"/>
          <w:b/>
          <w:bCs/>
        </w:rPr>
      </w:pPr>
      <w:r>
        <w:rPr>
          <w:rFonts w:eastAsia="Courier New" w:cs="Courier New"/>
          <w:b/>
          <w:bCs/>
        </w:rPr>
      </w:r>
    </w:p>
    <w:p>
      <w:pPr>
        <w:pStyle w:val="Normal"/>
        <w:spacing w:lineRule="auto" w:line="360"/>
        <w:rPr/>
      </w:pPr>
      <w:r>
        <w:rPr/>
      </w:r>
    </w:p>
    <w:p>
      <w:pPr>
        <w:pStyle w:val="Normal"/>
        <w:jc w:val="center"/>
        <w:rPr>
          <w:b/>
          <w:bCs/>
        </w:rPr>
      </w:pPr>
      <w:r>
        <w:rPr>
          <w:b/>
          <w:bCs/>
        </w:rPr>
        <w:t>OPENING BRIEF OF</w:t>
      </w:r>
    </w:p>
    <w:p>
      <w:pPr>
        <w:pStyle w:val="Normal"/>
        <w:jc w:val="center"/>
        <w:rPr>
          <w:b/>
          <w:bCs/>
        </w:rPr>
      </w:pPr>
      <w:r>
        <w:rPr>
          <w:b/>
          <w:bCs/>
        </w:rPr>
        <w:t>SOUTHERN CALIFORNIA GAS COMPANY (U 904 G) AND</w:t>
      </w:r>
    </w:p>
    <w:p>
      <w:pPr>
        <w:pStyle w:val="Normal"/>
        <w:jc w:val="center"/>
        <w:rPr>
          <w:b/>
          <w:bCs/>
        </w:rPr>
      </w:pPr>
      <w:r>
        <w:rPr>
          <w:b/>
          <w:bCs/>
        </w:rPr>
        <w:t>SAN DIEGO GAS &amp; ELECTRIC COMPANY (U 902 G)</w:t>
      </w:r>
    </w:p>
    <w:p>
      <w:pPr>
        <w:pStyle w:val="Normal"/>
        <w:spacing w:lineRule="auto" w:line="360"/>
        <w:jc w:val="center"/>
        <w:rPr>
          <w:b/>
          <w:bCs/>
        </w:rPr>
      </w:pPr>
      <w:r>
        <w:rPr>
          <w:b/>
          <w:bCs/>
        </w:rPr>
      </w:r>
    </w:p>
    <w:p>
      <w:pPr>
        <w:pStyle w:val="Normal"/>
        <w:spacing w:lineRule="auto" w:line="360"/>
        <w:rPr/>
      </w:pPr>
      <w:r>
        <w:rPr/>
        <w:tab/>
        <w:t>Pursuant to the briefing schedule established by Presiding Administrative Law Judge Biren, Southern California Gas Company (“SoCalGas”) and San Diego Gas &amp; Electric Company (“SDG&amp;E”) hereby jointly submit their opening brief on issues relating to the structure of gas service on their systems.</w:t>
      </w:r>
    </w:p>
    <w:p>
      <w:pPr>
        <w:pStyle w:val="Normal"/>
        <w:spacing w:lineRule="auto" w:line="360"/>
        <w:rPr/>
      </w:pPr>
      <w:r>
        <w:rPr/>
        <w:tab/>
        <w:t>As directed by ALJ Biren, this brief begins with an executive summary.</w:t>
      </w:r>
    </w:p>
    <w:p>
      <w:pPr>
        <w:pStyle w:val="Normal"/>
        <w:spacing w:lineRule="auto" w:line="360"/>
        <w:rPr/>
      </w:pPr>
      <w:r>
        <w:rPr/>
      </w:r>
    </w:p>
    <w:p>
      <w:pPr>
        <w:pStyle w:val="Heading"/>
        <w:rPr/>
      </w:pPr>
      <w:r>
        <w:rPr/>
        <w:t>EXECUTIVE SUMMARY</w:t>
      </w:r>
    </w:p>
    <w:p>
      <w:pPr>
        <w:pStyle w:val="Normal"/>
        <w:jc w:val="center"/>
        <w:rPr/>
      </w:pPr>
      <w:r>
        <w:rPr/>
      </w:r>
    </w:p>
    <w:p>
      <w:pPr>
        <w:pStyle w:val="Normal"/>
        <w:spacing w:lineRule="auto" w:line="360"/>
        <w:rPr/>
      </w:pPr>
      <w:r>
        <w:rPr/>
        <w:tab/>
        <w:t>If approved by the Commission, the Comprehensive Settlement (Exhibit No.1) would implement for SoCalGas and SDG&amp;E of virtually all of the options the Commission identified in its decision last July as being most promising for restructuring of gas service by the two utilities.  It would produce a high degree of statewide consistency, including with the settlements applicable to PG&amp;E that the Commission has only recently approved in this investigation.  It enjoys broad support from a large number of parties representing every stakeholder interest in the California gas industry.  Most importantly, it will deliver substantial benefits to gas consumers.  It will reduce the cost of service to core customers who continue to take fully bundled service from SoCalGas, while encouraging increased competition to serve gas consumers, especially core customers who have not previously enjoyed the same degree of competitive options as noncore customers.  It will have no adverse affect on the reliability of gas service.</w:t>
      </w:r>
    </w:p>
    <w:p>
      <w:pPr>
        <w:pStyle w:val="Normal"/>
        <w:spacing w:lineRule="auto" w:line="360"/>
        <w:rPr/>
      </w:pPr>
      <w:r>
        <w:rPr/>
        <w:tab/>
        <w:t>SoCalGas and SDG&amp;E invite the Commission to examine how closely the provisions of the Comprehensive Settlement align with the Commission’s promising options.</w:t>
      </w:r>
    </w:p>
    <w:p>
      <w:pPr>
        <w:pStyle w:val="Normal"/>
        <w:spacing w:lineRule="auto" w:line="360"/>
        <w:rPr/>
      </w:pPr>
      <w:r>
        <w:rPr/>
        <w:tab/>
        <w:t>The Comprehensive Settlement is organized to follow exactly the promising options as identified by the Commission in Appendix C of D.99-07-015.  It creates firm backbone transmission rights (including from the Hector Road interconnection) on SoCalGas’ system and provides for an active secondary market in those rights.  It places SoCalGas shareholders 100% at risk/reward for recovery in the market of the embedded cost of unbundled backbone transmission service.  It creates firm storage rights on the SoCalGas system and an active secondary market in those rights, and puts SoCalGas shareholders at 100% risk/reward (after a two-year phase in) for unbundled storage costs and revenues.  It creates a system of Operational Flow Order (“OFO”) procedures similar to those for PG&amp;E.  It balances SoCalGas’ system independently for core and noncore customer classes so that one class cannot draw on assets allocated to the other class without paying compensation.  It gives customers an option for daily transportation balancing (“self-balancing”), while maintaining SoCalGas’ current liberal monthly balancing tolerances as the default option.  The trading of monthly imbalances is liberalized. The trading of imbalance “chips” on OFO days, as already adopted for PG&amp;E, is adopted for SoCalGas.  All of these trading options are enhanced by the creation of an electronic imbalance trading platform.  Hub services by SoCalGas’ Gas Acquisition department are restricted to the use of storage assets specifically paid for by core procurement customers.  SoCalGas Gas Operations is allowed to offer a second hub using unbundled storage assets, as PG&amp;E’s pipeline operations department is already authorized to offer.</w:t>
      </w:r>
    </w:p>
    <w:p>
      <w:pPr>
        <w:pStyle w:val="Normal"/>
        <w:spacing w:lineRule="auto" w:line="360"/>
        <w:ind w:firstLine="720" w:end="0"/>
        <w:rPr/>
      </w:pPr>
      <w:r>
        <w:rPr/>
        <w:t>The Comprehensive Settlement eliminates the 10% cap on the core market share that can be served by ESPs and reduces the minimum size for an ESP.  Interstate pipeline capacity held by SoCalGas for core customers is unbundled, and core customers are relieved of any share of the cost of stranded interstate capacity in excess of core needs.  Storage is unbundled for ESPs serving core customers, although they will have to meet reliability standards.  The Comprehensive Settlement eliminates both SoCalGas and SDG&amp;E’s gas procurement service for their noncore customers.  Increased information will be made available about system operations, class demands, and customers’ own consumption.  Pilot programs for competitive gas metering technologies are established for SoCalGas and SDG&amp;E.  SoCalGas and SDG&amp;E will provide credits to core customers whose ESPs perform consolidated billing.  By 2001, the two utilities will offer utility consolidated billing to ESPs serving the core market.</w:t>
      </w:r>
    </w:p>
    <w:p>
      <w:pPr>
        <w:pStyle w:val="Normal"/>
        <w:spacing w:lineRule="auto" w:line="360"/>
        <w:rPr/>
      </w:pPr>
      <w:r>
        <w:rPr/>
        <w:tab/>
        <w:t xml:space="preserve">The Comprehensive Settlement also promotes statewide consistency in gas regulation.  It would establish a structure in southern California that is very similar to the structure the Commission has created for PG&amp;E through the Gas Accord and the two PG&amp;E settlements approved in this investigation.  Firm backbone transmission rights would be created on the SoCalGas system, just as they were created for the PG&amp;E system in the Gas Accord.  SoCalGas shareholders would be put 100% at risk, just as PG&amp;E shareholders were put at risk in the Gas Accord.  Some of the details of the Comprehensive Settlement appropriately differ from some of the details of the structure on the PG&amp;E system, reflecting physical differences of the systems and “lessons learned” from the PG&amp;E experience.  Treatment of SoCalGas storage is also very similar to that already adopted for PG&amp;E, including the ability of core ESPs to make elections about storage service, subject to rules ensuring the reliability of service.  </w:t>
      </w:r>
    </w:p>
    <w:p>
      <w:pPr>
        <w:pStyle w:val="Normal"/>
        <w:spacing w:lineRule="auto" w:line="360"/>
        <w:rPr/>
      </w:pPr>
      <w:r>
        <w:rPr/>
        <w:tab/>
        <w:t>The Comprehensive Settlement is supported by consumer advocates (ORA), commercial and industrial customer representatives (CIG/CMA, City of Vernon), electric generators (Dynegy, CCC, Watson Cogen, Calpine), wholesale customers (SDG&amp;E), interstate pipelines (Transwestern and El Paso), gas producers (Indicated Producers), electric distributors (Edison), marketers (Enron, GreenMountain.com, etc.), competitive storage providers (Wild Goose, WHP), and by the affected gas utilities (SoCalGas, SDG&amp;E).</w:t>
      </w:r>
    </w:p>
    <w:p>
      <w:pPr>
        <w:pStyle w:val="Normal"/>
        <w:spacing w:lineRule="auto" w:line="360"/>
        <w:rPr/>
      </w:pPr>
      <w:r>
        <w:rPr/>
        <w:tab/>
        <w:t>Most importantly, the Comprehensive Settlement will provide substantial benefits to gas consumers in southern California.  ALJ Biren expressed a particular concern about impacts on residential customers who continue to elect to purchase fully bundled service from SoCalGas.  The Comprehensive Settlement ensures that this class of customer will be better off by its adoption.  The Comprehensive Settlement provides for the allocation of base margin between SoCalGas core and noncore customer classes to remain virtually unchanged from the BCAP decision just adopted by the Commission in April of this year.  However, the Comprehensive Settlement provides for unbundling of SoCalGas’ core interstate capacity and for the elimination after 2001 of the current allocation to core customers of a portion of the stranded costs of interstate capacity held by SoCalGas in excess of core market requirements (“ITCS”).  The net effect is that the Comprehensive Settlement will reduce rates to SoCalGas’ residential customers who continue to buy gas from SoCalGas by approximately $2.7 million in 2002, assuming a 10% penetration of the core market by ESPs (Ex.No.2, p.27).  In addition, Mr. Pocta of ORA estimated that the more-than-proportional allocation of backbone transmission capacity from Topock for core utility procurement customers will benefit them by approximately $2.8 million per year</w:t>
      </w:r>
      <w:r>
        <w:rPr>
          <w:rStyle w:val="FootnoteCharacters"/>
          <w:rStyle w:val="FootnoteReference"/>
        </w:rPr>
        <w:footnoteReference w:id="2"/>
      </w:r>
      <w:r>
        <w:rPr/>
        <w:t xml:space="preserve"> (Ex. No.4, p.11).</w:t>
      </w:r>
    </w:p>
    <w:p>
      <w:pPr>
        <w:pStyle w:val="Normal"/>
        <w:spacing w:lineRule="auto" w:line="360"/>
        <w:ind w:firstLine="720" w:end="0"/>
        <w:rPr/>
      </w:pPr>
      <w:r>
        <w:rPr/>
        <w:t>There will be additional benefits to fully-bundled residential customers, including:  an increased ability to capitalize in liquid secondary markets on firm intrastate transmission and storage rights reserved for the core procurement customers, reduced core procurement peak day storage minimums, the ability to capitalize on core procurement’s rights through OFO chip trading, and the avoidance of “cuts” by El Paso of SoCalGas’ Gas Acquisition department nominations at the desirable Topock delivery point (SoCalGas witness Lorenz, Tr.8/991-993).</w:t>
      </w:r>
    </w:p>
    <w:p>
      <w:pPr>
        <w:pStyle w:val="Normal"/>
        <w:spacing w:lineRule="auto" w:line="360"/>
        <w:rPr/>
      </w:pPr>
      <w:r>
        <w:rPr/>
        <w:tab/>
        <w:t>It is equally important to stress the potential for benefits to all core and noncore customers as a result of the ways in which the Comprehensive Settlement will encourage and enable competition.  The Comprehensive Settlement will give noncore customers and ESPs serving core customers greater choice in managing their intrastate transmission service, storage services, and balancing service.  ESPs serving core customers will be able to make their own arrangements for interstate transportation, rather than having to take assignment at the as-billed rate of interstate capacity held by SoCalGas.  Other changes in the Comprehensive Settlement will make it more attractive and less costly for ESPs to compete to serve core customers.</w:t>
      </w:r>
    </w:p>
    <w:p>
      <w:pPr>
        <w:pStyle w:val="Normal"/>
        <w:spacing w:lineRule="auto" w:line="360"/>
        <w:rPr/>
      </w:pPr>
      <w:r>
        <w:rPr/>
        <w:tab/>
        <w:t>The details of the Comprehensive Settlement are reasonable and well-considered.  They were negotiated with among a well-informed group of parties with diverse interests.  They are patterned on Commission-approved PG&amp;E settlements whenever feasible and appropriate.</w:t>
      </w:r>
    </w:p>
    <w:p>
      <w:pPr>
        <w:pStyle w:val="Normal"/>
        <w:spacing w:lineRule="auto" w:line="360"/>
        <w:ind w:firstLine="720" w:end="0"/>
        <w:rPr/>
      </w:pPr>
      <w:r>
        <w:rPr/>
        <w:t>Claims that the Comprehensive Settlement will have a severe impact on low load factor customers are wrong.  In fact, the Comprehensive Settlement’s impact on low load factor customers will be to put only about 1% (</w:t>
      </w:r>
      <w:r>
        <w:rPr>
          <w:i/>
          <w:iCs/>
        </w:rPr>
        <w:t>one percent!</w:t>
      </w:r>
      <w:r>
        <w:rPr/>
        <w:t>) of their total delivered cost of gas in a fixed charge.  The maximum reservation charge on SoCalGas’ system will be much below the level in effect under PG&amp;E’s Gas Accord.  The Comprehensive Settlement provides such customers with many tools to effectively manage this small change.  In fact, experience on the PG&amp;E system under the Gas Accord suggests the delivered cost of gas may even decline for low load factor customers.  There is simply no way to have a workable system of firm capacity rights unless those rights are secured by some fixed obligation of their owners to pay for the capacity they reserve.</w:t>
      </w:r>
    </w:p>
    <w:p>
      <w:pPr>
        <w:pStyle w:val="BodyText2"/>
        <w:rPr/>
      </w:pPr>
      <w:r>
        <w:rPr/>
        <w:t>The load factor for backbone transmission used in the Comprehensive Settlement is greater than the throughput level just adopted by the Commission in the April 2000 BCAP decision, and will no more result in SoCalGas earning a “windfall” than PG&amp;E has earned a windfall under the Gas Accord.</w:t>
      </w:r>
    </w:p>
    <w:p>
      <w:pPr>
        <w:pStyle w:val="Normal"/>
        <w:spacing w:lineRule="auto" w:line="360"/>
        <w:ind w:firstLine="720" w:end="0"/>
        <w:rPr/>
      </w:pPr>
      <w:r>
        <w:rPr/>
        <w:t xml:space="preserve">The Comprehensive Settlement will </w:t>
      </w:r>
      <w:r>
        <w:rPr>
          <w:u w:val="single"/>
        </w:rPr>
        <w:t>increase</w:t>
      </w:r>
      <w:r>
        <w:rPr/>
        <w:t xml:space="preserve"> the certainty and reliability of service to customers.  Claims that the Comprehensive Settlement will increase the frequency of OFOs are based on the entirely unreasonable assumption that gas shippers’ behavior will be the same under radically different regulatory structures and incentives.</w:t>
      </w:r>
    </w:p>
    <w:p>
      <w:pPr>
        <w:pStyle w:val="Normal"/>
        <w:spacing w:lineRule="auto" w:line="360"/>
        <w:rPr/>
      </w:pPr>
      <w:r>
        <w:rPr/>
        <w:tab/>
        <w:t>SoCalGas and SDG&amp;E were also signatories to the “Interim Settlement” filed on December 27, 1999.  After conflicting settlements were filed by numerous other parties on January 28, 2000, the Assigned Commissioner and ALJ encouraged parties to release themselves from any prior commitments and negotiate anew.  The Comprehensive Settlement was the result.  Nevertheless, SoCalGas and SDG&amp;E remain willing to accept the Interim Settlement if the Commission finds it acceptable.</w:t>
      </w:r>
    </w:p>
    <w:p>
      <w:pPr>
        <w:pStyle w:val="Normal"/>
        <w:spacing w:lineRule="auto" w:line="360"/>
        <w:rPr/>
      </w:pPr>
      <w:r>
        <w:rPr/>
        <w:tab/>
        <w:t>The Commission should recognize, however, that if it approves the Interim Settlement in lieu of the Comprehensive Settlement, it will have much work remaining to be done.  The Interim Settlement does not address at all many of the Commission’s promising options, including unbundling of SoCalGas’ core interstate pipeline capacity, lifting the market share and size limitations in the core transportation aggregation program, eliminating core subscription service, establishing a metering pilot program, providing ESP consolidated billing credits, and authorizing utility consolidated billing for core ESPs.  These matters have all been resolved by the Commission for PG&amp;E.</w:t>
      </w:r>
    </w:p>
    <w:p>
      <w:pPr>
        <w:pStyle w:val="Normal"/>
        <w:spacing w:lineRule="auto" w:line="360"/>
        <w:rPr/>
      </w:pPr>
      <w:r>
        <w:rPr/>
        <w:tab/>
        <w:t xml:space="preserve">Furthermore, the Interim Settlement defers only until January 1, 2003, the possible implementation of numerous other reforms, such as creation of firm, tradable intrastate backbone transmission rights and unbundling additional storage capacity.  In Section XI., it provides for a collaborative process to be concluded by </w:t>
      </w:r>
      <w:r>
        <w:rPr>
          <w:u w:val="single"/>
        </w:rPr>
        <w:t>September of 2000</w:t>
      </w:r>
      <w:r>
        <w:rPr/>
        <w:t xml:space="preserve"> to propose to the Commission further gas structural changes to be effective on or after January 1, 2003.  Obviously, the deadline in the Interim Settlement for this process cannot now be met, no matter how quickly the Commission acts in this investigation.  Thus, if the Commission approves the Interim Settlement, it will be obliging itself to institute further proceedings </w:t>
      </w:r>
      <w:r>
        <w:rPr>
          <w:u w:val="single"/>
        </w:rPr>
        <w:t>immediately</w:t>
      </w:r>
      <w:r>
        <w:rPr/>
        <w:t xml:space="preserve"> to consider additional restructuring, including firm intrastate transmission rights, that could become effective on January 1, 2003.</w:t>
      </w:r>
    </w:p>
    <w:p>
      <w:pPr>
        <w:pStyle w:val="Normal"/>
        <w:spacing w:lineRule="auto" w:line="360"/>
        <w:rPr/>
      </w:pPr>
      <w:r>
        <w:rPr/>
        <w:tab/>
        <w:t xml:space="preserve">The “Post-Interim Settlement” advocated by SCGC and TURN should be rejected by the Commission.  It would tie the Commission’s hands so that it could not implement many gas structural reforms at any time in the next </w:t>
      </w:r>
      <w:r>
        <w:rPr>
          <w:u w:val="single"/>
        </w:rPr>
        <w:t>six</w:t>
      </w:r>
      <w:r>
        <w:rPr/>
        <w:t xml:space="preserve"> years, even if the Commission decided in that period that such reforms were needed.  The Post-Interim Settlement would prohibit the Commission from implementing a system of firm, tradable intrastate backbone transmission rights on SoCalGas’ system any time prior to September 1, 2006.  It would ensure that there could not be statewide consistency in gas regulation prior to September 2006 – except that its hidden agenda is to have the Commission roll back the PG&amp;E Gas Accord when that settlement expires.</w:t>
      </w:r>
    </w:p>
    <w:p>
      <w:pPr>
        <w:pStyle w:val="Normal"/>
        <w:spacing w:lineRule="auto" w:line="360"/>
        <w:ind w:firstLine="720" w:end="0"/>
        <w:rPr/>
      </w:pPr>
      <w:r>
        <w:rPr/>
        <w:t>The Post-Interim Settlement’s prohibition on the Commission implementing regulatory reforms any time prior to September of 2006 is entirely at variance with good regulation.  It is also inconsistent with the Interim Settlement that it purports to incorporate because it wholly short-circuits the collaborative process the Interim Settlement provides in Section XI. for arriving at further reform that could be implemented on January 1, 2003.</w:t>
      </w:r>
    </w:p>
    <w:p>
      <w:pPr>
        <w:pStyle w:val="Normal"/>
        <w:spacing w:lineRule="auto" w:line="360"/>
        <w:rPr/>
      </w:pPr>
      <w:r>
        <w:rPr/>
        <w:tab/>
        <w:t>Furthermore, like the Interim Settlement, the Post-Interim Settlement simply fails to address many of the promising options identified by the Commission in July of 1999.  The only additional promising option it resolves is SoCalGas core interstate pipeline unbundling, but it does so in a manner inferior to the provisions of the Comprehensive Settlement on this point.</w:t>
      </w:r>
    </w:p>
    <w:p>
      <w:pPr>
        <w:pStyle w:val="Normal"/>
        <w:spacing w:lineRule="auto" w:line="360"/>
        <w:rPr>
          <w:i/>
          <w:i/>
          <w:iCs/>
        </w:rPr>
      </w:pPr>
      <w:r>
        <w:rPr/>
        <w:tab/>
        <w:t xml:space="preserve">Finally, the Post-Interim Settlement must be rejected because of two unlawful provisions intended to confiscate shareholder property and to punish SoCalGas for having signed the Comprehensive Settlement.  First, Post-Interim Settlement Section 4.2.1 would require SoCalGas shareholders to absorb 25% of the stranded cost of interstate capacity in excess of core requirements.  This provision would deny SoCalGas recovery of prudently-incurred costs.  This concept was long ago rejected by the Commission.  It is contrary to the SoCalGas Global Settlement that was signed by the sponsors of the Post-Interim Settlement and approved by the Commission.  It prevents the flowthrough to SoCalGas’ ratepayers of costs regulated by the FERC, directly in violation of the U.S. Supreme Court’s decisions in the </w:t>
      </w:r>
      <w:r>
        <w:rPr>
          <w:u w:val="single"/>
        </w:rPr>
        <w:t>Nantahala</w:t>
      </w:r>
      <w:r>
        <w:rPr/>
        <w:t xml:space="preserve"> and </w:t>
      </w:r>
      <w:r>
        <w:rPr>
          <w:u w:val="single"/>
        </w:rPr>
        <w:t>Mississippi Power &amp; Light</w:t>
      </w:r>
      <w:r>
        <w:rPr/>
        <w:t xml:space="preserve"> cases.  Second, in Section 5.2 it would remove the cost of SoCalGas’ Montebello storage field from rates retroactive to September 16, 1999, without any record to support such action, and on a theory that the field has not been necessary or useful since at least April 1997 – which is directly contrary to the representations SCGC made to the Commission in 1998-1999 when SoCalGas tried to obtain authority to sell the field!</w:t>
      </w:r>
    </w:p>
    <w:p>
      <w:pPr>
        <w:pStyle w:val="Normal"/>
        <w:spacing w:lineRule="auto" w:line="360"/>
        <w:rPr>
          <w:i/>
          <w:i/>
          <w:iCs/>
        </w:rPr>
      </w:pPr>
      <w:r>
        <w:rPr>
          <w:i/>
          <w:iCs/>
        </w:rPr>
      </w:r>
    </w:p>
    <w:p>
      <w:pPr>
        <w:pStyle w:val="Normal"/>
        <w:spacing w:lineRule="auto" w:line="360"/>
        <w:rPr/>
      </w:pPr>
      <w:r>
        <w:rPr/>
      </w:r>
    </w:p>
    <w:p>
      <w:pPr>
        <w:pStyle w:val="Heading6"/>
        <w:jc w:val="center"/>
        <w:rPr/>
      </w:pPr>
      <w:r>
        <w:rPr/>
        <w:t>“</w:t>
      </w:r>
      <w:r>
        <w:rPr/>
        <w:t>CAPACITY-RELATED” MATTERS</w:t>
      </w:r>
    </w:p>
    <w:p>
      <w:pPr>
        <w:pStyle w:val="Normal"/>
        <w:rPr/>
      </w:pPr>
      <w:r>
        <w:rPr/>
      </w:r>
    </w:p>
    <w:p>
      <w:pPr>
        <w:pStyle w:val="Heading7"/>
        <w:rPr/>
      </w:pPr>
      <w:r>
        <w:rPr/>
        <w:t xml:space="preserve">Intrastate Gas Transmission </w:t>
      </w:r>
    </w:p>
    <w:p>
      <w:pPr>
        <w:pStyle w:val="Normal"/>
        <w:spacing w:lineRule="auto" w:line="360"/>
        <w:rPr/>
      </w:pPr>
      <w:r>
        <w:rPr/>
      </w:r>
    </w:p>
    <w:p>
      <w:pPr>
        <w:pStyle w:val="BodyTextIndent2"/>
        <w:ind w:hanging="495" w:start="1080" w:end="0"/>
        <w:rPr/>
      </w:pPr>
      <w:r>
        <w:rPr/>
        <w:t>1.</w:t>
        <w:tab/>
        <w:t>Definition of Backbone Transmission System and  Rights</w:t>
      </w:r>
    </w:p>
    <w:p>
      <w:pPr>
        <w:pStyle w:val="Normal"/>
        <w:spacing w:lineRule="auto" w:line="360"/>
        <w:rPr/>
      </w:pPr>
      <w:r>
        <w:rPr/>
      </w:r>
    </w:p>
    <w:p>
      <w:pPr>
        <w:pStyle w:val="Normal"/>
        <w:spacing w:lineRule="auto" w:line="360"/>
        <w:ind w:firstLine="1080" w:end="0"/>
        <w:rPr/>
      </w:pPr>
      <w:r>
        <w:rPr/>
        <w:t>The Comprehensive Settlement divides SoCalGas’</w:t>
      </w:r>
      <w:r>
        <w:rPr>
          <w:rStyle w:val="FootnoteCharacters"/>
          <w:rStyle w:val="FootnoteReference"/>
        </w:rPr>
        <w:footnoteReference w:id="3"/>
      </w:r>
      <w:r>
        <w:rPr/>
        <w:t xml:space="preserve"> transmission system into backbone and local systems, just as the PG&amp;E Gas Accord divided PG&amp;E’s gas transmission system into backbone and local systems.  Like the PG&amp;E system, under the Comprehensive Settlement the SoCalGas local transmission system remains bundled in rates.  The SoCalGas backbone system is unbundled and subject to </w:t>
      </w:r>
    </w:p>
    <w:p>
      <w:pPr>
        <w:pStyle w:val="Normal"/>
        <w:spacing w:lineRule="auto" w:line="360"/>
        <w:ind w:firstLine="1080" w:end="0"/>
        <w:rPr/>
      </w:pPr>
      <w:r>
        <w:rPr/>
      </w:r>
    </w:p>
    <w:p>
      <w:pPr>
        <w:pStyle w:val="Normal"/>
        <w:spacing w:lineRule="auto" w:line="360"/>
        <w:ind w:firstLine="1080" w:end="0"/>
        <w:rPr/>
      </w:pPr>
      <w:r>
        <w:rPr/>
      </w:r>
    </w:p>
    <w:p>
      <w:pPr>
        <w:pStyle w:val="Normal"/>
        <w:spacing w:lineRule="auto" w:line="360"/>
        <w:rPr/>
      </w:pPr>
      <w:r>
        <w:rPr/>
        <w:t xml:space="preserve">defined, tradable, capacity rights to be held by gas consumers, California gas producers, marketers or any other creditworthy persons. </w:t>
      </w:r>
    </w:p>
    <w:p>
      <w:pPr>
        <w:pStyle w:val="Normal"/>
        <w:spacing w:lineRule="auto" w:line="360"/>
        <w:ind w:firstLine="1080" w:end="0"/>
        <w:rPr/>
      </w:pPr>
      <w:r>
        <w:rPr/>
        <w:t>The SoCalGas backbone transmission system includes those transmission facilities, including all compressor stations, whose primary purpose is receiving gas from points of receipt into the SoCalGas system and transporting to load centers on the local transmission system or to underground storage facilities.</w:t>
      </w:r>
    </w:p>
    <w:p>
      <w:pPr>
        <w:pStyle w:val="Normal"/>
        <w:spacing w:lineRule="auto" w:line="360"/>
        <w:ind w:firstLine="1080" w:end="0"/>
        <w:rPr/>
      </w:pPr>
      <w:r>
        <w:rPr/>
        <w:t xml:space="preserve">SCGC witness Yap claimed (Exhibit 102, p.14) that the </w:t>
      </w:r>
      <w:r>
        <w:rPr>
          <w:u w:val="single"/>
        </w:rPr>
        <w:t>only</w:t>
      </w:r>
      <w:r>
        <w:rPr/>
        <w:t xml:space="preserve"> facilities on SoCalGas’ system that that are comparable to what is defined as backbone transmission on the PG&amp;E system are the SoCalGas transmission lines on the far east end of SoCalGas’ system, from Topock and Needles to the Newberry compressor station and from Blythe to the Moreno compressor station (see Attachment 4 to Exhibit No.2 for a map including these facilities).  Ms. Yap’s definition is based on whether or not the facilities experience bi-directional gas flows, but there is no provision of the PG&amp;E Gas Accord that applies such a definition.</w:t>
      </w:r>
    </w:p>
    <w:p>
      <w:pPr>
        <w:pStyle w:val="Normal"/>
        <w:spacing w:lineRule="auto" w:line="360"/>
        <w:ind w:firstLine="1080" w:end="0"/>
        <w:rPr/>
      </w:pPr>
      <w:r>
        <w:rPr/>
        <w:t>More importantly, Ms. Yap’s definition would prevent the establishment for SoCalGas of a workable system of firm, intrastate transmission capacity rights – which is precisely her intent.  Her definition would not create any firm, tradable rights with respect to deliveries through SoCalGas’ Wheeler Ridge receipt point from PG&amp;E, Kern River Gas Transmission, Mojave Pipeline, and California gas production.  It would not apply to Line 85 and North Coastal transmission facilities that receive and transport gas from California and offshore production areas.  It would result in backbone transmission rights that would not give holders the firm right to deliver gas into SoCalGas’ underground storage fields – which are all located on what Ms. Yap would define as the local transmission system.  A backbone transmission rights system that did not apply to a large volume of gas entering SoCalGas’ system and did not provide access to storage would be a meaningless waste of time and effort.</w:t>
      </w:r>
    </w:p>
    <w:p>
      <w:pPr>
        <w:pStyle w:val="Normal"/>
        <w:spacing w:lineRule="auto" w:line="360"/>
        <w:ind w:firstLine="1080" w:end="0"/>
        <w:rPr/>
      </w:pPr>
      <w:r>
        <w:rPr/>
        <w:t>The Comprehensive Settlement provides a set of backbone transmission rights that are “receipt point” specific rather than “path specific” as is the case under the PG&amp;E Gas Accord.  The difference is that while the PG&amp;E rights are defined from a specific receipt point to a specific delivery point (or anywhere on the “path” short of the delivery point), the SoCalGas rights are from a specific receipt point to any interconnection of the backbone transmission system with the local transmission system or distribution facilities, or with storage.  This difference recognizes the somewhat more “gridlike” nature of the SoCalGas gas transmission compared to the PG&amp;E system (see SoCalGas/SDG&amp;E witness Lorenz direct testimony in Ex.No.2, p.10).  It does not make the system provided in the Comprehensive Settlement less desirable or appropriate for SoCalGas than the PG&amp;E Gas Accord model is for PG&amp;E.  If anything, it makes the Comprehensive Settlement more flexible and convenient for backbone rights holders.</w:t>
      </w:r>
    </w:p>
    <w:p>
      <w:pPr>
        <w:pStyle w:val="Normal"/>
        <w:spacing w:lineRule="auto" w:line="360"/>
        <w:ind w:firstLine="1080" w:end="0"/>
        <w:rPr/>
      </w:pPr>
      <w:r>
        <w:rPr/>
        <w:t>The Comprehensive Settlement defines the amount of firm capacity that will be made available from each of seven defined SoCalGas receipt points.  The total from all points is 3500 MMcfd.  SoCalGas will make available on an interruptible basis any capacity that may be available in excess of this amount from day to day.</w:t>
      </w:r>
    </w:p>
    <w:p>
      <w:pPr>
        <w:pStyle w:val="Normal"/>
        <w:spacing w:lineRule="auto" w:line="360"/>
        <w:ind w:firstLine="1080" w:end="0"/>
        <w:rPr/>
      </w:pPr>
      <w:r>
        <w:rPr/>
        <w:t>The Wheeler Ridge receipt point presented a particular difficulty inasmuch as there are three upstream sources whose gas passes through that point:  PG&amp;E, Occidental Petroleum (purchaser of the Elk Hills Naval Reserve), and the Kern River/Mojave Pipeline.</w:t>
      </w:r>
      <w:r>
        <w:rPr>
          <w:rStyle w:val="FootnoteCharacters"/>
          <w:rStyle w:val="FootnoteReference"/>
        </w:rPr>
        <w:footnoteReference w:id="4"/>
      </w:r>
      <w:r>
        <w:rPr/>
        <w:t xml:space="preserve">  Also, although SoCalGas can transport 680 MMcfd away from Wheeler Ridge on a firm basis, it can only transport on a firm basis up to 520 MMcfd from PG&amp;E and/or Occidental combined to the Wheeler Ridge receipt point.  SoCalGas could receive and transport away from Wheeler Ridge on a firm basis 680 MMcfd received from Kern/Mojave alone, if they had the capacity to deliver that much gas at that point.  The solution to this complex situation adopted in the Comprehensive Settlement is to define receipt point rights for a Wheeler Ridge North and a Wheeler Ridge South point.  Wheeler Ridge North rights of 520 MMcfd will be “primary” for any of the three sources; Wheeler Ridge South rights of 160 MMcfd will be primary for Kern/Mojave, and secondary for PG&amp;E and Oxy.  Thus, if both points sell out, and all rights holders want to ship gas from Kern/Mojave, all 680 MMcfd can flow from Wheeler Ridge on a firm, primary basis.  However, if all rights holders want to ship PG&amp;E and/or Occidental gas and not gas from Kern/Mojave, then all 520 MMcfd nominated by the holders of Wheeler Ridge North capacity will flow and nominations of holders of Wheeler Ridge South capacity for PG&amp;E/Occidental will not flow because it is “secondary”.  (see Comprehensive Settlement </w:t>
      </w:r>
    </w:p>
    <w:p>
      <w:pPr>
        <w:pStyle w:val="Normal"/>
        <w:spacing w:lineRule="auto" w:line="360"/>
        <w:ind w:firstLine="1080" w:end="0"/>
        <w:rPr/>
      </w:pPr>
      <w:r>
        <w:rPr/>
      </w:r>
    </w:p>
    <w:p>
      <w:pPr>
        <w:pStyle w:val="Normal"/>
        <w:spacing w:lineRule="auto" w:line="360"/>
        <w:rPr/>
      </w:pPr>
      <w:r>
        <w:rPr/>
        <w:t>Appendix B, esp. at p.1.)  This was the best available solution to allow holders of firm intrastate capacity on SoCalGas from Wheeler Ridge the greatest certainty and flexibility in rights to transport gas.</w:t>
      </w:r>
    </w:p>
    <w:p>
      <w:pPr>
        <w:pStyle w:val="Normal"/>
        <w:spacing w:lineRule="auto" w:line="360"/>
        <w:ind w:firstLine="1080" w:end="0"/>
        <w:rPr/>
      </w:pPr>
      <w:r>
        <w:rPr/>
        <w:t>The annual revenue requirement associated with the entire SoCalGas transmission system on an embedded cost basis is quantified at $138 million (in 1998 dollars).  Of the $138 million, $73.7 million is classified as related to “backbone” transmission and $64.3 million as related to local transmission.  The derivation of these costs was detailed in Exhibit No.2, Attachments 2 and 3.</w:t>
      </w:r>
    </w:p>
    <w:p>
      <w:pPr>
        <w:pStyle w:val="Normal"/>
        <w:spacing w:lineRule="auto" w:line="360"/>
        <w:ind w:firstLine="1080" w:end="0"/>
        <w:rPr/>
      </w:pPr>
      <w:r>
        <w:rPr/>
        <w:t>The Comprehensive Settlement fixes the revenue requirements for backbone and local transmission service through August 31, 2006 (the end of the term of the settlement) at these levels, as adjusted annually by the same PBR annual index as is in effect generally for each year.  SoCalGas is required to maintain the 3500 MMcfd backbone capacity specified by the Comprehensive Settlement within the specified backbone revenue requirement (Section 1.1.3.3, p.11).</w:t>
      </w:r>
    </w:p>
    <w:p>
      <w:pPr>
        <w:pStyle w:val="Normal"/>
        <w:spacing w:lineRule="auto" w:line="360"/>
        <w:ind w:firstLine="1080" w:end="0"/>
        <w:rPr/>
      </w:pPr>
      <w:r>
        <w:rPr/>
        <w:t>The creation of firm, tradable backbone rights will give shippers on the SoCalGas system a much higher degree of certainty that gas nominated within those rights for transportation on the SoCalGas system will actually flow.  Under SoCalGas’ current windowing system, customers experience cuts in nominations based on allocation by upstream pipelines among shippers of the fixed receipt point “window” of capacity for that day set by SoCalGas.  Even under the provisions of the Interim Settlement that would “open” the windows at each receipt point to their physical maximum, shippers on the SoCalGas system could see their nominations cut as a result of allocations within that physical maximum by the upstream pipelines.  Under the Comprehensive Settlement, shippers nominating transportation on the SoCalGas system within their firm backbone rights would not be subject to cuts or allocations (absent repairs or accidents temporarily impairing SoCalGas' ability to ship volumes at the full firm level).</w:t>
      </w:r>
    </w:p>
    <w:p>
      <w:pPr>
        <w:pStyle w:val="Normal"/>
        <w:spacing w:lineRule="auto" w:line="360"/>
        <w:rPr/>
      </w:pPr>
      <w:r>
        <w:rPr/>
      </w:r>
    </w:p>
    <w:p>
      <w:pPr>
        <w:pStyle w:val="Normal"/>
        <w:spacing w:lineRule="auto" w:line="360"/>
        <w:rPr/>
      </w:pPr>
      <w:r>
        <w:rPr/>
      </w:r>
    </w:p>
    <w:p>
      <w:pPr>
        <w:pStyle w:val="Normal"/>
        <w:spacing w:lineRule="auto" w:line="360"/>
        <w:ind w:firstLine="720" w:end="0"/>
        <w:rPr>
          <w:b/>
          <w:bCs/>
        </w:rPr>
      </w:pPr>
      <w:r>
        <w:rPr>
          <w:b/>
          <w:bCs/>
        </w:rPr>
        <w:t>2. Backbone Transmission Open Season</w:t>
      </w:r>
    </w:p>
    <w:p>
      <w:pPr>
        <w:pStyle w:val="Normal"/>
        <w:spacing w:lineRule="auto" w:line="360"/>
        <w:rPr>
          <w:b/>
          <w:bCs/>
        </w:rPr>
      </w:pPr>
      <w:r>
        <w:rPr>
          <w:b/>
          <w:bCs/>
        </w:rPr>
      </w:r>
    </w:p>
    <w:p>
      <w:pPr>
        <w:pStyle w:val="Normal"/>
        <w:spacing w:lineRule="auto" w:line="360"/>
        <w:ind w:firstLine="1080" w:end="0"/>
        <w:rPr/>
      </w:pPr>
      <w:r>
        <w:rPr/>
        <w:t>Prior to the first open season, SoCalGas will make “set asides” of its intrastate backbone capacity available to specific customer segments.  The retail core (i.e., SoCalGas’ Gas Acquisition Department) is initially reserved 1,000 MMcfd of intrastate backbone capacity, consisting of 300 MMcfd from North Needles, 290 MMcfd from Topock, 340 MMcfd from Blythe, and 70 MMcfd from North Coastal.  The 70 MMcfd of North Coastal capacity is reserved because of the retail core’s contractual obligation to buy supplies from the POPCO plant now owned by Exxon.</w:t>
      </w:r>
    </w:p>
    <w:p>
      <w:pPr>
        <w:pStyle w:val="Normal"/>
        <w:spacing w:lineRule="auto" w:line="360"/>
        <w:ind w:firstLine="1080" w:end="0"/>
        <w:rPr/>
      </w:pPr>
      <w:r>
        <w:rPr/>
        <w:t xml:space="preserve">Contrary to suggestions by opponents of the Comprehensive Settlement, the allocation of intrastate backbone capacity to the retail core is reasonable.  First, the total of 1,000 MMcfd is reasonable.  It assumes a CTA core market share of up to 10%.  (The Comprehensive Settlement reduces the core retail reservation annually if CTA core market share exceeds 10%, thus reducing retail core customers’ exposure to stranded costs.).  The current interstate reservation for the </w:t>
      </w:r>
      <w:r>
        <w:rPr>
          <w:u w:val="single"/>
        </w:rPr>
        <w:t>entire</w:t>
      </w:r>
      <w:r>
        <w:rPr/>
        <w:t xml:space="preserve"> core market is 1,044 MMcfd plus SoCalGas purchases 70 MMcfd from POPCO/Exxon which does not flow through interstate systems, for a total of 1,114 MMcfd.  With CTAs at 10% of the core market, a reservation for the retail core of 90% of 1,114 MMcfd (i.e., 1,002.6 MMcfd) is almost exactly equal to the 1,000 MMcfd provided in the Comprehensive Settlement.  (See ORA witness Pocta, Ex.No.4, p.10).</w:t>
      </w:r>
    </w:p>
    <w:p>
      <w:pPr>
        <w:pStyle w:val="Normal"/>
        <w:spacing w:lineRule="auto" w:line="360"/>
        <w:ind w:firstLine="1080" w:end="0"/>
        <w:rPr/>
      </w:pPr>
      <w:r>
        <w:rPr/>
        <w:t xml:space="preserve">The intrastate backbone reservations by receipt point for the retail core are also reasonable.  The retail core is allocated 290 MMcfd, or 54% of firm capacity available, at Topock.  This is about 90 MMcfd more than a share proportionate to retail core throughput.  Mr. Pocta characterized Topock as a “highly valuable” receipt point on SoCalGas, and he calculated this extra 90 MMcfd would provide a benefit under reasonable assumptions to retail core customers of $2.8 million annually (ORA witness Pocta, Ex.No.4 , p.11). </w:t>
      </w:r>
    </w:p>
    <w:p>
      <w:pPr>
        <w:pStyle w:val="Normal"/>
        <w:spacing w:lineRule="auto" w:line="360"/>
        <w:ind w:firstLine="1080" w:end="0"/>
        <w:rPr/>
      </w:pPr>
      <w:r>
        <w:rPr/>
        <w:t>The Comprehensive Settlement also provides for set-asides of backbone transmission capacity for wholesale customers.  SDG&amp;E will be assigned 50 MMcfd at Wheeler Ridge and 10 MMcfd at Blythe (Section 1.1.3.5.3; pp.13-14).  This matches SDG&amp;E’s upstream pipeline firm capacity obligations, which extend past the term of the Comprehensive Settlement (Ex.No.20, p.14).  SDG&amp;E’s Core Gas Supply Department may also participate in the open seasons and secondary market.  This set-aside is reasonable because it ensures that SDG&amp;E’s retail core customers will not be disadvantaged by the stranding or mismatch of its pre-existing upstream commitments.</w:t>
      </w:r>
    </w:p>
    <w:p>
      <w:pPr>
        <w:pStyle w:val="Normal"/>
        <w:spacing w:lineRule="auto" w:line="360"/>
        <w:ind w:firstLine="1080" w:end="0"/>
        <w:rPr/>
      </w:pPr>
      <w:r>
        <w:rPr/>
        <w:t>Other wholesale customers are given two options for set-aside of intrastate backbone transmission, but both can be declined and the wholesale customers can participate instead in the open season and secondary markets (see Section 1.1.3.5.4, pp.14-15).  The first option is to match any long-term upstream capacity obligations the wholesale customers had as of the submission of the Comprehensive Settlement.  This is the same treatment as afforded SDG&amp;E.  It may be that neither Long Beach or Southwest Gas had any such obligations, but the Comprehensive Settlement parties wanted to make sure they had comparable treatment if they did.  The second option is to reserve backbone transmission for a year at a time at North Needles, Topock, and Blythe equal to the interstate capacity rights then reserved for SoCalGas’ Gas Acquisition Department in proportion to the wholesale customer’s core load bears to the SoCalGas total core market.  This is essentially giving the wholesale customer treatment substantially comparable to that afforded SoCalGas’ retail core customers (including favorable access to the highly desirable Topock point).  This option gives the wholesale customers’ core customers the chance to be on a par with SoCalGas’ core customers.  Wholesale noncore load is properly excluded; there is no reason to give noncore customers of wholesale customers preferential access over SoCalGas’ own noncore end-use customers.  SoCalGas and SDG&amp;E believe this approach is also consistent with the PG&amp;E Gas Accord, which made capacity of up to 6.5 MMcfd on the Malin to On-system path “…for existing wholesale customers on behalf of their core load.”  (See D.97-08-055; 73 CPUC2d at 808).</w:t>
      </w:r>
    </w:p>
    <w:p>
      <w:pPr>
        <w:pStyle w:val="Normal"/>
        <w:spacing w:lineRule="auto" w:line="360"/>
        <w:ind w:firstLine="1080" w:end="0"/>
        <w:rPr/>
      </w:pPr>
      <w:r>
        <w:rPr/>
        <w:t>The Comprehensive Settlement also provides California gas producers with existing access agreements the option to exercise a set-aside of capacity from Line 85 and the North Coastal receipt points.  This approach eliminates any possible conflict with the provisions of the California Natural Gas Policy Act as codified in Public Utilities Code Sections 785-785.7.</w:t>
      </w:r>
    </w:p>
    <w:p>
      <w:pPr>
        <w:pStyle w:val="Normal"/>
        <w:spacing w:lineRule="auto" w:line="360"/>
        <w:ind w:firstLine="1080" w:end="0"/>
        <w:rPr/>
      </w:pPr>
      <w:r>
        <w:rPr/>
        <w:t>Section 1.9 of Part I of the Comprehensive Settlement (p.6) also provides that customers under long-term transportation contracts existing at the time of the filing of the settlement that provide for specific treatment of gas delivered at particular receipt point shall have the right to elect backbone transmission rights at those points prior to the open season sufficient to preserve the benefit of their contract.  SoCalGas has identified four such contracts; one for service to the former Edison Mandalay plant now held by the Reliant subsidiary which bought the plant, and three held by industrial/cogeneration customers in the Oxnard area.  These four contracts all involve providing an option for a set aside at the Wheeler Ridge receipt point; the maximum volume would be 81 MMcfd.  For other existing long-term transportation contracts, SoCalGas and SDG&amp;E believe the best approach consistent with the Comprehensive Settlement is to provide customers under these contracts with a credit against their contract rate for unbundled backbone transmission, and then to allow them to participate in the open seasons and other markets in exactly the same way as other noncore end-use customers.</w:t>
      </w:r>
    </w:p>
    <w:p>
      <w:pPr>
        <w:pStyle w:val="Normal"/>
        <w:spacing w:lineRule="auto" w:line="360"/>
        <w:ind w:firstLine="1080" w:end="0"/>
        <w:rPr/>
      </w:pPr>
      <w:r>
        <w:rPr/>
        <w:t>The open season process for backbone transmission capacity under the Comprehensive Settlement includes two features that were incorporated to meet concerns by some stakeholders about the potential impact of creating firm, tradable backbone rights on SoCalGas’ system.  These features are the provisions which:  (1) allow only noncore customers to have the first opportunity to acquire capacity in the first annual open season; and (2) limit the amount of capacity that any person can acquire in the open season process to 40% of the total capacity available at any individual receipt point.  These features are additions to the PG&amp;E Gas Accord model, and respond to some concerns some stakeholders have expressed based on operations on PG&amp;E.</w:t>
      </w:r>
    </w:p>
    <w:p>
      <w:pPr>
        <w:pStyle w:val="Normal"/>
        <w:spacing w:lineRule="auto" w:line="360"/>
        <w:ind w:firstLine="1080" w:end="0"/>
        <w:rPr/>
      </w:pPr>
      <w:r>
        <w:rPr/>
        <w:t xml:space="preserve">The existence of these features in the Comprehensive Settlement provides assurance – beyond that provided in the PG&amp;E Gas Accord - that a system of firm, tradable backbone transmission rights will not put noncore customers “at the mercy” of gas marketers.  </w:t>
      </w:r>
    </w:p>
    <w:p>
      <w:pPr>
        <w:pStyle w:val="Normal"/>
        <w:spacing w:lineRule="auto" w:line="360"/>
        <w:ind w:firstLine="720" w:end="0"/>
        <w:rPr/>
      </w:pPr>
      <w:r>
        <w:rPr/>
        <w:t xml:space="preserve">Sections 1.1.3.6.1 and 1.1.3.6.2 of Part II of the Comprehensive Settlement (pp.15-16) contain the provisions that give noncore customers (as distinguished from marketers) the opportunity to obtain backbone transmission capacity in the first open season before any capacity is awarded to marketers.  Exhibit No.27 displays the operation of this provision.  Half the remaining capacity at each receipt point, after the retail core set aside, is made available in the first two stages, subject to set-asides for wholesale customers, CTAs, California gas producers, and certain long-term contract noncore customers.  Exhibit No.27 shows that the </w:t>
      </w:r>
      <w:r>
        <w:rPr>
          <w:u w:val="single"/>
        </w:rPr>
        <w:t>minimum</w:t>
      </w:r>
      <w:r>
        <w:rPr/>
        <w:t xml:space="preserve"> amount of capacity that realistically would be available to noncore end-use customers only, without competition from marketers, in the first two stages of the initial SoCalGas open season would be 916 MMcfd.  The amount could be considerably higher if parties with set-aside rights do not fully exercise them.  </w:t>
      </w:r>
    </w:p>
    <w:p>
      <w:pPr>
        <w:pStyle w:val="Normal"/>
        <w:spacing w:lineRule="auto" w:line="360"/>
        <w:ind w:firstLine="1080" w:end="0"/>
        <w:rPr/>
      </w:pPr>
      <w:r>
        <w:rPr/>
        <w:t xml:space="preserve">The Comprehensive Settlement provides for </w:t>
      </w:r>
      <w:r>
        <w:rPr>
          <w:u w:val="single"/>
        </w:rPr>
        <w:t>two</w:t>
      </w:r>
      <w:r>
        <w:rPr/>
        <w:t xml:space="preserve"> stages of the initial open season in which only noncore customers can participate before the process is opened to any creditworthy persons.  Two stages are provided to ensure that noncore customers have a thorough opportunity to obtain capacity before other persons are allowed to participate.  In the first stage, noncore customers may bid heavily for the most desirable receipt points, which will be awarded prorata to the quantities bid (assuming the same term is bid) if the amounts available are over-subscribed.  The second stage will allow noncore customers to realign their bids for their remaining needs to less desirable receipt points that were not fully subscribed in the first stage.</w:t>
      </w:r>
    </w:p>
    <w:p>
      <w:pPr>
        <w:pStyle w:val="Normal"/>
        <w:spacing w:lineRule="auto" w:line="360"/>
        <w:ind w:firstLine="1080" w:end="0"/>
        <w:rPr/>
      </w:pPr>
      <w:r>
        <w:rPr/>
        <w:t>Section 1.1.3.9 of Part II of the Comprehensive Settlement (p.19) provides that no person shall be entitled to acquire through the initial open season process more than 40% of the capacity at any individual receipt point that has not been awarded to retail core, CTAs, or wholesale customers in the pre-open season set-aside process.  Included in the calculation of the 40% limitation is any capacity that a marketer may acquire in the first two stages by virtue of any noncore customers assigning to that marketer their right to acquire capacity in the first two stages (SoCalGas/SDG&amp;E witness Lorenz, Tr.v.5, p.612).  There is no comparable market concentration limitation in the PG&amp;E Gas Accord.  Thus, if any person’s bids in the open season would result in the award of more than 40% of the relevant capacity at any individual receipt point(s) to that person, the award of capacity to that person will be “capped” at 40% for the receipt point(s).</w:t>
      </w:r>
    </w:p>
    <w:p>
      <w:pPr>
        <w:pStyle w:val="Normal"/>
        <w:spacing w:lineRule="auto" w:line="360"/>
        <w:ind w:firstLine="1080" w:end="0"/>
        <w:rPr/>
      </w:pPr>
      <w:r>
        <w:rPr/>
        <w:t>Because the 40% cap applies to capacity left after set-asides for the retail core, CTAs and wholesale customers, the ceiling is actually well less than 40% of the total capacity from each receipt point.  Because the cap applies for each receipt point, it would be very difficult for any person to obtain 40% of all backbone transmission capacity.</w:t>
      </w:r>
    </w:p>
    <w:p>
      <w:pPr>
        <w:pStyle w:val="Normal"/>
        <w:spacing w:lineRule="auto" w:line="360"/>
        <w:ind w:firstLine="1080" w:end="0"/>
        <w:rPr/>
      </w:pPr>
      <w:r>
        <w:rPr/>
        <w:t>This provision addresses concerns that were raised about functioning of the PG&amp;E Gas Accord open season, particularly in light of the bidding strategy of PG&amp;E’s own UEG department.  The Post-Interim Settlement supporters raised concerns about whether the 40% limitation was not high enough, and about the fact that it does not apply to capacity obtained other than in the initial open season (e.g., through the secondary market or in post-open season contracting with SoCalGas).</w:t>
      </w:r>
    </w:p>
    <w:p>
      <w:pPr>
        <w:pStyle w:val="Normal"/>
        <w:spacing w:lineRule="auto" w:line="360"/>
        <w:ind w:firstLine="1080" w:end="0"/>
        <w:rPr/>
      </w:pPr>
      <w:r>
        <w:rPr/>
        <w:t>SoCalGas and SDG&amp;E submit that Comprehensive Settlement’s market concentration provision is reasonable.  It is a reasonable compromise between the viewpoint that there should be no regulatory interference in the working of the market and the viewpoint that regulators should be involved in the operation of market participants other than the incumbent utilities.</w:t>
      </w:r>
    </w:p>
    <w:p>
      <w:pPr>
        <w:pStyle w:val="Normal"/>
        <w:spacing w:lineRule="auto" w:line="360"/>
        <w:ind w:firstLine="1080" w:end="0"/>
        <w:rPr/>
      </w:pPr>
      <w:r>
        <w:rPr/>
        <w:t>It is true that the limitation applies only to capacity acquired in the open season.  This approach sets a “level playing field” at the outset of the process, and then allows a free market to operate.  SoCalGas will administer the open season and is reasonably-positioned to enforce a market concentration limitation on capacity awarded in that process.  However, the secondary market will be freely and anonymously traded, so it would be far more difficult to enforce a market-concentration limitation in that setting (see Exhibit No.20, p.14).  In addition, the antitrust laws continue to apply to prohibit any price fixing or other unlawful actions by holders of firm backbone transmission rights, however acquired.</w:t>
      </w:r>
    </w:p>
    <w:p>
      <w:pPr>
        <w:pStyle w:val="Normal"/>
        <w:spacing w:lineRule="auto" w:line="360"/>
        <w:ind w:firstLine="1080" w:end="0"/>
        <w:rPr/>
      </w:pPr>
      <w:r>
        <w:rPr/>
        <w:t xml:space="preserve">Furthermore, the Comprehensive Settlement provides additional safeguards against abuse of market power by persons who obtain backbone transmission capacity rights.  Most importantly, even if a person held a large percentage of backbone capacity from one or more receipt points, the person could not withhold some of that capacity from the market in order to obtain above-market prices.  The Comprehensive Settlement in Appendix B, p.1, specifically allows SoCalGas to offer on an interruptible basis capacity that may be available on a particular day beyond the stated firm capacity at each receipt point </w:t>
      </w:r>
      <w:r>
        <w:rPr>
          <w:u w:val="single"/>
        </w:rPr>
        <w:t>and</w:t>
      </w:r>
      <w:r>
        <w:rPr/>
        <w:t xml:space="preserve"> “… unutilized firm capacity that is held by other parties.”  Although the Comprehensive Settlement does not require SoCalGas to sell such interruptible capacity, it will have every incentive to do so since it is 100% at risk/reward for revenues from such service and would retain the revenues.  Also, the Comprehensive Settlement caps the rate that SoCalGas can charge for interruptible backbone transmission at 120% of the cost of service, and the rate must be all-volumetric.</w:t>
      </w:r>
    </w:p>
    <w:p>
      <w:pPr>
        <w:pStyle w:val="Normal"/>
        <w:spacing w:lineRule="auto" w:line="360"/>
        <w:ind w:firstLine="1080" w:end="0"/>
        <w:rPr/>
      </w:pPr>
      <w:r>
        <w:rPr/>
        <w:t>The Commission has adopted no market concentration limitation for PG&amp;E backbone transmission rights in the primary or secondary market.  There are about 75 parties holding capacity on PG&amp;E’s most desirable backbone transmission path, the Redwood Path, and even SCGC witness Yap had to agree that there was no danger of market power abuse unless the number of firm rights holders fell far below this number (Tr.v.2, pp.214-215).  Given this background, it is not necessary for the Comprehensive Settlement to impose a 40% market concentration cap in the secondary market.</w:t>
      </w:r>
    </w:p>
    <w:p>
      <w:pPr>
        <w:pStyle w:val="Normal"/>
        <w:spacing w:lineRule="auto" w:line="360"/>
        <w:ind w:firstLine="1080" w:end="0"/>
        <w:rPr/>
      </w:pPr>
      <w:r>
        <w:rPr/>
        <w:t>Even SCGC witness Yap agreed that the transmission market concentration limit in the Comprehensive Settlement and its exclusion of marketers from the first two stages of the initial open season are preferable from a customer point-of-view to the absence of similar provisions in the PG&amp;E Gas Accord (Tr.v.2, pp.227-229).  Because the Commission found the PG&amp;E Gas Accord acceptable even without any such provisions, and because the Gas Accord has operated satisfactorily without them, the Comprehensive Settlement cannot be unacceptable for not having even more stringent limitations on market concentration and marketer participation than it actually provides.</w:t>
      </w:r>
    </w:p>
    <w:p>
      <w:pPr>
        <w:pStyle w:val="Normal"/>
        <w:spacing w:lineRule="auto" w:line="360"/>
        <w:ind w:firstLine="1080" w:end="0"/>
        <w:rPr/>
      </w:pPr>
      <w:r>
        <w:rPr/>
        <w:t>Long Beach’s has made the point that the Comprehensive Settlement’s backbone transmission open season does not provide for customers to bid different prices, only different terms (duration of contracts).  Thus, Long Beach argues that the Comprehensive Settlement is not a true auction, awarding capacity to the highest bidder.  This criticism is not a valid basis for rejecting the Comprehensive Settlement.  First, it is similarly applicable to the PG&amp;E Gas Accord, but that did not prevent the Commission from approving the Gas Accord.  Participants in the PG&amp;E open season could bid term and rate design (SFV or MFV), but the rate was fixed for each receipt point.</w:t>
      </w:r>
      <w:r>
        <w:rPr>
          <w:rStyle w:val="FootnoteCharacters"/>
          <w:rStyle w:val="FootnoteReference"/>
        </w:rPr>
        <w:footnoteReference w:id="5"/>
      </w:r>
      <w:r>
        <w:rPr/>
        <w:t xml:space="preserve">  The Comprehensive Settlement deliberately does not give a higher value to the SFV-type rate design in order to alleviate concerns for impacts on low load factor customers.  Second, allowing customers to bid more than embedded cost would raise a host of contentious issues regarding the disposition of revenues in excess of embedded </w:t>
      </w:r>
      <w:r>
        <w:br w:type="page"/>
      </w:r>
    </w:p>
    <w:p>
      <w:pPr>
        <w:pStyle w:val="Normal"/>
        <w:spacing w:lineRule="auto" w:line="360"/>
        <w:rPr/>
      </w:pPr>
      <w:r>
        <w:rPr/>
        <w:t xml:space="preserve">cost that are avoided by fixing the open season rate at </w:t>
      </w:r>
    </w:p>
    <w:p>
      <w:pPr>
        <w:pStyle w:val="Footer"/>
        <w:tabs>
          <w:tab w:val="clear" w:pos="4320"/>
          <w:tab w:val="clear" w:pos="8640"/>
        </w:tabs>
        <w:spacing w:lineRule="auto" w:line="360"/>
        <w:rPr/>
      </w:pPr>
      <w:r>
        <w:rPr/>
        <w:t xml:space="preserve">embedded cost.  Finally, the Comprehensive Settlement </w:t>
      </w:r>
    </w:p>
    <w:p>
      <w:pPr>
        <w:pStyle w:val="Normal"/>
        <w:spacing w:lineRule="auto" w:line="360"/>
        <w:rPr/>
      </w:pPr>
      <w:r>
        <w:rPr/>
        <w:t>provides for a robust secondary market, without any price caps or regulation.  The secondary market will be the means for seeing that capacity goes to the parties who are willing to pay the most for it.</w:t>
      </w:r>
    </w:p>
    <w:p>
      <w:pPr>
        <w:pStyle w:val="Normal"/>
        <w:spacing w:lineRule="auto" w:line="360"/>
        <w:ind w:firstLine="1080" w:end="0"/>
        <w:rPr/>
      </w:pPr>
      <w:r>
        <w:rPr/>
        <w:t>Long Beach has also suggested through cross-examination that the Comprehensive Settlement’s open season process will not be workable because there is no limit on the amount of capacity that may be bid by participants, and any bids of equal value will be granted oversubscribed capacity pro rata to the quantity bid.  Long Beach suggests that participants will bid huge quantities at the more desirable receipt points in order to maximize the effect of pro rata allocation.  SoCalGas and SDG&amp;E do not think that this is the likely outcome.  First, noncore customers participating in the first two stages of the initial open season will be limited in bids based on their historical consumption.  Participants submitting bids for very large quantities in the third stage run the risk that they will end up being awarded more capacity than they really want.  Their bids are not revocable.  Furthermore, no better solution has been presented.  Certainly, Long Beach did not present a superior alternative in its witness’ prepared testimony.  As discussed elsewhere in this brief, Long Beach’s proposal for an auction at all volumetric rates is more likely to lead to bidding chaos, because bidders can walk away from their bids without any obligation.</w:t>
      </w:r>
    </w:p>
    <w:p>
      <w:pPr>
        <w:pStyle w:val="Normal"/>
        <w:spacing w:lineRule="auto" w:line="360"/>
        <w:rPr/>
      </w:pPr>
      <w:r>
        <w:rPr/>
        <w:tab/>
        <w:t>Furthermore, as Mr. Beach (for Indicated Generators) and Mr. Pocta (for ORA) testified based on discussions other than in settlement meetings, most gas customers did not want an auction process (Tr.v.8, pp.963-964)</w:t>
      </w:r>
    </w:p>
    <w:p>
      <w:pPr>
        <w:pStyle w:val="BodyTextIndent3"/>
        <w:ind w:hanging="450" w:start="1080" w:end="0"/>
        <w:rPr/>
      </w:pPr>
      <w:r>
        <w:rPr/>
        <w:t>3. Impact of Backbone Transmission Rights on Low Load Factor Customers</w:t>
      </w:r>
    </w:p>
    <w:p>
      <w:pPr>
        <w:pStyle w:val="Normal"/>
        <w:spacing w:lineRule="auto" w:line="360"/>
        <w:rPr/>
      </w:pPr>
      <w:r>
        <w:rPr/>
      </w:r>
    </w:p>
    <w:p>
      <w:pPr>
        <w:pStyle w:val="Normal"/>
        <w:spacing w:lineRule="auto" w:line="360"/>
        <w:ind w:firstLine="1080" w:end="0"/>
        <w:rPr/>
      </w:pPr>
      <w:r>
        <w:rPr/>
        <w:t xml:space="preserve">Considerable focus in the record was given to the impact of the backbone transmission rights system in the Comprehensive Settlement on low load factor customers, especially low load factor electric generators.  Opponents of the Comprehensive Settlement have blown this issue greatly out of its proper proportion. </w:t>
      </w:r>
    </w:p>
    <w:p>
      <w:pPr>
        <w:pStyle w:val="Normal"/>
        <w:spacing w:lineRule="auto" w:line="360"/>
        <w:ind w:firstLine="1080" w:end="0"/>
        <w:rPr/>
      </w:pPr>
      <w:r>
        <w:rPr/>
        <w:t>Some kind and level of reservation charge are necessary to any system that provides for persons to be able to own and trade firm capacity rights on a transmission system.  SoCalGas and SDG&amp;E are unaware of any such system in place that does not involve some sort of reservation or contract demand charge.  For instance, the FERC currently has a policy for SFV (straight fixed/variable) rate design on interstate pipelines (which have firm, tradable capacity rights), which is very similar to the 100% reservation fee under the Comprehensive Settlement.  Previously, FERC has had policies for lower, but still substantial demand charges, such as the MFV (modified fixed/variable) rate design and before that a 50%/50% demand/volumetric rate design (SCGC witness Yap, Tr.v.3, p.232), which is similar to the 50/50 option under the Comprehensive Settlement.  PG&amp;E’s Gas Accord system includes SFV demand charges.</w:t>
      </w:r>
    </w:p>
    <w:p>
      <w:pPr>
        <w:pStyle w:val="Normal"/>
        <w:spacing w:lineRule="auto" w:line="360"/>
        <w:ind w:firstLine="1080" w:end="0"/>
        <w:rPr/>
      </w:pPr>
      <w:r>
        <w:rPr/>
        <w:t xml:space="preserve">A firm, tradable capacity rights system with all volumetric rates (as proposed by Long Beach in Exhibit No.601) would not be workable.  Parties could bid in capacity auctions or open seasons knowing that they could walk away from any contracts that were awarded without obligation.  This would cause skewed and unmanageable bidding behavior.  Furthermore, holders of capacity could hold it off the market without cost, again resulting in inefficient and undesirable impacts on the market. </w:t>
      </w:r>
    </w:p>
    <w:p>
      <w:pPr>
        <w:pStyle w:val="Normal"/>
        <w:spacing w:lineRule="auto" w:line="360"/>
        <w:ind w:firstLine="1080" w:end="0"/>
        <w:rPr/>
      </w:pPr>
      <w:r>
        <w:rPr/>
        <w:t>In fact, the impact of backbone transmission reservation charges in the Comprehensive Settlement on the delivered cost of gas to low load factor electric generators in the SoCalGas service territory will be very modest, and may even be favorable.  The Comprehensive Settlement would establish a backbone transmission postage stamp rate of approximately 7.2 cents per dth of capacity.  Shippers would have the option of bidding the 7.2 cent rate as a 100% reservation fee, or for a premium of 0.4 cents per dth, could bid a rate with a reservation fee of 3.8 cents per dth (and an equivalent volumetric rate).  The adopted 1999 BCAP rate for SoCalGas EG customers is approximately 34 cents per dth.  The bundled BCAP rate will be reduced by the amount of backbone transmission cost unbundled per the Comprehensive Settlement.  Thus, for an EG customer electing the 100% reservation charge option, the Comprehensive Settlement would transfer about 22% of SoCalGas total transportation charges from a volumetric rate to a fixed charge; for an EG customer electing the 50/50 backbone reservation charge rate design, the fixed charge would amount to only about 12% of SoCalGas’ total transportation rate (Exhibit No.18, p.7).</w:t>
      </w:r>
    </w:p>
    <w:p>
      <w:pPr>
        <w:pStyle w:val="Normal"/>
        <w:spacing w:lineRule="auto" w:line="360"/>
        <w:ind w:firstLine="1080" w:end="0"/>
        <w:rPr/>
      </w:pPr>
      <w:r>
        <w:rPr/>
        <w:t xml:space="preserve">Furthermore, charges for transportation by </w:t>
      </w:r>
    </w:p>
    <w:p>
      <w:pPr>
        <w:pStyle w:val="Normal"/>
        <w:spacing w:lineRule="auto" w:line="360"/>
        <w:rPr/>
      </w:pPr>
      <w:r>
        <w:rPr/>
        <w:t>SoCalGas are only a small fraction of the delivered cost of gas to generators in southern California.  Until recently, the price of gas delivered to SoCalGas at the California border had been in the range of $2.50 per dth.  Adding 34 cents for SoCalGas transportation, the cost delivered the customer’s premises was in the neighborhood of $2.84 cents, so a 50/50 reservation charge of 3.8 cents per dth would amount to shifting approximately 1.3% of the delivered cost from a volumetric into a fixed charge (3.8 cents divided by $2.84 = 1.3%).  However, more recently, border prices have exceeded $4.00 per dth.  At a $4.00 per dth border price, the 50/50 reservation charge shifts approximately 0.9% of the delivered cost of gas from a volumetric charge into a fixed charge (3.8 cents divided by $4.00 = 0.88%).  It is simply not credible to argue that shifting 1% or less of the total delivered cost of gas into a fixed charge is going to drive electric generators on SoCalGas or SDG&amp;E’s systems out of business or endanger the availability of adequate electric generation resources.  In addition, this summer’s events in the wholesale power market show that generators are being well-compensated to keep in service generation necessary to meet peak demands.</w:t>
      </w:r>
    </w:p>
    <w:p>
      <w:pPr>
        <w:pStyle w:val="Normal"/>
        <w:spacing w:lineRule="auto" w:line="360"/>
        <w:ind w:firstLine="1080" w:end="0"/>
        <w:rPr/>
      </w:pPr>
      <w:r>
        <w:rPr/>
        <w:t>The Comprehensive Settlement will provide low load factor customers with many ways of managing under a system with modest backbone reservation charges.  The Comprehensive Settlement provides persons bidding in the open seasons with the opportunity to bid a 50/50 rate design (rather than a 100% reservation fee design) at a small 0.4 cents/dth premium.  Bids at 50/50 are treated just the same as bids at the 100% reservation fee rate design in the award of capacity in the open season</w:t>
      </w:r>
      <w:r>
        <w:rPr>
          <w:rStyle w:val="FootnoteCharacters"/>
          <w:rStyle w:val="FootnoteReference"/>
        </w:rPr>
        <w:footnoteReference w:id="6"/>
      </w:r>
      <w:r>
        <w:rPr/>
        <w:t xml:space="preserve">.  The Comprehensive Settlement also provides that SoCalGas will make some portion of capacity in the open season available </w:t>
      </w:r>
      <w:r>
        <w:br w:type="page"/>
      </w:r>
    </w:p>
    <w:p>
      <w:pPr>
        <w:pStyle w:val="Normal"/>
        <w:spacing w:lineRule="auto" w:line="360"/>
        <w:rPr/>
      </w:pPr>
      <w:r>
        <w:rPr/>
        <w:t>on a seasonal basis (Section 1.1.3.6.1 (p.16), although details of this offering have not yet been developed.  The Commission will have approval authority over the terms of this seasonal capacity offering, as long as they are consistent with other terms of the Comprehensive Settlement.</w:t>
      </w:r>
    </w:p>
    <w:p>
      <w:pPr>
        <w:pStyle w:val="Normal"/>
        <w:spacing w:lineRule="auto" w:line="360"/>
        <w:ind w:firstLine="1080" w:end="0"/>
        <w:rPr/>
      </w:pPr>
      <w:r>
        <w:rPr/>
        <w:t>Furthermore, low load factor customers will have many other options under the Comprehensive Settlement to manage the impact of SoCalGas backbone transmission reservation charges.  They will have the option of purchasing gas on a volumetric basis delivered at the SoCalGas citygate from gas marketers who hold firm backbone rights (i.e., delivered at the local transmission system, which will mean that they will not have to hold firm backbone rights).  As Indicated Generators’ witness Beach testified, the Gas Accord resulted in a highly competitive and transparent market for gas at the PG&amp;E citygate.  Over the past two years, the PG&amp;E citygate prices have averaged 3 cents and 8 cents per dth less than the California border prices at Malin and Topock respectively, plus tariff transportation costs on the PG&amp;E system.  (See Ex.No.5 at pp.4-5 and following chart).</w:t>
      </w:r>
    </w:p>
    <w:p>
      <w:pPr>
        <w:pStyle w:val="Normal"/>
        <w:spacing w:lineRule="auto" w:line="360"/>
        <w:ind w:firstLine="1080" w:end="0"/>
        <w:rPr/>
      </w:pPr>
      <w:r>
        <w:rPr/>
        <w:t xml:space="preserve">There is every reason to believe the same kind of citygate gas market would come into existence for a SoCalGas citygate if the Comprehensive Settlement were approved.  SCGC witness Yap argued that the result on SoCalGas may not be the same as on PG&amp;E because of an alleged “bottleneck” on the SoCalGas system between the receipt points and the Comprehensive Settlement’s citygate.  Actually, the opposite is true.  SoCalGas has a lower load factor (79%) under the Comprehensive Settlement (Section 1.1.3.2, p.10) than PG&amp;E does (87.5%) under the Gas Accord (73 CPUC2d at 821).  Greater excess backbone capacity implies more discounting under the Comprehensive Settlement than under the Gas Accord.  Similarly, SoCalGas has 105.6 Bcf of storage inventory, compared to PG&amp;E’s 40 Bcf.  As discussed below, storage work to alleviate any alleged “bottleneck”, if it really existed.  The extra margin of storage on SoCalGas’ system compared to PG&amp;E’s system also implies more discounting on SoCalGas than on PG&amp;E. </w:t>
      </w:r>
    </w:p>
    <w:p>
      <w:pPr>
        <w:pStyle w:val="Normal"/>
        <w:spacing w:lineRule="auto" w:line="360"/>
        <w:ind w:firstLine="1080" w:end="0"/>
        <w:rPr/>
      </w:pPr>
      <w:r>
        <w:rPr/>
        <w:t>Ms. Yap claims this “bottleneck” may exist because there is “excess” deliverability of at least 1,000 MMcfd of interstate pipeline capacity upstream of SoCalGas (See Ex.101 at p.14).  However, Ms. Yap’s testimony overlooks the availability of gas from storage on the SoCalGas system, which does not need backbone transmission rights to move to customers’ premises (SoCalGas/SDG&amp;E witness Lorenz, Tr.v.8, p.978).  SoCalGas has 3,125 MMcfd of storage withdrawal capacity, exclusive of the Montebello field, and 1,190 MMcfd of this is allocated to unbundled storage service and noncore balancing.  Furthermore, SoCalGas Gas Acquisition Department and CTAs can also make the 1,935 MMcfd of withdrawal allocated to core service available to noncore customers on any day they do not need to use it. As SoCalGas/SDG&amp;E witness Lorenz testified, SoCalGas has a capacity on a design basis to deliver to customers’ premises about 5.6 Bcf of gas in a day and has actually delivered as much as 5.3 Bcf on a single day (Tr.v.8, p.977-978).  Thus, there will be much more capacity available from storage than Ms. Yap’s alleged 1,000 MMcfd “bottleneck” on the SoCalGas backbone transmission system.</w:t>
      </w:r>
    </w:p>
    <w:p>
      <w:pPr>
        <w:pStyle w:val="Normal"/>
        <w:spacing w:lineRule="auto" w:line="360"/>
        <w:ind w:firstLine="1080" w:end="0"/>
        <w:rPr/>
      </w:pPr>
      <w:r>
        <w:rPr/>
        <w:t>Second, the Comprehensive Settlement will create a secondary market for SoCalGas firm backbone capacity in which all customers (including low load factor customers) can buy or sell capacity on a short-term basis.  If the low load factor customers buy in the open season to meet their peaks, they can sell the capacity in the secondary market when they are off their peak.  Or these customers can buy in the open season a level below their peak and meet buy capacity in the secondary market on a short-term basis to meet their peaks.  Interruptible capacity (which is 100% volumetric) may be available from SoCalGas is firm capacity is underutilized or the system will accommodate more than the fixed firm quantities on a particular day.  Customers have liberal imbalance tolerances on non-OFO days, and even on OFO days will have a 10% daily imbalance tolerance and can buy further imbalance chips.  Finally, storage can be a major tool in managing the need to purchase backbone capacity to meet peak demand.  Under the Comprehensive Settlement, a customer does not need to hold backbone transmission rights to deliver gas from its SoCalGas storage account to its premises (SoCalGas/SDG&amp;E witness Lorenz, Tr.v.8, p.978).</w:t>
      </w:r>
    </w:p>
    <w:p>
      <w:pPr>
        <w:pStyle w:val="Normal"/>
        <w:spacing w:lineRule="auto" w:line="360"/>
        <w:ind w:firstLine="1080" w:end="0"/>
        <w:rPr/>
      </w:pPr>
      <w:r>
        <w:rPr/>
        <w:t xml:space="preserve">SoCalGas and SDG&amp;E provided realistic examples at pp.2-3 (and the following attachment) of Exhibit No.20 of how low load factor customers can and will manage the effect of backbone transmission reservation charges under the Comprehensive Settlement.  Case 1 shown there reflects SCGC witness Yap’s analysis of 29% load factor customers.  She assumed the customers buy backbone capacity to meet their peak demand at 100% reservation charges, and then do </w:t>
      </w:r>
    </w:p>
    <w:p>
      <w:pPr>
        <w:pStyle w:val="Normal"/>
        <w:spacing w:lineRule="auto" w:line="360"/>
        <w:rPr/>
      </w:pPr>
      <w:r>
        <w:rPr/>
        <w:t xml:space="preserve">not broker any of that capacity in excess of their needs on </w:t>
      </w:r>
    </w:p>
    <w:p>
      <w:pPr>
        <w:pStyle w:val="Normal"/>
        <w:spacing w:lineRule="auto" w:line="360"/>
        <w:rPr/>
      </w:pPr>
      <w:r>
        <w:rPr/>
      </w:r>
    </w:p>
    <w:p>
      <w:pPr>
        <w:pStyle w:val="Normal"/>
        <w:spacing w:lineRule="auto" w:line="360"/>
        <w:rPr/>
      </w:pPr>
      <w:r>
        <w:rPr/>
        <w:t>the remaining 364 non-peak days.</w:t>
      </w:r>
      <w:r>
        <w:rPr>
          <w:rStyle w:val="FootnoteCharacters"/>
          <w:rStyle w:val="FootnoteReference"/>
        </w:rPr>
        <w:footnoteReference w:id="7"/>
      </w:r>
      <w:r>
        <w:rPr/>
        <w:t xml:space="preserve">  These assumptions are so extreme as to be ridiculous on their face – yet they result in an increase in the delivered cost of gas to the customers of approximately 18 cents/dth, which is only about a 6% increase in the delivered cost of gas, assuming a $2.50/dth California price, or about a 4% increase assuming a $4.00/dth border price.</w:t>
      </w:r>
    </w:p>
    <w:p>
      <w:pPr>
        <w:pStyle w:val="Normal"/>
        <w:spacing w:lineRule="auto" w:line="360"/>
        <w:ind w:firstLine="1080" w:end="0"/>
        <w:rPr/>
      </w:pPr>
      <w:r>
        <w:rPr/>
        <w:t xml:space="preserve">Nevertheless, the realistic examples that SoCalGas and SDG&amp;E provided in Exhibit No.20 show in real life the effects will be far less – possibly even favorable.  Case 2 assumes that the customers can and do broker unneeded capacity, albeit at a 20% discount to the embedded cost they paid through the open season.  The result is an increase in the cost of backbone transmission from 7.2 cents/dth to 10.8 cents/dth – but that amounts to increasing SoCalGas’ total transportation rate from about 34 cents/dth to 37.6 cents/dth, hardly an large impact (and truly minor as a percentage of the delivered cost of gas).  Case 3 is perhaps an even more realistic example for low-load factor UEG customers, whose peak is in the summer, although SoCalGas’ system peak is in the winter.  Case 3 assumes that the customers contract for their peak at the 100% reservation fee rate design, but are able to market their excess capacity at a 20% premium to cost in the winter and a 10% discount to cost in the summer.  The result is that these customers pay an effective backbone </w:t>
      </w:r>
      <w:r>
        <w:br w:type="page"/>
      </w:r>
    </w:p>
    <w:p>
      <w:pPr>
        <w:pStyle w:val="Normal"/>
        <w:spacing w:lineRule="auto" w:line="360"/>
        <w:rPr/>
      </w:pPr>
      <w:r>
        <w:rPr/>
        <w:t>rate of 6.0 cents/dth – well below the 7.2 cents/dth they are currently paying bundled in volumetric rates.  Case 4 makes the realistic assumption that the customers contract at a 50/50 rate design for their average level of demand and buy capacity to meet their higher demands at a 20% premium.  The result is a modest increase from 7.2 cents/dth to 9.2 cents/dth for backbone transmission.  Case 5 assumes they contract at 100% reservation fee design for their average winter demand, and then purchase city gate supplies at a discount comparable to that actually seen on the PG&amp;E system.  The result is a reduction from 7.2 cents/dth to 6.5 cents/dth.</w:t>
      </w:r>
    </w:p>
    <w:p>
      <w:pPr>
        <w:pStyle w:val="Normal"/>
        <w:spacing w:lineRule="auto" w:line="360"/>
        <w:ind w:firstLine="1080" w:end="0"/>
        <w:rPr/>
      </w:pPr>
      <w:r>
        <w:rPr/>
        <w:t>The record is clear that UEG customers do not behave anything like SCGC witness Yap assumed that they would behave when she calculated the impact of SoCalGas backbone reservation charges on low load factor customers.  Interstate pipelines (and PG&amp;E), which are the source of gas delivered into SoCalGas for redelivery to UEG customers, already have SFV rate designs and firm, tradable capacity rights.  Do SoCalGas’ UEG customers contract for firm capacity on these pipelines to meet their peak needs, and then fail to broker capacity when they do not need it?  Hardly.  Exhibit No.25 shows that in 1999, LADWP had a peak day consumption of gas of 511,334 MMbtu, but held firm capacity on pipelines upstream of SoCalGas of only about 172,000 Mmbtu, or only about one-third of its peak day gas consumption.  Similar percentages for Glendale, Burbank, and Pasadena based on Exhibit No.25 are 57%, 69%, and 56% respectively.  Obviously, the UEG customers are already buying gas from marketers at the California border, buying interruptible or short-term firm interstate transportation, withdrawing from storage, or swinging on SoCalGas’ liberal imbalance tolerances (or combinations of these), in order to manage the effects of interstate pipeline (and PG&amp;E) reservation charges.  They can and will do the same if the Comprehensive Settlement is approved.</w:t>
      </w:r>
    </w:p>
    <w:p>
      <w:pPr>
        <w:pStyle w:val="Normal"/>
        <w:spacing w:lineRule="auto" w:line="360"/>
        <w:ind w:firstLine="1080" w:end="0"/>
        <w:rPr/>
      </w:pPr>
      <w:r>
        <w:rPr/>
        <w:t>Indeed, if the burden of reservation charges is so great on such customers, why would Glendale have signed an agreement to buy an undivided interest in Line 401 from PG&amp;E that was submitted for Commission approval in A.00-02-009?  After all, ownership is the ultimate form of reservation charge (Ex.No.15, p.5).</w:t>
      </w:r>
    </w:p>
    <w:p>
      <w:pPr>
        <w:pStyle w:val="Normal"/>
        <w:spacing w:lineRule="auto" w:line="360"/>
        <w:ind w:firstLine="1080" w:end="0"/>
        <w:rPr/>
      </w:pPr>
      <w:r>
        <w:rPr/>
        <w:t>Finally, one must simply note that it may be fair, efficient, and appropriate for low load customers to bear somewhat more of a share (and high load factor customers to bear somewhat less of a share) of the fixed cost of SoCalGas’ system than is the case under today’s all-volumetric transportation rates.  Low load factor customers, by definition, make a peak use of the SoCalGas system that is much higher than their average use.  The system must be sized to meet the system peak demand, but most of the costs are fixed and do not go away at times of lower demand.  Low load factor customers who pay all-volumetric rates do not bear the full cost of the system when they are using the system below a system-average load factor.</w:t>
      </w:r>
    </w:p>
    <w:p>
      <w:pPr>
        <w:pStyle w:val="Normal"/>
        <w:spacing w:lineRule="auto" w:line="360"/>
        <w:ind w:firstLine="1080" w:end="0"/>
        <w:rPr/>
      </w:pPr>
      <w:r>
        <w:rPr/>
        <w:t>SCGC witness Yap has suggested that SoCalGas will enjoy a windfall because customers allegedly will subscribe for backbone transmission capacity substantially in excess of the load factor employed by the Comprehensive Settlement.  Indeed, she suggested that as much as 100% of SoCalGas’ firm intrastate backbone transmission capacity will be contracted for in the open season process.  This suggestion was based on the view, shown to be incorrect above, that low load factor customers would have to contract to meet their peak demands.  This incorrect conclusion led Ms. Yap to the equally incorrect conclusion that SoCalGas will sell out all 3500 MMcfd of backbone capacity at embedded cost.  In fact, the load factor for backbone capacity contracting used to set embedded cost backbone rates in the Comprehensive Settlement is reasonable.  It is a 79% load factor, slightly greater than the 77% load factor (78% adjusted for fuel) adopted by the Commission for rate design purposes just a few months ago in BCAP D.00-04-060 (Ex.No.2, p.13).  As such it is very comparable to the approach of the PG&amp;E Gas Accord in using a load factor with a slight “stretch factor” over the last BCAP-adopted load factor.  No one has shown that PG&amp;E has enjoyed windfall profits as a result of the load factor used in the Gas Accord; there is no more reason to believe that SoCalGas will be unjustly enriched by adoption of the Comprehensive Settlement with its load factor in excess of the recent Commission-adopted BCAP forecast throughput.</w:t>
      </w:r>
    </w:p>
    <w:p>
      <w:pPr>
        <w:pStyle w:val="Normal"/>
        <w:spacing w:lineRule="auto" w:line="360"/>
        <w:ind w:firstLine="1080" w:end="0"/>
        <w:rPr/>
      </w:pPr>
      <w:r>
        <w:rPr/>
      </w:r>
    </w:p>
    <w:p>
      <w:pPr>
        <w:pStyle w:val="Normal"/>
        <w:spacing w:lineRule="auto" w:line="360"/>
        <w:ind w:firstLine="1080" w:end="0"/>
        <w:rPr/>
      </w:pPr>
      <w:r>
        <w:rPr/>
      </w:r>
    </w:p>
    <w:p>
      <w:pPr>
        <w:pStyle w:val="Normal"/>
        <w:numPr>
          <w:ilvl w:val="0"/>
          <w:numId w:val="2"/>
        </w:numPr>
        <w:tabs>
          <w:tab w:val="clear" w:pos="720"/>
          <w:tab w:val="left" w:pos="0" w:leader="none"/>
        </w:tabs>
        <w:ind w:hanging="2255" w:start="3335" w:end="0"/>
        <w:rPr>
          <w:b/>
          <w:bCs/>
        </w:rPr>
      </w:pPr>
      <w:r>
        <w:rPr>
          <w:b/>
          <w:bCs/>
        </w:rPr>
        <w:t>Other Matters Related to Intrastate Backbone Transmission Service</w:t>
      </w:r>
    </w:p>
    <w:p>
      <w:pPr>
        <w:pStyle w:val="Normal"/>
        <w:spacing w:lineRule="auto" w:line="360"/>
        <w:ind w:start="1080" w:end="0"/>
        <w:rPr/>
      </w:pPr>
      <w:r>
        <w:rPr/>
      </w:r>
    </w:p>
    <w:p>
      <w:pPr>
        <w:pStyle w:val="Normal"/>
        <w:spacing w:lineRule="auto" w:line="360"/>
        <w:ind w:firstLine="1080" w:end="0"/>
        <w:rPr/>
      </w:pPr>
      <w:r>
        <w:rPr/>
        <w:t>The Comprehensive Settlement in Section 1.1.3.4 (p.12) eliminates SoCalGas’ existing “Service Interruption Credit” (“SIC”) effective when firm intrastate backbone transmission rights become effective on October 1, 2001.  The SIC currently provides for SoCalGas to compensate noncore customers in a total amount not to exceed $5 million per year if they are curtailed by SoCalGas for more once in 10 years for more than a specified number of hours.  This provision was a voluntary and pro-active offer by SoCalGas approximately ten years ago to build confidence in the reliability of its service to noncore customers.</w:t>
      </w:r>
    </w:p>
    <w:p>
      <w:pPr>
        <w:pStyle w:val="Normal"/>
        <w:spacing w:lineRule="auto" w:line="360"/>
        <w:rPr/>
      </w:pPr>
      <w:r>
        <w:rPr/>
        <w:tab/>
        <w:t>It is appropriate for the Comprehensive Settlement to eliminate the SIC in light of the other changes that the Comprehensive Settlement will make in market structure.  First, Section 1.5.4 of the Comprehensive Settlement provides for the payment of a $25 per dth fee to any noncore customer who has delivered gas onto the SoCalGas that is then diverted to ensure service to a core customer.  This is a new provision for SoCalGas and is comparable to provisions approved for PG&amp;E in its OFO settlement.  Thus, provision provides a very substantial new form of compensation in this situation, and there is no basis for keeping the SIC in place in addition to it.  There is no provision comparable to the SIC in place on the PG&amp;E system.</w:t>
      </w:r>
    </w:p>
    <w:p>
      <w:pPr>
        <w:pStyle w:val="Normal"/>
        <w:spacing w:lineRule="auto" w:line="360"/>
        <w:rPr/>
      </w:pPr>
      <w:r>
        <w:rPr/>
        <w:tab/>
        <w:t>Second, the Comprehensive Settlement provides that SoCalGas has a firm obligation to provide backbone transmission service only to those persons who have acquired the backbone transmission rights defined in the settlement.  The SIC is not related to any system of backbone transmission rates; it requires SoCalGas to compensate a noncore customer if the customer delivers sufficient supply to the SoCalGas system to meet the customers consumption needs, but the customer is curtailed nonetheless (more than the allowable frequency/duration).  Under Comprehensive Settlement, a shipper on SoCalGas has no rights to ship gas on a firm basis, and therefore no right to compensation when SoCalGas curtails its service, unless it holds firm backbone transmission rights.  The SIC is not appropriate to continue after the Comprehensive Settlement’s firm backbone transmission rights system goes into effect, because it would improperly require compensation for curtailment of noncore customers who have not acquired any (or sufficient) backbone transmission rights.</w:t>
      </w:r>
    </w:p>
    <w:p>
      <w:pPr>
        <w:pStyle w:val="Normal"/>
        <w:spacing w:lineRule="auto" w:line="360"/>
        <w:rPr/>
      </w:pPr>
      <w:r>
        <w:rPr/>
        <w:tab/>
        <w:t>The Comprehensive Settlement in Section 1.1.3.6.6 cancels Edison’s Wheeler Ridge Access Agreement with SoCalGas effective with the implementation of firm intrastate backbone transmission rights on October 1, 2001, and suspends SDG&amp;E’s similar agreement with SoCalGas from that date through the term of the Comprehensive Settlement.  This feature has been criticized by opponents of the Comprehensive Settlement.  The argument has been made that the Commission in the recent BCAP decision, D.00-04-060, declined to cancel or suspend those agreements (although the Commission did role-in the cost of the Wheeler Ridge interconnection), so it should not do so in this case.  Also, it has been suggested that it would be unreasonable to relieve Edison and SDG&amp;E of their obligations to pay under these access agreements because these revenues are used to reduce rates to SoCalGas ratepayers.</w:t>
      </w:r>
    </w:p>
    <w:p>
      <w:pPr>
        <w:pStyle w:val="Normal"/>
        <w:spacing w:lineRule="auto" w:line="360"/>
        <w:rPr/>
      </w:pPr>
      <w:r>
        <w:rPr/>
        <w:tab/>
        <w:t>In fact, the cancellation/suspension of these agreements under the Comprehensive Settlement are appropriate and in the public interest in light of the other changes in market structure made by the Comprehensive Settlement.  If these agreements were to be maintained in effect under the Comprehensive Settlement, Edison and SDG&amp;E would have the prior right to capacity from the Wheeler Ridge receipt point in their contract quantities, before any other person who might wish to acquire capacity in the open season process.  The Wheeler Ridge receipt point is likely to be a relatively desirable receipt point.  Other noncore customers already have contracts that provide them with discounts on up to 81 MMcfd of capacity if it is delivered through that point, which implies that they have to be given the opportunity to do so.  Thus, retention of the Edison and SDG&amp;E Wheeler Ridge Access Agreements would mean that a great deal of the capacity at Wheeler Ridge would be not be available to customers in general through the open season process.  This would be disruptive of the entire process of establishing a fair and well-operating market and secondary market for SoCalGas backbone transmission capacity.  This is especially the case with Edison’s Wheeler Ridge Access Agreement, since it no longer has any purpose to hold this right to meet its public utility service obligations after divestiture of all its gas-fired power plants.</w:t>
      </w:r>
    </w:p>
    <w:p>
      <w:pPr>
        <w:pStyle w:val="Normal"/>
        <w:spacing w:lineRule="auto" w:line="360"/>
        <w:rPr/>
      </w:pPr>
      <w:r>
        <w:rPr/>
        <w:tab/>
        <w:t>Loss of revenues from the cancellation/suspension of the Wheeler Ridge Access Agreements is not unreasonable from a ratepayer point of view.  The Commission should ensure that the reduction in cost is passed through to Edison and SDG&amp;E’s ratepayers.  Mr. Lorenz testified on behalf of SDG&amp;E that SDG&amp;E certainly supported this consequence of approval of the Comprehensive Settlement, and that Edison had told SoCalGas that it supports the same treatment relative to it and its ratepayers (SoCalGas/SDG&amp;E witness Lorenz, Tr.v.8, p.959).</w:t>
      </w:r>
    </w:p>
    <w:p>
      <w:pPr>
        <w:pStyle w:val="Normal"/>
        <w:spacing w:lineRule="auto" w:line="360"/>
        <w:rPr/>
      </w:pPr>
      <w:r>
        <w:rPr/>
        <w:tab/>
        <w:t>It should be noted that the Comprehensive Settlement, although suspending SDG&amp;E’s Wheeler Ridge Access Agreement for October 1, 2001 – August 31, 2006, does give SDG&amp;E an option to reserve 50 MMcfd of Wheeler Ridge backbone transmission rights as part of the wholesale customers’ pre-open set aside process.  The purpose here is to put SDG&amp;E’s core customers on a comparable footing to SoCalGas’ own core customers in terms of having receipt point backbone transmission rights that match their existing upstream pipeline contractual obligations.</w:t>
      </w:r>
    </w:p>
    <w:p>
      <w:pPr>
        <w:pStyle w:val="Normal"/>
        <w:spacing w:lineRule="auto" w:line="360"/>
        <w:rPr/>
      </w:pPr>
      <w:r>
        <w:rPr/>
        <w:tab/>
        <w:t>The intent of the Comprehensive Settlement is to put SoCalGas shareholders 100% at risk for the costs and revenues associated with backbone transmission service.  This is the same principle adopted by the Commission for the PG&amp;E backbone transmission system in the Gas Accord.  However, SoCalGas currently has a base rate PBR mechanism, but PG&amp;E did not when the Gas Accord was adopted and still does not.  Therefore, the interrelationship of shareholder risk for backbone (and storage) transmission risk with SoCalGas’ PBR mechanism was an issue that the Comprehensive Settlement had to address without any previously-approved template.</w:t>
      </w:r>
    </w:p>
    <w:p>
      <w:pPr>
        <w:pStyle w:val="Normal"/>
        <w:spacing w:lineRule="auto" w:line="360"/>
        <w:rPr/>
      </w:pPr>
      <w:r>
        <w:rPr/>
        <w:tab/>
        <w:t>The basic approach taken by the Comprehensive Settlement is to “carve out” the costs and revenues of the SoCalGas backbone transmission system from SoCalGas’ base rate PBR mechanism, and especially from the base rate PBR earnings sharing mechanism.</w:t>
      </w:r>
    </w:p>
    <w:p>
      <w:pPr>
        <w:pStyle w:val="Normal"/>
        <w:spacing w:lineRule="auto" w:line="360"/>
        <w:rPr/>
      </w:pPr>
      <w:r>
        <w:rPr/>
        <w:tab/>
        <w:t>If these costs and revenues were not excluded, it would not be possible to ensure 100% shareholder risk for this unbundled service.  SoCalGas’ base rate PBR mechanism has a “sliding scale” for sharing between ratepayers and shareholders of company-wide earnings in any year if the fall between 25 basis points above authorized return on rate base (ROR) and 300 basis points above authorized ROR (see D.97-07-054 at mimeo pp.38-42.  The ratepayer share of such earnings starts at 75% at +25 to +50 basis points and ramps down to 5% at +250 to +300 basis points.</w:t>
      </w:r>
    </w:p>
    <w:p>
      <w:pPr>
        <w:pStyle w:val="Normal"/>
        <w:spacing w:lineRule="auto" w:line="360"/>
        <w:ind w:firstLine="720" w:end="0"/>
        <w:rPr/>
      </w:pPr>
      <w:r>
        <w:rPr/>
        <w:t>Thus, if SoCalGas’ overall company earnings were anywhere in the range of +25 to +300 basis points above authorized ROR, then the effects of recovering more or less than actual costs for backbone transmission service would be shared in a percentage up to 75% with ratepayers through the PBR earnings sharing mechanism.  This would be contrary to the intent (which SoCalGas and SDG&amp;E believe the Commission shares) to put SoCalGas shareholders 100% at risk/reward for backbone transmission service.</w:t>
      </w:r>
    </w:p>
    <w:p>
      <w:pPr>
        <w:pStyle w:val="Normal"/>
        <w:spacing w:lineRule="auto" w:line="360"/>
        <w:ind w:firstLine="720" w:end="0"/>
        <w:rPr/>
      </w:pPr>
      <w:r>
        <w:rPr/>
        <w:t>This approach does not deprive ratepayers of any “benefits” under the SoCalGas PBR earnings sharing mechanism, which has no sharing if overall SoCalGas earnings are less than 25 basis points above authorized ROR.  Under the Comprehensive Settlement, if SoCalGas has a “loss” or “gain” on backbone transmission, it will bear all of the loss or gain, whether or not companywide earnings are more or less than 25 basis points about authorized ROR.</w:t>
      </w:r>
    </w:p>
    <w:p>
      <w:pPr>
        <w:pStyle w:val="Normal"/>
        <w:spacing w:lineRule="auto" w:line="360"/>
        <w:rPr/>
      </w:pPr>
      <w:r>
        <w:rPr/>
        <w:tab/>
        <w:t>It is appropriate for the Comprehensive Settlement to exclude not only the revenues but also the costs of backbone transmission from any PBR earning sharing calculation.  The Comprehensive Settlement puts SoCalGas at risk for maintaining the 3500 MMcfd of firm backbone transmission capacity for the term of the settlement at a specified revenue requirement (with an escalation formula).  Other than a “catastrophic event memorandum account” (“CEMA”) type of event (which is an exception even under PBR), SoCalGas is not allowed any increased revenue requirement for backbone transmission service.  It is not entitled to any increase if it has to make additional investment to maintain that capacity.  (See Section 1.1.3.3, p.11).  The Comprehensive Settlement fixes the revenue requirement (subject to an escalation formula) for both backbone and local transmission service for the term of the Comprehensive Settlement (with no cost-of-service revision in the next PBR case) to ensure that the allocation of costs between backbone and local transmission are consistent through this period and no costs are “trapped” through reallocation in subsequent BCAPs/PBRs during the term of the Comprehensive Settlement.</w:t>
      </w:r>
    </w:p>
    <w:p>
      <w:pPr>
        <w:pStyle w:val="Normal"/>
        <w:spacing w:lineRule="auto" w:line="360"/>
        <w:rPr/>
      </w:pPr>
      <w:r>
        <w:rPr/>
        <w:tab/>
        <w:t>SoCalGas notes, however, that the Comprehensive Settlement does not make SoCalGas at risk for core throughput, including throughput recovering backbone transmission costs allocated to core utility procurement customers.  In SoCalGas’ PBR decision, D.97-07-054, the Commission rejected SoCalGas’ proposal to eliminate the Core Fixed Cost Account and put SoCalGas at risk/reward for core (as well as noncore throughput).  Because the Commission required SoCalGas’ CFCA to be retained through the current PBR cycle (through at least December 31, 2002), the Comprehensive Settlement does not put SoCalGas at risk for core throughput recovering retail core intrastate capacity costs as long as the Commission does not put SoCalGas at risk for core throughput in general (See Ex.No.19, Answer to Q.1.1.3.1, Pg.10).</w:t>
      </w:r>
    </w:p>
    <w:p>
      <w:pPr>
        <w:pStyle w:val="Normal"/>
        <w:spacing w:lineRule="auto" w:line="360"/>
        <w:rPr/>
      </w:pPr>
      <w:r>
        <w:rPr/>
        <w:tab/>
        <w:t>The Comprehensive Settlement does provide for annual escalation of its specified revenue requirement for transmission (and storage) using whatever PBR annual indexing or escalation formula is in effect each year.  This should not be confused for making backbone transmission and storage subject to the entire PBR mechanism.  The PG&amp;E Gas Accord had a fixed annual escalation factor of 2.5%; SoCalGas, unlike PG&amp;E, has an escalation formula already available from the PBR, so it seemed more accurate to use it in the Comprehensive Settlement.</w:t>
      </w:r>
    </w:p>
    <w:p>
      <w:pPr>
        <w:pStyle w:val="Normal"/>
        <w:spacing w:lineRule="auto" w:line="360"/>
        <w:rPr/>
      </w:pPr>
      <w:r>
        <w:rPr/>
        <w:tab/>
        <w:t>The approach of “carving out” risk for backbone transmission (and storage) services under the Comprehensive Settlement is similar to the approach used for unbundled storage service risk and noncore throughput risk in the Joint Recommendation in the most recent SoCalGas PBR and approved by the Commission in D.00-04-060.  With respect to both its 50/50 risk sharing provisions for unbundled storage service and its 75/25 risk sharing provisions for noncore throughput, the Joint Recommendation exempted the results from being subject to SoCalGas’ existing overall PBR earnings sharing mechanism (see Joint Recommendation, Sections VIII. and XII.).  Thus, the principle in the Comprehensive Settlement of exempting risk/reward provisions for unbundled services from base rate PBR should be familiar to the Commission and the signatories to the BCAP Joint Recommendation.</w:t>
      </w:r>
    </w:p>
    <w:p>
      <w:pPr>
        <w:pStyle w:val="Normal"/>
        <w:spacing w:lineRule="auto" w:line="360"/>
        <w:rPr/>
      </w:pPr>
      <w:r>
        <w:rPr/>
        <w:tab/>
        <w:t>Because the Comprehensive Settlement unbundles only backbone intrastate transmission and storage costs for SoCalGas, it provides that SoCalGas’ risk/reward for remaining bundled local transmission and distribution service and rates shall be as provided in the currently-effective PBR and BCAP decisions, and future successors to those decisions after their terms expire (Section 1.3.3, p.23).</w:t>
      </w:r>
    </w:p>
    <w:p>
      <w:pPr>
        <w:pStyle w:val="Normal"/>
        <w:spacing w:lineRule="auto" w:line="360"/>
        <w:rPr/>
      </w:pPr>
      <w:r>
        <w:rPr/>
      </w:r>
    </w:p>
    <w:p>
      <w:pPr>
        <w:pStyle w:val="Normal"/>
        <w:spacing w:lineRule="auto" w:line="360"/>
        <w:rPr/>
      </w:pPr>
      <w:r>
        <w:rPr/>
      </w:r>
    </w:p>
    <w:p>
      <w:pPr>
        <w:pStyle w:val="Heading7"/>
        <w:rPr/>
      </w:pPr>
      <w:r>
        <w:rPr/>
        <w:t>Storage</w:t>
      </w:r>
    </w:p>
    <w:p>
      <w:pPr>
        <w:pStyle w:val="BodyText2"/>
        <w:ind w:firstLine="630" w:end="0"/>
        <w:rPr/>
      </w:pPr>
      <w:r>
        <w:rPr/>
        <w:t>The Comprehensive Settlement restructures storage services by SoCalGas.  It addresses each of the storage-related promising options in D.99-07-015.  Furthermore, it addresses concern that had been raised about alleged SoCalGas market power in storage services and promotes greater statewide consistency with PG&amp;E in storage service.</w:t>
      </w:r>
    </w:p>
    <w:p>
      <w:pPr>
        <w:pStyle w:val="BodyText2"/>
        <w:rPr/>
      </w:pPr>
      <w:r>
        <w:rPr/>
        <w:t>The Comprehensive Settlement quantifies the cost of storage on an embedded cost (vs. marginal cost) basis and fixes this cost (subject to an escalation formula) for the term of the settlement.</w:t>
      </w:r>
    </w:p>
    <w:p>
      <w:pPr>
        <w:pStyle w:val="Normal"/>
        <w:spacing w:lineRule="auto" w:line="360"/>
        <w:ind w:firstLine="720" w:end="0"/>
        <w:rPr/>
      </w:pPr>
      <w:r>
        <w:rPr/>
        <w:t>The Comprehensive Settlement will make storage service available to noncore customers and other interested persons through an open season at embedded cost.  To avoid stranding any single storage “product” or “function” (i.e., injection, inventory, withdrawal), the open season will offer packages in the same proportion as SoCalGas’ total storage capacities for each function, at the embedded cost specified in the settlement.  While opponents of the Comprehensive Settlement objected to having to buy a “package”, the system approved by the Commission in the Gas Accord packaged injection and inventory (see 73 CPUC2d at 805 and 851).  Twenty percent of the capacity in the open season will be offered for a term of one year, and will be re-offered annually for the term of the settlement.</w:t>
      </w:r>
    </w:p>
    <w:p>
      <w:pPr>
        <w:pStyle w:val="Normal"/>
        <w:spacing w:lineRule="auto" w:line="360"/>
        <w:ind w:firstLine="720" w:end="0"/>
        <w:rPr/>
      </w:pPr>
      <w:r>
        <w:rPr/>
        <w:t>SoCalGas shareholders will be 50% at risk/reward for storage costs and revenues in the first year (April 2001-March 2002), 75% at risk/reward in the second year, and 100% at risk/reward thereafter.</w:t>
      </w:r>
    </w:p>
    <w:p>
      <w:pPr>
        <w:pStyle w:val="Normal"/>
        <w:spacing w:lineRule="auto" w:line="360"/>
        <w:ind w:firstLine="720" w:end="0"/>
        <w:rPr/>
      </w:pPr>
      <w:r>
        <w:rPr/>
        <w:t>SoCalGas unbundled storage capacity not contracted for in the open seasons may be marketed by SoCalGas on an individually-negotiated basis, just as is the case under the PG&amp;E Gas Accord (73 CPUC2d at 805, 809, and 851).  In the first year, SoCalGas’ pricing flexibility for each storage product will be limited to 50% above and below the embedded cost of that function.  In the second year, the cap will be raised to 100% above the embedded cost of that product.  In the third year and thereafter, the floor will be short-run marginal cost and there will be no ceiling.</w:t>
      </w:r>
    </w:p>
    <w:p>
      <w:pPr>
        <w:pStyle w:val="Normal"/>
        <w:spacing w:lineRule="auto" w:line="360"/>
        <w:ind w:firstLine="720" w:end="0"/>
        <w:rPr/>
      </w:pPr>
      <w:r>
        <w:rPr/>
        <w:t>In April 2001, the total core storage reservation (before CTA elections to decline storage) will be reduced to 55 Bcf of inventory, 327 MMcfd of injection, and 1,935 MMcfd of withdrawal.  This reduction and the effects of embedded cost allocation reduce storage cost allocation to the core by about $5.2 million (Ex.2, p.18 and Attachment 6).  CTAs will be allowed to decline this storage reservation and receive a credit of almost 10 cents/dth.  However, they must certify alternative reliability resources, and the total amount of reliability storage that can be declined is limited to 15% of total core requirements for at least 3 years.</w:t>
      </w:r>
    </w:p>
    <w:p>
      <w:pPr>
        <w:pStyle w:val="Normal"/>
        <w:spacing w:lineRule="auto" w:line="360"/>
        <w:ind w:firstLine="720" w:end="0"/>
        <w:rPr/>
      </w:pPr>
      <w:r>
        <w:rPr/>
        <w:t>Unlike under the Interim and Post-Interim Settlements, storage rights will be fully and freely tradable on the secondary market.  Storage rights holders will be able to trade injection, inventory and withdrawal rights independently.  An electronic trading platform will be made available.</w:t>
      </w:r>
    </w:p>
    <w:p>
      <w:pPr>
        <w:pStyle w:val="Normal"/>
        <w:spacing w:lineRule="auto" w:line="360"/>
        <w:ind w:firstLine="720" w:end="0"/>
        <w:rPr/>
      </w:pPr>
      <w:r>
        <w:rPr/>
        <w:t>Opponents of the Comprehensive Settlement have raised several issues with respect to its approach to storage.</w:t>
      </w:r>
    </w:p>
    <w:p>
      <w:pPr>
        <w:pStyle w:val="Normal"/>
        <w:spacing w:lineRule="auto" w:line="360"/>
        <w:ind w:firstLine="720" w:end="0"/>
        <w:rPr/>
      </w:pPr>
      <w:r>
        <w:rPr/>
        <w:t>First, concern has been raised about the caps (or lack thereof in the third and subsequent years) on the price that SoCalGas can charge for negotiated storage contracts outside the open seasons.  In fact, the provisions of the Comprehensive Settlement on this point are reasonable.</w:t>
      </w:r>
    </w:p>
    <w:p>
      <w:pPr>
        <w:pStyle w:val="Normal"/>
        <w:spacing w:lineRule="auto" w:line="360"/>
        <w:ind w:firstLine="720" w:end="0"/>
        <w:rPr/>
      </w:pPr>
      <w:r>
        <w:rPr/>
        <w:t xml:space="preserve">In the first place, the provisions of the Comprehensive Settlement on this point are </w:t>
      </w:r>
      <w:r>
        <w:rPr>
          <w:u w:val="single"/>
        </w:rPr>
        <w:t>more</w:t>
      </w:r>
      <w:r>
        <w:rPr/>
        <w:t xml:space="preserve"> restrictive than under current Commission regulation of SoCalGas’ unbundled storage service.  Under SoCalGas’ current storage tariff schedule G-TBS, the entire costs of the unbundled storage program (all three storage products) are used to set the ceiling price for each individual storage product. By contrast, under the Comprehensive Settlement, there will be a ceiling for each product in the first two years based on a percentage above the embedded cost for that product alone.  In the third and later years, the absence of a cap is in practice no different than today’s situation.  (See Mr. Lorenz testimony in Ex.No.14, pp.5-6)</w:t>
      </w:r>
    </w:p>
    <w:p>
      <w:pPr>
        <w:pStyle w:val="Normal"/>
        <w:spacing w:lineRule="auto" w:line="360"/>
        <w:ind w:firstLine="720" w:end="0"/>
        <w:rPr/>
      </w:pPr>
      <w:r>
        <w:rPr/>
        <w:t>Second, the creation of an open season process in which storage capacity is available to all comers at embedded cost, and the creation of a liquid secondary market in storage capacity rights, will ensure that SoCalGas has no market power in storage service.  A “recourse” service at cost and the ability of persons to buy and sell storage other than from SoCalGas in a secondary market effectively will foreclose any possibility existing today that SoCalGas could withhold storage capacity from the market and receive monopoly profits.</w:t>
      </w:r>
      <w:r>
        <w:rPr>
          <w:rStyle w:val="FootnoteCharacters"/>
          <w:rStyle w:val="FootnoteReference"/>
        </w:rPr>
        <w:footnoteReference w:id="8"/>
      </w:r>
      <w:r>
        <w:rPr/>
        <w:t xml:space="preserve">  Indeed, the requirement of the Comprehensive Settlement to make unbundled storage available to potential customers </w:t>
      </w:r>
      <w:r>
        <w:rPr>
          <w:u w:val="single"/>
        </w:rPr>
        <w:t>at embedded cost</w:t>
      </w:r>
      <w:r>
        <w:rPr/>
        <w:t xml:space="preserve"> through the open season process is a major way in which the Comprehensive Settlement addresses concerns about storage market power that the Post-Interim Settlement takes no steps to address.  As Mr. Amirault, witness for Wild Goose, pointed out, the embedded cost of SoCalGas’ open season package will be only 60% of the cost of similar PG&amp;E open season storage packages; Exhibit No.9, </w:t>
      </w:r>
      <w:r>
        <w:br w:type="page"/>
      </w:r>
    </w:p>
    <w:p>
      <w:pPr>
        <w:pStyle w:val="Normal"/>
        <w:spacing w:lineRule="auto" w:line="360"/>
        <w:rPr/>
      </w:pPr>
      <w:r>
        <w:rPr/>
        <w:t>p.6 (comparing SoCalGas package at $0.67 per inventory dth vs. PG&amp;E package rate of $1.10 per inventory dth).</w:t>
      </w:r>
    </w:p>
    <w:p>
      <w:pPr>
        <w:pStyle w:val="Normal"/>
        <w:spacing w:lineRule="auto" w:line="360"/>
        <w:ind w:firstLine="720" w:end="0"/>
        <w:rPr/>
      </w:pPr>
      <w:r>
        <w:rPr/>
        <w:t>Under the Post-Interim Settlement, customers do not have the right to demand unbundled storage service at embedded cost; the G-TBS rate structure maintained as the unbundled service option under the Post-Interim Settlement is capped at a level well above embedded cost.</w:t>
      </w:r>
    </w:p>
    <w:p>
      <w:pPr>
        <w:pStyle w:val="Normal"/>
        <w:spacing w:lineRule="auto" w:line="360"/>
        <w:ind w:firstLine="720" w:end="0"/>
        <w:rPr/>
      </w:pPr>
      <w:r>
        <w:rPr/>
        <w:t xml:space="preserve">Questions were also raised about the Comprehensive Settlement’s floor rate of 50% of embedded cost for negotiated storage contracts in the first two storage years.  It should be noted that the floor exists for only as long as ratepayers in general have an obligation to bear a percentage of unbundled storage costs not fully recovered through revenues from unbundled services.  Thus, to the extent the floor would cause unbundled storage revenues to be any greater than otherwise would be the case, it limits the exposure of ratepayers in general.  Furthermore, it hardly can be said that potential unbundled storage customers are being “gouged” or that SoCalGas shareholders are earning “monopoly” profits if the price charged for storage is </w:t>
      </w:r>
      <w:r>
        <w:rPr>
          <w:u w:val="single"/>
        </w:rPr>
        <w:t>half</w:t>
      </w:r>
      <w:r>
        <w:rPr/>
        <w:t xml:space="preserve"> of SoCalGas’ embedded cost of providing the service.</w:t>
      </w:r>
    </w:p>
    <w:p>
      <w:pPr>
        <w:pStyle w:val="Normal"/>
        <w:spacing w:lineRule="auto" w:line="360"/>
        <w:ind w:firstLine="720" w:end="0"/>
        <w:rPr/>
      </w:pPr>
      <w:r>
        <w:rPr/>
        <w:t>The Comprehensive Settlement also provides for substantially more unbundling of storage for core transportation-only customers than does the Interim or Post-Interim Settlement.  The Post-Interim Settlement in Section V. appears to simply adopt the Interim’s provisions on this point through December 31, 2002, and then leave the whole issue up to the Commission for the period thereafter.  The Comprehensive Settlement allows CTAs to decline storage from SoCalGas and avoid that cost in an amount of up to 9.7 cents/dth, while the comparable figure under the Interim/Post-Interim Settlement is only 2.9 cents/dth (insert citations).</w:t>
      </w:r>
    </w:p>
    <w:p>
      <w:pPr>
        <w:pStyle w:val="Normal"/>
        <w:spacing w:lineRule="auto" w:line="360"/>
        <w:ind w:firstLine="720" w:end="0"/>
        <w:rPr/>
      </w:pPr>
      <w:r>
        <w:rPr/>
        <w:t>The Comprehensive Settlement is more consistent than the Interim/Post-Interim Settlements with the Commission’s Promising Options and with the PG&amp;E January 28, 2000 settlement.  D.99-07-015 in Appendix C listed as a promising option “Unbundle utility storage costs for core customers”, and similar language appears in the text at p.49.  The Comprehensive Settlement moves much farther down this promising option path than do the Interim/Post-Interim Settlements.</w:t>
      </w:r>
    </w:p>
    <w:p>
      <w:pPr>
        <w:pStyle w:val="Normal"/>
        <w:spacing w:lineRule="auto" w:line="360"/>
        <w:ind w:firstLine="720" w:end="0"/>
        <w:rPr/>
      </w:pPr>
      <w:r>
        <w:rPr/>
        <w:t xml:space="preserve">The PG&amp;E January 28 settlement approved in D.00-05-049 (and appended thereto) in Section 2.5 allows individual CTAs to decline </w:t>
      </w:r>
      <w:r>
        <w:rPr>
          <w:u w:val="single"/>
        </w:rPr>
        <w:t>all</w:t>
      </w:r>
      <w:r>
        <w:rPr/>
        <w:t xml:space="preserve"> utility storage service, as long as storage declined by all CTAs as a whole does not exceed percentages of total core storage set forth in Section 2.5.4.5.  These percentages are 5% for April 2000-March 2001, 10% for April 2001-March 2002, and 15% in April 2002-March 2003.</w:t>
      </w:r>
      <w:r>
        <w:rPr>
          <w:rStyle w:val="FootnoteCharacters"/>
          <w:rStyle w:val="FootnoteReference"/>
        </w:rPr>
        <w:footnoteReference w:id="9"/>
      </w:r>
    </w:p>
    <w:p>
      <w:pPr>
        <w:pStyle w:val="Normal"/>
        <w:spacing w:lineRule="auto" w:line="360"/>
        <w:ind w:firstLine="720" w:end="0"/>
        <w:rPr/>
      </w:pPr>
      <w:r>
        <w:rPr/>
        <w:t>The Comprehensive Settlement also allows CTAs to decline all SoCalGas storage, as long as the percentage of core reliability storage declined by CTAs does not exceed 15% of total core reliability storage.</w:t>
      </w:r>
      <w:r>
        <w:rPr>
          <w:rStyle w:val="FootnoteCharacters"/>
          <w:rStyle w:val="FootnoteReference"/>
        </w:rPr>
        <w:footnoteReference w:id="10"/>
      </w:r>
      <w:r>
        <w:rPr/>
        <w:t xml:space="preserve">  This is the same cap the approved PG&amp;E settlement applies starting in 2002.  No one has presented any reason that the Comprehensive Settlement needs to limit the amount of SoCalGas </w:t>
      </w:r>
      <w:r>
        <w:rPr>
          <w:u w:val="single"/>
        </w:rPr>
        <w:t>non</w:t>
      </w:r>
      <w:r>
        <w:rPr/>
        <w:t xml:space="preserve">-reliability storage that can be declined by CTAs.  By contrast, the Interim/Post-Interim Settlement does not allow the unbundling of </w:t>
      </w:r>
      <w:r>
        <w:rPr>
          <w:u w:val="single"/>
        </w:rPr>
        <w:t>any</w:t>
      </w:r>
      <w:r>
        <w:rPr/>
        <w:t xml:space="preserve"> of the core storage it identifies as being reliability-related.</w:t>
      </w:r>
    </w:p>
    <w:p>
      <w:pPr>
        <w:pStyle w:val="Normal"/>
        <w:spacing w:lineRule="auto" w:line="360"/>
        <w:ind w:firstLine="720" w:end="0"/>
        <w:rPr/>
      </w:pPr>
      <w:r>
        <w:rPr/>
        <w:t>It must be emphasized that the Comprehensive Settlement, like the PG&amp;E settlement the Commission has already approved, includes detailed provisions to ensure that if CTAs decline reliability storage, there will be no impairment of the reliability of service to their customers or any other customers on the system.  The Comprehensive Settlement and PG&amp;E settlement provisions on this point are essentially identical; compare Comprehensive Settlement Sections 5.4.4.10 and 5.4.4.11 with PG&amp;E settlement provisions 2.5.4.11 and 2.5.4.12.  Because the PG&amp;E provisions were acceptable to the Commission, the Comprehensive Settlement provisions should also be acceptable to the Commission.</w:t>
      </w:r>
    </w:p>
    <w:p>
      <w:pPr>
        <w:pStyle w:val="Normal"/>
        <w:spacing w:lineRule="auto" w:line="360"/>
        <w:ind w:firstLine="720" w:end="0"/>
        <w:rPr/>
      </w:pPr>
      <w:r>
        <w:rPr/>
        <w:t>Finally, SoCalGas and SDG&amp;E want to emphasize the way in that the Comprehensive Settlement is much more consistent with the Commission’s promising option for creation of a secondary market in storage rights, and with the PG&amp;E secondary market for storage rights, than are the Interim/Post-Interim Settlements.  The Interim/Post-Interim Settlements allow the trading in the secondary market through December 31, 2002, of only whole storage contract quantities (although for less than the full term of the storage contract, if so desired by the contracting party).  Section VII.A. of the Interim Settlement (pp.14-15) is unambiguous on this point.  See also Mr. Lorenz’s testimony in Exhibit No.14 at p.7.  The Interim/Post-Interim Settlements do not provide for the various injection, inventory, and withdrawal rights under a storage contract to be traded separately, or even for a percentage of all rights under a contract to be traded.</w:t>
      </w:r>
    </w:p>
    <w:p>
      <w:pPr>
        <w:pStyle w:val="Normal"/>
        <w:spacing w:lineRule="auto" w:line="360"/>
        <w:ind w:firstLine="720" w:end="0"/>
        <w:rPr/>
      </w:pPr>
      <w:r>
        <w:rPr/>
        <w:t xml:space="preserve">By contrast, the Comprehensive Settlement goes all the way to implementing the Commission’s promising option of creating firm, tradable storage rights and a secondary market for trading them.  The Comprehensive Settlement in Section 2.2.3 (p.36) allows (effective April 1, 2001) a storage customer to trade in the secondary market its injection, inventory, and withdrawal rights on a totally independent basis.  It allows a storage customer to trade any part of each of the rights to each storage function it chooses.  This is exactly the system that the Commission has already approved for PG&amp;E. </w:t>
      </w:r>
    </w:p>
    <w:p>
      <w:pPr>
        <w:pStyle w:val="Normal"/>
        <w:spacing w:lineRule="auto" w:line="360"/>
        <w:ind w:firstLine="720" w:end="0"/>
        <w:rPr/>
      </w:pPr>
      <w:r>
        <w:rPr/>
        <w:t>SoCalGas/SDG&amp;E note that the drafting of the Comprehensive Settlement may not have been as clear as desirable about the treatment of storage costs/revenues as they relate to SoCalGas’ PBR mechanism, especially its earnings sharing feature.  The ALJ indicated that the she would be open to clarifying in a Commission decision approving any settlement any points in that settlement that it was discovered needed clarification during the hearing process.  SoCalGas/SDG&amp;E would appreciate clarification in a decision approving the Comprehensive Settlement that storage would have the same relationship to SoCalGas base rate PBR as the settlement spells out more clearly for transmission, as summarized in the transmission section of this brief above.</w:t>
      </w:r>
    </w:p>
    <w:p>
      <w:pPr>
        <w:pStyle w:val="Normal"/>
        <w:spacing w:lineRule="auto" w:line="360"/>
        <w:ind w:firstLine="720" w:end="0"/>
        <w:rPr/>
      </w:pPr>
      <w:r>
        <w:rPr/>
      </w:r>
    </w:p>
    <w:p>
      <w:pPr>
        <w:pStyle w:val="Normal"/>
        <w:spacing w:lineRule="auto" w:line="360"/>
        <w:ind w:firstLine="720" w:end="0"/>
        <w:rPr/>
      </w:pPr>
      <w:r>
        <w:rPr/>
      </w:r>
    </w:p>
    <w:p>
      <w:pPr>
        <w:pStyle w:val="Heading7"/>
        <w:rPr/>
      </w:pPr>
      <w:r>
        <w:rPr/>
        <w:t>Balancing</w:t>
      </w:r>
    </w:p>
    <w:p>
      <w:pPr>
        <w:pStyle w:val="Normal"/>
        <w:rPr/>
      </w:pPr>
      <w:r>
        <w:rPr/>
      </w:r>
    </w:p>
    <w:p>
      <w:pPr>
        <w:pStyle w:val="Normal"/>
        <w:spacing w:lineRule="auto" w:line="360"/>
        <w:ind w:firstLine="585" w:end="0"/>
        <w:rPr/>
      </w:pPr>
      <w:r>
        <w:rPr/>
        <w:t>The Comprehensive Settlement provides that transportation balancing for core and noncore customers classes will be treated separately.  Assets for transportation balancing will be separately identified for each of the two classes, and the cost of those assets will be allocated only to the class they serve.  OFOs will be called separately for each of the two classes, depending on whether or not the daily imbalance for each class as a whole is within the capacity of the assets allocated to balancing the transportation of that class.  Of course, it is possible for OFOs to be called on the same day for both classes.</w:t>
      </w:r>
    </w:p>
    <w:p>
      <w:pPr>
        <w:pStyle w:val="BodyText2"/>
        <w:ind w:firstLine="630" w:end="0"/>
        <w:rPr/>
      </w:pPr>
      <w:r>
        <w:rPr/>
        <w:t>Once an OFO for either class is called, all customers in that class must meet an imbalance tolerance for the day, or pay imbalance charges.  However, a variety of new tools are provided in the Comprehensive Settlement to allow customers to manage OFO restrictions when they are called.  Perhaps the most important tool will be the active and liquid secondary market in trading storage rights.  The secondary storage market will offer customers a source of firm injection and withdrawal rights that can be used to avoid imbalance charges on OFO days.  There will also be the ability (and an electronic trading platform) for customers to trade their imbalance positions for an OFO day (if they are within a class for which an OFO has been called).</w:t>
      </w:r>
    </w:p>
    <w:p>
      <w:pPr>
        <w:pStyle w:val="Normal"/>
        <w:spacing w:lineRule="auto" w:line="360"/>
        <w:ind w:firstLine="585" w:end="0"/>
        <w:rPr/>
      </w:pPr>
      <w:r>
        <w:rPr/>
        <w:t>The Comprehensive Settlement specifies the storage assets to be used balancing for the noncore market to be 5.3 Bcf of inventory, 250 MMcfd of injection, and 250 MMcfd of withdrawal (Section 3.1.3, p.40).  The embedded cost of these assets is allocated directly to bundled noncore transportation rates; none of their cost is allocated to core customers.  The Comprehensive Settlement specifies the storage assets to be used by the core market for both balancing and reliability purposes (without distinction) and allocates these costs solely to core customers.  (See Section 5.4.4).</w:t>
      </w:r>
    </w:p>
    <w:p>
      <w:pPr>
        <w:pStyle w:val="Normal"/>
        <w:spacing w:lineRule="auto" w:line="360"/>
        <w:ind w:firstLine="585" w:end="0"/>
        <w:rPr/>
      </w:pPr>
      <w:r>
        <w:rPr/>
        <w:t>The Comprehensive Settlement’s provisions for separately balancing the core and noncore classes responds to a Commission promising option specific to SoCalGas.  Appendix C to D.99-07-015 identified as a promising option:  “Examine structural means for SoCalGas to provide balancing service without drawing on core assets.”  At p.38 of that decision, the Commission stated:  “We view this option as a critical element in achieving our goals of eliminating inappropriate cross-subsidies and mitigating potential competitive abuses.”</w:t>
      </w:r>
    </w:p>
    <w:p>
      <w:pPr>
        <w:pStyle w:val="Normal"/>
        <w:spacing w:lineRule="auto" w:line="360"/>
        <w:ind w:firstLine="585" w:end="0"/>
        <w:rPr/>
      </w:pPr>
      <w:r>
        <w:rPr/>
        <w:t>SoCalGas had previously proposed mandatory daily balancing for all customers as a solution to the issue of one customer or customer class using assets paid for by other customers to balance their transportation.  The Commission in D.99-07-003 rejected the concept mandatory daily balancing and directed SoCalGas to prepare an alternative proposal.</w:t>
      </w:r>
    </w:p>
    <w:p>
      <w:pPr>
        <w:pStyle w:val="Normal"/>
        <w:spacing w:lineRule="auto" w:line="360"/>
        <w:ind w:firstLine="585" w:end="0"/>
        <w:rPr/>
      </w:pPr>
      <w:r>
        <w:rPr/>
        <w:t>The Comprehensive Settlement responds with a balancing provision that meets the Commission’s direction.  By balancing each class separately, and by allocating specific balancing resources and their costs to each class separately, the Comprehensive Settlement ensures that one class cannot balance using the assets paid for by the other class, except through voluntary transactions in which a customer is compensated for the use of assets the cost of which the customer is paying.</w:t>
      </w:r>
    </w:p>
    <w:p>
      <w:pPr>
        <w:pStyle w:val="Normal"/>
        <w:spacing w:lineRule="auto" w:line="360"/>
        <w:ind w:firstLine="585" w:end="0"/>
        <w:rPr/>
      </w:pPr>
      <w:r>
        <w:rPr/>
        <w:t>The evidence in the market conditions phase of R.98-01-011, as summarized in D.99-07-015 at p.36, was that various customer classes (core, EG, and noncore non-EG) all had contributed in various degrees to the calling of system-wide overnomination events, but that the two noncore customer classes had been the greater contributors.  D.99-07-015 also referenced at p.37 the issue that even on days when it was not necessary to call an overnomination event, noncore customers were using (without paying compensation) assets that the core was paying for but did not happen to be using that day.  This could occur not only because SoCalGas’ current balancing system is applied on a systemwide basis, but it also because SoCalGas does not now call overnomination events on days when there are unutilized non-balancing storage assets sufficient to keep the system in balance.  For instance, if on the day the core is not making full use of its storage rights, currently SoCalGas will not call an overnomination event if that unutilized capacity is sufficient to manage noncore imbalances.</w:t>
      </w:r>
    </w:p>
    <w:p>
      <w:pPr>
        <w:pStyle w:val="Normal"/>
        <w:spacing w:lineRule="auto" w:line="360"/>
        <w:ind w:firstLine="585" w:end="0"/>
        <w:rPr/>
      </w:pPr>
      <w:r>
        <w:rPr/>
        <w:t xml:space="preserve">The Comprehensive Settlement fixes this situation, as the Commission directed in D.99-07-015.  Under the Comprehensive Settlement, if a class is out of balance on a day by more than the capacity of the balancing assets for which it is paying, SoCalGas will call an OFO for that class.  </w:t>
      </w:r>
    </w:p>
    <w:p>
      <w:pPr>
        <w:pStyle w:val="Normal"/>
        <w:spacing w:lineRule="auto" w:line="360"/>
        <w:ind w:firstLine="585" w:end="0"/>
        <w:rPr/>
      </w:pPr>
      <w:r>
        <w:rPr/>
        <w:t>The Interim Settlement takes positive steps in the area of balancing, such as ensuring SoCalGas’ Gas Acquisition Department is subject to balancing rules and charges like any other shipper, eliminating Gas Acquisition’s role in cashing out imbalances outside tolerances, and adopting OFO procedures in lieu of summer overnomination and winter balancing rules.  The Comprehensive Settlement includes essentially all of these steps as well.  However, the Interim Settlement (and the Post-Interim Settlement, which is apparently silent on this issue beyond the contents of the Interim Settlement) simply does not provide a means to prevent noncore customers from balancing by using assets paid for by core customers.  As such, only the Comprehensive Settlement resolves a concern the Commission said was “critical”.</w:t>
      </w:r>
    </w:p>
    <w:p>
      <w:pPr>
        <w:pStyle w:val="Normal"/>
        <w:spacing w:lineRule="auto" w:line="360"/>
        <w:ind w:firstLine="585" w:end="0"/>
        <w:rPr/>
      </w:pPr>
      <w:r>
        <w:rPr/>
        <w:t>Indeed, the proponents of the Post-Interim Settlement SCGC argued that for a system that does exactly the opposite of what the Commission said it wants.  Ms. Yap argued in Ex.No.101 at p.30 and in Ex.No.102 at p.37 for a system that allows noncore customers to use core customers balancing assets without compensation.  Ms. Yap advocated a system of systemwide balancing, not limited to assets specifically allocated to balancing service, which she characterized as providing “balancing synergies” and “efficiencies that exist by having customers with diverse load patterns on the system simultaneously”.  More accurately, it is a system that allows one customer to use another customer’s rights without compensation, contrary to the Commission’s direction.</w:t>
      </w:r>
    </w:p>
    <w:p>
      <w:pPr>
        <w:pStyle w:val="Normal"/>
        <w:spacing w:lineRule="auto" w:line="360"/>
        <w:ind w:firstLine="585" w:end="0"/>
        <w:rPr/>
      </w:pPr>
      <w:r>
        <w:rPr/>
        <w:t xml:space="preserve">The Comprehensive Settlement does </w:t>
      </w:r>
      <w:r>
        <w:rPr>
          <w:u w:val="single"/>
        </w:rPr>
        <w:t>not</w:t>
      </w:r>
      <w:r>
        <w:rPr/>
        <w:t xml:space="preserve"> prevent assets that could be used to keep the system in balance from being used for that purpose.  What it does is require that the customers who are paying for those assets be compensated for their use as a condition of their use by another customer.  If the noncore class is out of balance by more than the capacity of its balancing assets, then noncore customers who want to be more than 10% out of balance that day will have to enter into a transaction to purchase the use of assets held by someone else.  They will have to buy the use of core storage assets, either through the storage secondary market (from CTAs or SoCalGas Gas Acquisition), the Gas Acquisition Hub, or contract storage from SoCalGas.  In the alternative, they can buy imbalance chips from other customers who are within their OFO imbalance tolerance.</w:t>
      </w:r>
    </w:p>
    <w:p>
      <w:pPr>
        <w:pStyle w:val="Normal"/>
        <w:spacing w:lineRule="auto" w:line="360"/>
        <w:ind w:firstLine="585" w:end="0"/>
        <w:rPr/>
      </w:pPr>
      <w:r>
        <w:rPr/>
        <w:t xml:space="preserve">Opponents of the Comprehensive Settlement incorrectly claim that it is reducing the resources allocated to the balancing function.  This is incorrect.  Currently, the assets identified as providing the balancing function for both core </w:t>
      </w:r>
      <w:r>
        <w:rPr>
          <w:u w:val="single"/>
        </w:rPr>
        <w:t>and</w:t>
      </w:r>
      <w:r>
        <w:rPr/>
        <w:t xml:space="preserve"> noncore classes are 5.3 Bcf of inventory, 250 MMcfd of withdrawal, and 355 MMcfd of injection.  The Comprehensive Settlement would specify the assets used for </w:t>
      </w:r>
      <w:r>
        <w:rPr>
          <w:u w:val="single"/>
        </w:rPr>
        <w:t>noncore</w:t>
      </w:r>
      <w:r>
        <w:rPr/>
        <w:t xml:space="preserve"> balancing as 5.3 Bcf of inventory, 250 MMcfd of withdrawal, and 250 MMcfd of injection.  Assets for core balancing are included in the reliability allocation of storage to the core.  It is true that the Comprehensive Settlement’s allocation of injection for noncore balancing is 250 MMcfd as opposed to the current 355 MMcfd of injection than the current balancing assets for all customers, but the 250 MMcfd of injection is for balancing a much smaller amount of transportation.  Using the recorded sendout figures in Exhibit No.29, core represented 37% of SoCalGas’ throughput in 1999.  The difference of 105 MMcfd of injection is a difference of only 30%, and there is no reduction in inventory and withdrawal in the assets provided for balancing only the noncore market under the Comprehensive Settlement.</w:t>
      </w:r>
    </w:p>
    <w:p>
      <w:pPr>
        <w:pStyle w:val="Normal"/>
        <w:spacing w:lineRule="auto" w:line="360"/>
        <w:ind w:firstLine="585" w:end="0"/>
        <w:rPr/>
      </w:pPr>
      <w:r>
        <w:rPr/>
        <w:t>The opponents of the Comprehensive Settlement have also made extreme allegations about the impact the Comprehensive Settlement would have on the frequency of OFO events on the SoCalGas system as compared to the frequency of overnomination events under the current SoCalGas system.  Their projections are not believable.</w:t>
      </w:r>
    </w:p>
    <w:p>
      <w:pPr>
        <w:pStyle w:val="Normal"/>
        <w:spacing w:lineRule="auto" w:line="360"/>
        <w:ind w:firstLine="585" w:end="0"/>
        <w:rPr/>
      </w:pPr>
      <w:r>
        <w:rPr/>
        <w:t>In the first place, these projections are based on taking behavior under the current set of rules and projecting the consequences of the same behavior under a different set of rules.  This approach completely ignores the fact that the new set of rules was designed with the intention of affecting shippers’ behavior.  Furthermore, behavior under the current rules is driven by the fact that being out of balance is “free” to the out-of-balance customer until the imbalances not only exceed the capacities of balancing assets, but also any other assets not allocated to balancing (or imbalances in the other direction held by other customers).  Whether or not one is allowed to “free ride” is certainly likely to impact behavior.  (see Mr. Lorenz’s testimony in Ex.No.14 at p.7).</w:t>
      </w:r>
    </w:p>
    <w:p>
      <w:pPr>
        <w:pStyle w:val="Normal"/>
        <w:spacing w:lineRule="auto" w:line="360"/>
        <w:ind w:firstLine="585" w:end="0"/>
        <w:rPr/>
      </w:pPr>
      <w:r>
        <w:rPr/>
        <w:t>Furthermore, the opponents of the Comprehensive Settlement are incorrect in claiming (Ms. Yap in Ex.No.101 at p.30) that their projections are supported by the sharp increase in OFOs associated with the alleged separation of core and noncore for balancing purposes on PG&amp;E’s system.  However, Ms. Yap’s assumption about how the PG&amp;E system works is not correct; PG&amp;E does not call core and noncore OFO’s independently (see Ex.No.14, p.7).  Therefore, any experience on the PG&amp;E system is irrelevant to the impact of calling separate core and noncore OFOs under the Comprehensive Settlement.</w:t>
      </w:r>
    </w:p>
    <w:p>
      <w:pPr>
        <w:pStyle w:val="Normal"/>
        <w:spacing w:lineRule="auto" w:line="360"/>
        <w:ind w:firstLine="585" w:end="0"/>
        <w:rPr/>
      </w:pPr>
      <w:r>
        <w:rPr/>
        <w:t xml:space="preserve">It should be noted, however, that the Comprehensive Settlement’s approach to balancing is still more consistent with the PG&amp;E system than that advocated by the Post-Interim Settlement parties.  PG&amp;E does call OFOs if systemwide imbalances on a day will exceed the assets specifically allocated to balancing service, even if other unutilized assets would be adequate to manage the imbalance.  Similarly, the Comprehensive Settlement will cause an OFO to be called if the class imbalance exceeds the assets allocated to balancing that class, without respect to the availability of other unutilized assets.  By contrast, the Post-Interim Settlement would call an OFO only if the imbalances could not be accommodated by balancing assets </w:t>
      </w:r>
      <w:r>
        <w:rPr>
          <w:u w:val="single"/>
        </w:rPr>
        <w:t>plus</w:t>
      </w:r>
      <w:r>
        <w:rPr/>
        <w:t xml:space="preserve"> other available unutilized assets.  (see SoCalGas/SDG&amp;E witness Lorenz, Tr.v.8, pp.979-980).</w:t>
      </w:r>
    </w:p>
    <w:p>
      <w:pPr>
        <w:pStyle w:val="Normal"/>
        <w:spacing w:lineRule="auto" w:line="360"/>
        <w:ind w:firstLine="585" w:end="0"/>
        <w:rPr/>
      </w:pPr>
      <w:r>
        <w:rPr/>
        <w:t>The Comprehensive Settlement’s balancing provisions are also more responsive than the Post-Interim Settlement to the Commission’s promising options in one other important aspect.  The Promising Options decision rejected mandatory daily balancing, but identified “Cost and rate separation for balancing” as a promising option in Appendix C.  The Commission said at p.40 of D.99-07-015:  “We envision a scenario in which customers could elect to commit to daily balancing or to adhere to reduced imbalance tolerances, in exchange for avoiding some or all of the balancing charges imposed by the local distribution company.”  The Comprehensive Settlement in the “self-balancing” option presented in Section 3.2 (starting on p.41) provides an option that exactly matches the Commission’s promising option as described in the paragraph on p.40 quoted from above.  Furthermore, the Comprehensive Settlement’s self-balancing option is extremely similar to the self-balancing option provided in the PG&amp;E January 28 settlement in Section 2.1 (pp.4-8), as approved by and appended to D.00-05-049.  The self-balancing credit offered under the Comprehensive Settlement is 1.6 cents/dth, approximately three times the similar credit of 0.5 cents/dth being offered by PG&amp;E (See Section 2.1.3.6 at p.6 of the January 28 PG&amp;E settlement appended to D.00-05-049).</w:t>
      </w:r>
    </w:p>
    <w:p>
      <w:pPr>
        <w:pStyle w:val="Normal"/>
        <w:spacing w:lineRule="auto" w:line="360"/>
        <w:ind w:firstLine="585" w:end="0"/>
        <w:rPr/>
      </w:pPr>
      <w:r>
        <w:rPr/>
        <w:t>The Post-Interim Settlement (and the Interim Settlement) do not provide any such option and would apparently prevent it from being created at least through December 31, 2002.  Amazingly, the proponents of the Post-Interim Settlement even argue that the Commission should reject the Comprehensive Settlement because it does include this option that the Commission asked for and approved for PG&amp;E!  See Ex.No.101, Section 4.3, pp.31-32, sponsored by Ms. Yap.</w:t>
      </w:r>
    </w:p>
    <w:p>
      <w:pPr>
        <w:pStyle w:val="Normal"/>
        <w:spacing w:lineRule="auto" w:line="360"/>
        <w:ind w:firstLine="585" w:end="0"/>
        <w:rPr/>
      </w:pPr>
      <w:r>
        <w:rPr/>
      </w:r>
    </w:p>
    <w:p>
      <w:pPr>
        <w:pStyle w:val="Heading7"/>
        <w:rPr/>
      </w:pPr>
      <w:r>
        <w:rPr/>
        <w:t xml:space="preserve"> </w:t>
      </w:r>
      <w:r>
        <w:rPr/>
        <w:t>Other Capacity-Related Matters</w:t>
      </w:r>
    </w:p>
    <w:p>
      <w:pPr>
        <w:pStyle w:val="Normal"/>
        <w:rPr/>
      </w:pPr>
      <w:r>
        <w:rPr/>
      </w:r>
    </w:p>
    <w:p>
      <w:pPr>
        <w:pStyle w:val="Footer"/>
        <w:numPr>
          <w:ilvl w:val="0"/>
          <w:numId w:val="3"/>
        </w:numPr>
        <w:tabs>
          <w:tab w:val="clear" w:pos="4320"/>
          <w:tab w:val="clear" w:pos="8640"/>
          <w:tab w:val="left" w:pos="0" w:leader="none"/>
        </w:tabs>
        <w:spacing w:lineRule="auto" w:line="360"/>
        <w:ind w:hanging="1455" w:start="2040" w:end="0"/>
        <w:rPr>
          <w:b/>
          <w:bCs/>
        </w:rPr>
      </w:pPr>
      <w:r>
        <w:rPr>
          <w:b/>
          <w:bCs/>
        </w:rPr>
        <w:t>Cost to Implement</w:t>
      </w:r>
    </w:p>
    <w:p>
      <w:pPr>
        <w:pStyle w:val="Footer"/>
        <w:numPr>
          <w:ilvl w:val="0"/>
          <w:numId w:val="0"/>
        </w:numPr>
        <w:tabs>
          <w:tab w:val="clear" w:pos="4320"/>
          <w:tab w:val="clear" w:pos="8640"/>
        </w:tabs>
        <w:spacing w:lineRule="auto" w:line="360"/>
        <w:ind w:hanging="0" w:start="0" w:end="0"/>
        <w:rPr/>
      </w:pPr>
      <w:r>
        <w:rPr/>
        <w:t>Part I, Section 1.6.1.1 of the Comprehensive Settlement provides that SoCalGas shall be entitled to recover in rates costs for implementing the “capacity-related” aspects of $2.0 million per year (allocated on an equal cents per therm basis to all customers) from the effective date of the settlement until the effective date of a decision in a new PBR/Cost-of-Service proceeding for SoCalGas.  The $2.0 million shall be prorated for any partial year(s) that falls within this period.  There is no escalation of the $2.0 million amount for inflation.  In addition, in this period SoCalGas shall be entitled to retain pooling fees, imbalance fees, net revenues from purchase/sale of imbalance gas, and its portion (as distinguished from that of Altra or its successor) of fees from trading of rights.  However, to the extent that the sum of $2.0 million plus fees exceeds the recorded cost of implementation of the capacity-related measures, then SoCalGas shall refund the excess to ratepayers.</w:t>
      </w:r>
    </w:p>
    <w:p>
      <w:pPr>
        <w:pStyle w:val="Footer"/>
        <w:numPr>
          <w:ilvl w:val="0"/>
          <w:numId w:val="0"/>
        </w:numPr>
        <w:tabs>
          <w:tab w:val="clear" w:pos="4320"/>
          <w:tab w:val="clear" w:pos="8640"/>
        </w:tabs>
        <w:spacing w:lineRule="auto" w:line="360"/>
        <w:ind w:hanging="0" w:start="0" w:end="0"/>
        <w:rPr/>
      </w:pPr>
      <w:r>
        <w:rPr/>
        <w:t>No revenue requirement increase for SDG&amp;E for capacity-related measures is authorized prior to its next PBR/Cost-of-Service proceeding because there is limited impact on it from the capacity-related provisions of the Comprehensive Settlement.</w:t>
      </w:r>
    </w:p>
    <w:p>
      <w:pPr>
        <w:pStyle w:val="Footer"/>
        <w:numPr>
          <w:ilvl w:val="0"/>
          <w:numId w:val="0"/>
        </w:numPr>
        <w:tabs>
          <w:tab w:val="clear" w:pos="4320"/>
          <w:tab w:val="clear" w:pos="8640"/>
        </w:tabs>
        <w:spacing w:lineRule="auto" w:line="360"/>
        <w:ind w:hanging="0" w:start="0" w:end="0"/>
        <w:rPr/>
      </w:pPr>
      <w:r>
        <w:rPr/>
        <w:t>In the next PBR/Cost-of-Service proceedings for both SoCalGas and SDG&amp;E, the Commission shall allow the revenue requirements it finds to be reasonably-incurred for each utility to implement the capacity-related provisions.  Parties may challenge the reasonableness of any costs incurred to implement the capacity-related provisions.</w:t>
      </w:r>
    </w:p>
    <w:p>
      <w:pPr>
        <w:pStyle w:val="Footer"/>
        <w:numPr>
          <w:ilvl w:val="0"/>
          <w:numId w:val="0"/>
        </w:numPr>
        <w:tabs>
          <w:tab w:val="clear" w:pos="4320"/>
          <w:tab w:val="clear" w:pos="8640"/>
        </w:tabs>
        <w:spacing w:lineRule="auto" w:line="360"/>
        <w:ind w:hanging="0" w:start="0" w:end="0"/>
        <w:rPr/>
      </w:pPr>
      <w:r>
        <w:rPr/>
        <w:t>The above provisions are reasonable.  The cost is about $1.1 million per year greater than the approximately $3.5 million that would be allowed under the Interim Settlement</w:t>
      </w:r>
      <w:r>
        <w:rPr>
          <w:rStyle w:val="FootnoteCharacters"/>
          <w:rStyle w:val="FootnoteReference"/>
        </w:rPr>
        <w:footnoteReference w:id="11"/>
      </w:r>
      <w:r>
        <w:rPr/>
        <w:t>, but covers SoCalGas implementing the far more substantial changes that the Comprehensive Settlement requires than does the Interim Settlement.  The provisions in the Comprehensive Settlement beyond those in the Interim Settlement that drive the additional cost are:  providing electronic secondary market trading platforms, holding open seasons for backbone transmission and storage, providing firm intrastate backbone transmission rights, providing pooling at the citygate, providing third-party imbalance chip trading, and offering increased storage unbundling options.  (See Ex.No.2, p6)</w:t>
      </w:r>
    </w:p>
    <w:p>
      <w:pPr>
        <w:pStyle w:val="Footer"/>
        <w:numPr>
          <w:ilvl w:val="0"/>
          <w:numId w:val="0"/>
        </w:numPr>
        <w:tabs>
          <w:tab w:val="clear" w:pos="4320"/>
          <w:tab w:val="clear" w:pos="8640"/>
        </w:tabs>
        <w:spacing w:lineRule="auto" w:line="360"/>
        <w:ind w:hanging="0" w:start="0" w:end="0"/>
        <w:rPr/>
      </w:pPr>
      <w:r>
        <w:rPr/>
        <w:t>Allowing SoCalGas to retain various fees to the extent necessary to offset costs in excess of $2.0 million is reasonable because many of the costs will be incurred in connection with providing services for which the fees are paid.  While many changes benefit all consumers, some changes benefit those who use some services more intensively.</w:t>
      </w:r>
    </w:p>
    <w:p>
      <w:pPr>
        <w:pStyle w:val="Footer"/>
        <w:numPr>
          <w:ilvl w:val="0"/>
          <w:numId w:val="0"/>
        </w:numPr>
        <w:tabs>
          <w:tab w:val="clear" w:pos="4320"/>
          <w:tab w:val="clear" w:pos="8640"/>
        </w:tabs>
        <w:spacing w:lineRule="auto" w:line="360"/>
        <w:ind w:hanging="0" w:start="0" w:end="0"/>
        <w:rPr/>
      </w:pPr>
      <w:r>
        <w:rPr/>
        <w:t>The PG&amp;E settlement approved in D.00-05-049 allowed PG&amp;E an increase in its revenue requirement to implement the changes required by that settlement.  The amount allowed was less than provided in the Comprehensive Settlement for SoCalGas, but the Comprehensive Settlement is requiring far more changes for SoCalGas than the January 28 settlement did for PG&amp;E because the Comprehensive Settlement is the equivalent for SoCalGas of the PG&amp;E Gas Accord plus the two PG&amp;E settlements approved in this proceeding.</w:t>
      </w:r>
    </w:p>
    <w:p>
      <w:pPr>
        <w:pStyle w:val="Footer"/>
        <w:numPr>
          <w:ilvl w:val="0"/>
          <w:numId w:val="0"/>
        </w:numPr>
        <w:tabs>
          <w:tab w:val="clear" w:pos="4320"/>
          <w:tab w:val="clear" w:pos="8640"/>
        </w:tabs>
        <w:spacing w:lineRule="auto" w:line="360"/>
        <w:ind w:hanging="0" w:start="0" w:end="0"/>
        <w:rPr/>
      </w:pPr>
      <w:r>
        <w:rPr/>
      </w:r>
    </w:p>
    <w:p>
      <w:pPr>
        <w:pStyle w:val="Footer"/>
        <w:numPr>
          <w:ilvl w:val="0"/>
          <w:numId w:val="0"/>
        </w:numPr>
        <w:tabs>
          <w:tab w:val="clear" w:pos="4320"/>
          <w:tab w:val="clear" w:pos="8640"/>
        </w:tabs>
        <w:spacing w:lineRule="auto" w:line="360"/>
        <w:ind w:hanging="0" w:start="0" w:end="0"/>
        <w:rPr/>
      </w:pPr>
      <w:r>
        <w:rPr/>
      </w:r>
    </w:p>
    <w:p>
      <w:pPr>
        <w:pStyle w:val="Footer"/>
        <w:numPr>
          <w:ilvl w:val="0"/>
          <w:numId w:val="3"/>
        </w:numPr>
        <w:tabs>
          <w:tab w:val="clear" w:pos="4320"/>
          <w:tab w:val="clear" w:pos="8640"/>
          <w:tab w:val="left" w:pos="0" w:leader="none"/>
        </w:tabs>
        <w:spacing w:lineRule="auto" w:line="360"/>
        <w:ind w:hanging="1455" w:start="2040" w:end="0"/>
        <w:rPr>
          <w:b/>
          <w:bCs/>
        </w:rPr>
      </w:pPr>
      <w:r>
        <w:rPr>
          <w:b/>
          <w:bCs/>
        </w:rPr>
        <w:t>Reporting of Completed Transactions</w:t>
      </w:r>
    </w:p>
    <w:p>
      <w:pPr>
        <w:pStyle w:val="Footer"/>
        <w:numPr>
          <w:ilvl w:val="0"/>
          <w:numId w:val="0"/>
        </w:numPr>
        <w:tabs>
          <w:tab w:val="clear" w:pos="4320"/>
          <w:tab w:val="clear" w:pos="8640"/>
        </w:tabs>
        <w:spacing w:lineRule="auto" w:line="360"/>
        <w:ind w:hanging="0" w:start="585" w:end="0"/>
        <w:rPr>
          <w:b/>
          <w:bCs/>
        </w:rPr>
      </w:pPr>
      <w:r>
        <w:rPr>
          <w:b/>
          <w:bCs/>
        </w:rPr>
      </w:r>
    </w:p>
    <w:p>
      <w:pPr>
        <w:pStyle w:val="Footer"/>
        <w:numPr>
          <w:ilvl w:val="0"/>
          <w:numId w:val="0"/>
        </w:numPr>
        <w:tabs>
          <w:tab w:val="clear" w:pos="4320"/>
          <w:tab w:val="clear" w:pos="8640"/>
        </w:tabs>
        <w:spacing w:lineRule="auto" w:line="360"/>
        <w:ind w:hanging="0" w:start="0" w:end="0"/>
        <w:rPr/>
      </w:pPr>
      <w:r>
        <w:rPr/>
        <w:t>The Comprehensive Settlement in Sections 6.2.3.1 and 6.2.3.2 contain requirements for SoCalGas to file and post publicly the contents of individually negotiated contracts for backbone transmission and storage contracts.  However, the names of the customers would not have to be disclosed (except for transactions with affiliates of SoCalGas), and after April 1, 2003, the price would not have to be disclosed for storage contracts.  The Comprehensive Settlement makes no changes in the existing energy utility Affiliate Transaction Rules or the merger conditions adopted by the Commission for the Enova-Pacific Enterprises merger, including provisions on the disclosure of transactions with affiliates.  (The Comprehensive Settlement does not prohibit the Commission from modifying those provisions if and when it deems appropriate.)</w:t>
      </w:r>
    </w:p>
    <w:p>
      <w:pPr>
        <w:pStyle w:val="Footer"/>
        <w:numPr>
          <w:ilvl w:val="0"/>
          <w:numId w:val="0"/>
        </w:numPr>
        <w:tabs>
          <w:tab w:val="clear" w:pos="4320"/>
          <w:tab w:val="clear" w:pos="8640"/>
        </w:tabs>
        <w:spacing w:lineRule="auto" w:line="360"/>
        <w:ind w:hanging="0" w:start="0" w:end="0"/>
        <w:rPr/>
      </w:pPr>
      <w:r>
        <w:rPr/>
        <w:t>Mr. Florio, at pp.34-36 of Exhibit No.1, proposed the retention of Rule 8 as adopted in D.97-06-110.  Apparently, he and other proponents of the Post-Interim Settlement believe that Rule 8 would require greater disclosure of negotiated backbone transmission and storage contracts than is required under the Comprehensive Settlement.</w:t>
      </w:r>
    </w:p>
    <w:p>
      <w:pPr>
        <w:pStyle w:val="Footer"/>
        <w:numPr>
          <w:ilvl w:val="0"/>
          <w:numId w:val="0"/>
        </w:numPr>
        <w:tabs>
          <w:tab w:val="clear" w:pos="4320"/>
          <w:tab w:val="clear" w:pos="8640"/>
        </w:tabs>
        <w:spacing w:lineRule="auto" w:line="360"/>
        <w:ind w:hanging="0" w:start="0" w:end="0"/>
        <w:rPr/>
      </w:pPr>
      <w:r>
        <w:rPr/>
        <w:t>Rule 8, by its own terms, goes out of existence on January 1, 2001.  Rule 8 was adopted because the Commission was required to do so by Public Utilities Code Section 489.1.  This section, by its own terms, goes out of existence on January 1, 2001.  It is inappropriate for the Commission to retain a Rule or to enforce a section of the Public Utilities Code once it has gone out of existence.</w:t>
      </w:r>
    </w:p>
    <w:p>
      <w:pPr>
        <w:pStyle w:val="Footer"/>
        <w:numPr>
          <w:ilvl w:val="0"/>
          <w:numId w:val="0"/>
        </w:numPr>
        <w:tabs>
          <w:tab w:val="clear" w:pos="4320"/>
          <w:tab w:val="clear" w:pos="8640"/>
        </w:tabs>
        <w:spacing w:lineRule="auto" w:line="360"/>
        <w:ind w:hanging="0" w:start="0" w:end="0"/>
        <w:rPr/>
      </w:pPr>
      <w:r>
        <w:rPr/>
        <w:t>Mr. Florio stated at Ex.No.101, p.35, that there is no issue to be resolved in this proceeding about the availability of contracts for public inspection, given the expiration of Section 489.1 on January 1, 2001.  SoCalGas and SDG&amp;E agree that there is then no question that the Commission has the authority under Section 489 (which remains in effect and does not set) to grant exceptions to public disclosure as it sees fit in the public interest.  The Commission has asserted this authority in the past under Section 489; see D.92-11-052 (46 CPUC2d 444) as modified by D.93-02-058 (48 CPUC2d 289), providing for nondisclosure of key aspects of long-term transportation contracts submitted under the Expedited Application Docket; see also Commission Resolutions L-246 (January 5, 1995) and L-251 (August 2, 1996).  Also, currently the Commission does not require to publicly disclose the terms of contracts for storage service under Rate Schedule G-TBS (except with affiliates).</w:t>
      </w:r>
    </w:p>
    <w:p>
      <w:pPr>
        <w:pStyle w:val="Footer"/>
        <w:numPr>
          <w:ilvl w:val="0"/>
          <w:numId w:val="0"/>
        </w:numPr>
        <w:tabs>
          <w:tab w:val="clear" w:pos="4320"/>
          <w:tab w:val="clear" w:pos="8640"/>
        </w:tabs>
        <w:spacing w:lineRule="auto" w:line="360"/>
        <w:ind w:hanging="0" w:start="0" w:end="0"/>
        <w:rPr/>
      </w:pPr>
      <w:r>
        <w:rPr/>
        <w:t>The fact that Commission has authority to grant exceptions under Section 489 was also explicitly endorsed by the Commission in D.98-07-017 in C.97-10-082.  That decision denied a complaint by SCGC members SCUPP and IID asking the Commission to compel SoCalGas to provide information about the terms of transportation and storage contracts then in effect, not previously fully disclosed to the public, but which were entered into prior to the effectiveness of Section 489.1.  The Commission found that Section 489.1 and Rule 8 did not apply to contracts entered into before they became effective.  Also, the Commission said that, with respect to contracts entered into prior to the effectiveness of Section 489.1 and Rule 8:  “Historically the Commission had granted requests by gas companies to keep these contracts confidential, over the strenuous objections of other customers and the press.”  The Commission in D.98-07-017 denied SCUPP and IID access to the transportation and storage contracts entered into prior to Section 489.1 and Rule 8.  When Section 489.1 and Rule 8 expire at the end of this year, there is no issue under Commission precedent that the Commission will have discretion to exempt contracts from public disclosure under Section 489.  Indeed, the EAD rules for confidentiality of long-term transportation contracts adopted in D.92-11-052 apply today, since with the effectiveness of the 1999 BCAP, SoCalGas is no longer 100% at risk for transportation discounts, which is a condition of the applicability of Section 489.1 and Rule 8 as long as they are in effect.</w:t>
      </w:r>
    </w:p>
    <w:p>
      <w:pPr>
        <w:pStyle w:val="Footer"/>
        <w:numPr>
          <w:ilvl w:val="0"/>
          <w:numId w:val="0"/>
        </w:numPr>
        <w:tabs>
          <w:tab w:val="clear" w:pos="4320"/>
          <w:tab w:val="clear" w:pos="8640"/>
        </w:tabs>
        <w:spacing w:lineRule="auto" w:line="360"/>
        <w:ind w:hanging="0" w:start="0" w:end="0"/>
        <w:rPr/>
      </w:pPr>
      <w:r>
        <w:rPr/>
        <w:t>The provisions of the Comprehensive Settlement (Sections 6.2.3.1 and 6.2.3.2) for disclosure of negotiated backbone transmission and storage contracts are reasonable and should be approved with the rest of the settlement.  They represent part of a package negotiated through give and take on a variety of provisions, including this one.  Furthermore, the non-disclosure of non-affiliate customer names is consistent with protecting the business confidentiality of the customers.  Also, customers will have access at embedded cost to these services in open seasons, and there will be an active secondary market in both backbone transmission and storage in which no information about transactions will have to be publicly disclosed.  Furthermore, the nondisclosure of the price term in negotiated storage contracts with non-affiliates after SoCalGas becomes fully at risk for unbundled storage on April 1, 2003 then comparable to the lack of disclosure the Commission has required of Wild Goose and Lodi Gas Storage; furthermore, these two competitors in the storage market are signatories (for LGS, its parent, WHP, is a signatory) to the Comprehensive Settlement and support this provision.</w:t>
      </w:r>
    </w:p>
    <w:p>
      <w:pPr>
        <w:pStyle w:val="Normal"/>
        <w:numPr>
          <w:ilvl w:val="0"/>
          <w:numId w:val="0"/>
        </w:numPr>
        <w:spacing w:lineRule="auto" w:line="360"/>
        <w:ind w:hanging="0" w:start="0"/>
        <w:rPr>
          <w:b/>
          <w:bCs/>
        </w:rPr>
      </w:pPr>
      <w:r>
        <w:rPr>
          <w:b/>
          <w:bCs/>
        </w:rPr>
      </w:r>
    </w:p>
    <w:p>
      <w:pPr>
        <w:pStyle w:val="Normal"/>
        <w:numPr>
          <w:ilvl w:val="0"/>
          <w:numId w:val="3"/>
        </w:numPr>
        <w:tabs>
          <w:tab w:val="clear" w:pos="720"/>
          <w:tab w:val="left" w:pos="0" w:leader="none"/>
        </w:tabs>
        <w:spacing w:lineRule="auto" w:line="360"/>
        <w:ind w:hanging="1455" w:start="2040" w:end="0"/>
        <w:rPr>
          <w:b/>
          <w:bCs/>
        </w:rPr>
      </w:pPr>
      <w:r>
        <w:rPr>
          <w:b/>
          <w:bCs/>
        </w:rPr>
        <w:t>Hub Services</w:t>
      </w:r>
    </w:p>
    <w:p>
      <w:pPr>
        <w:pStyle w:val="Normal"/>
        <w:spacing w:lineRule="auto" w:line="360"/>
        <w:ind w:firstLine="675" w:end="0"/>
        <w:rPr/>
      </w:pPr>
      <w:r>
        <w:rPr/>
        <w:t>The Comprehensive Settlement in Section 4.1.3 (pp.50-51) restricts SoCalGas’ Gas Acquisition Department’s hub services to the use of storage capacity allocated to it and to any other storage rights it may acquire in the secondary market.  The cost of these assets will be borne only by core utility procurement customers, and it is fair and logical that the benefits from use of these assets – and only these assets – should be allocated solely to these customers, subject to the overall incentive mechanism (“GCIM”) for cost of core gas procurement service.</w:t>
      </w:r>
    </w:p>
    <w:p>
      <w:pPr>
        <w:pStyle w:val="Normal"/>
        <w:spacing w:lineRule="auto" w:line="360"/>
        <w:ind w:firstLine="675" w:end="0"/>
        <w:rPr/>
      </w:pPr>
      <w:r>
        <w:rPr/>
        <w:t>The Comprehensive Settlement also provides that SoCalGas’ Gas Operations Department may also operate its own hub services, as an adjunct to its current and future marketing of unbundled storage service.  A Gas Operations hub is exactly what the Commission allows for PG&amp;E under the Gas Accord.  SoCalGas will be at risk (100% effective April 2003) for unbundled storage, and it should be allowed to market that capacity in whatever way it believes will maximize the value the market will pay, just as the Commission has allowed PG&amp;E to do.</w:t>
      </w:r>
    </w:p>
    <w:p>
      <w:pPr>
        <w:pStyle w:val="Normal"/>
        <w:spacing w:lineRule="auto" w:line="360"/>
        <w:ind w:firstLine="675" w:end="0"/>
        <w:rPr/>
      </w:pPr>
      <w:r>
        <w:rPr/>
        <w:t>Mr. Florio alleged at p.38 of Exhibit No.102 that the Comprehensive Settlement’s approach to hub services is an attempt to divert funds from core procurement ratepayers to shareholders.  This is not correct.  The Comprehensive Settlement substantially reduces the amount and cost of storage allocated to core customers, including core procurement customers.  The storage capacity and cost that is no longer allocated to the core is reallocated to unbundled storage service, for which SoCalGas is at risk – 100% at risk by April 2003.  It would make no sense to say that core customers should get the revenues from hub services that use capacity the cost of which is allocated to unbundled storage and not to core customers.  Furthermore, Mr. Florio’s proposal is inconsistent with the Commission’s direction in D.99-07-015 that neither customer class should be able to use the assets paid for by the other class without due compensation to that class or customers in it.</w:t>
      </w:r>
    </w:p>
    <w:p>
      <w:pPr>
        <w:pStyle w:val="Normal"/>
        <w:spacing w:lineRule="auto" w:line="360"/>
        <w:ind w:firstLine="675" w:end="0"/>
        <w:rPr/>
      </w:pPr>
      <w:r>
        <w:rPr/>
        <w:t>Mr. Florio’s arguments are also directly contrary to the arguments that SCGC, which represents every other signatory of the Post-Interim Settlement except Aglet, made in SoCalGas’ 1999 BCAP.  In that application, SCGC argued that hub revenues should be allocated to reduce rates to all customer classes, not just used to reduce rates to core procurement customers (see D.00-04-060, p.12).  SCGC’s position was based on its claim that SoCalGas’ Gas Acquisition hub services were using assets paid for by the noncore market.  The Comprehensive Settlement solves this dispute by having the hub revenues follow who pays for the assets used:  core customers pay for core storage assets and SoCalGas shareholders are at risk for unbundled storage assets.</w:t>
      </w:r>
    </w:p>
    <w:p>
      <w:pPr>
        <w:pStyle w:val="Normal"/>
        <w:spacing w:lineRule="auto" w:line="360"/>
        <w:ind w:firstLine="675" w:end="0"/>
        <w:rPr/>
      </w:pPr>
      <w:r>
        <w:rPr/>
      </w:r>
    </w:p>
    <w:p>
      <w:pPr>
        <w:pStyle w:val="Normal"/>
        <w:spacing w:lineRule="auto" w:line="360"/>
        <w:rPr>
          <w:b/>
          <w:bCs/>
        </w:rPr>
      </w:pPr>
      <w:r>
        <w:rPr>
          <w:b/>
          <w:bCs/>
        </w:rPr>
      </w:r>
    </w:p>
    <w:p>
      <w:pPr>
        <w:pStyle w:val="Heading7"/>
        <w:rPr/>
      </w:pPr>
      <w:r>
        <w:rPr/>
        <w:t>Post-Interim Settlement</w:t>
      </w:r>
    </w:p>
    <w:p>
      <w:pPr>
        <w:pStyle w:val="Normal"/>
        <w:spacing w:lineRule="auto" w:line="360"/>
        <w:rPr>
          <w:b/>
          <w:bCs/>
        </w:rPr>
      </w:pPr>
      <w:r>
        <w:rPr>
          <w:b/>
          <w:bCs/>
        </w:rPr>
      </w:r>
    </w:p>
    <w:p>
      <w:pPr>
        <w:pStyle w:val="Normal"/>
        <w:spacing w:lineRule="auto" w:line="360"/>
        <w:rPr/>
      </w:pPr>
      <w:r>
        <w:rPr/>
        <w:tab/>
        <w:t>The Post-Interim Settlement should be rejected by the Commission, for several reasons, as described below.</w:t>
      </w:r>
    </w:p>
    <w:p>
      <w:pPr>
        <w:pStyle w:val="Normal"/>
        <w:spacing w:lineRule="auto" w:line="360"/>
        <w:rPr>
          <w:b/>
          <w:bCs/>
        </w:rPr>
      </w:pPr>
      <w:r>
        <w:rPr>
          <w:b/>
          <w:bCs/>
        </w:rPr>
      </w:r>
    </w:p>
    <w:p>
      <w:pPr>
        <w:pStyle w:val="BodyTextIndent3"/>
        <w:ind w:hanging="450" w:start="1170" w:end="0"/>
        <w:rPr/>
      </w:pPr>
      <w:r>
        <w:rPr/>
        <w:t>1. Prohibition on Firm Intrastate Transmission Rights for 6 years</w:t>
      </w:r>
    </w:p>
    <w:p>
      <w:pPr>
        <w:pStyle w:val="Normal"/>
        <w:spacing w:lineRule="auto" w:line="360"/>
        <w:rPr/>
      </w:pPr>
      <w:r>
        <w:rPr/>
      </w:r>
    </w:p>
    <w:p>
      <w:pPr>
        <w:pStyle w:val="Normal"/>
        <w:spacing w:lineRule="auto" w:line="360"/>
        <w:rPr/>
      </w:pPr>
      <w:r>
        <w:rPr/>
        <w:tab/>
        <w:tab/>
        <w:t xml:space="preserve">The Post-Interim Settlement would tie the Commission’s hands so that it could not implement important gas structural reforms at any time in the next </w:t>
      </w:r>
      <w:r>
        <w:rPr>
          <w:u w:val="single"/>
        </w:rPr>
        <w:t>six</w:t>
      </w:r>
      <w:r>
        <w:rPr/>
        <w:t xml:space="preserve"> years, even if the Commission decided in that period that such reforms were needed.  The Post-Interim Settlement would prohibit the Commission from implementing a system of firm, tradable intrastate backbone transmission rights on SoCalGas’ system any time prior to September 1, 2006.  It would ensure that there could not be statewide consistency in gas regulation prior to September 2006, unless the PG&amp;E Gas Accord were undone on its upcoming expiration.  In fact, this is the hidden agenda of the Post-Interim Settlement:  not only to prevent a system of firm, tradable backbone transmission and storage rights on SoCalGas, but also to commit the Commission roll back the PG&amp;E Gas Accord when that settlement expires.  It should be recalled that TURN was a strong opponent of the PG&amp;E Gas Accord approved by the Commission in 1997 and that the statewide coalition of which SCGC’s members were a part in R.98-01-011 were highly critical of the Gas Accord.</w:t>
      </w:r>
    </w:p>
    <w:p>
      <w:pPr>
        <w:pStyle w:val="Normal"/>
        <w:spacing w:lineRule="auto" w:line="360"/>
        <w:ind w:firstLine="720" w:end="0"/>
        <w:rPr/>
      </w:pPr>
      <w:r>
        <w:rPr/>
        <w:t>The Post-Interim Settlement’s prohibition on the Commission implementing regulatory reforms any time prior to September of 2006 is entirely at variance with good regulation.  It is also inconsistent with the Interim Settlement that it purports to incorporate because it wholly short-circuits the collaborative process the Interim Settlement provides in Section XI. for arriving at further reform that could be implemented on January 1, 2003.</w:t>
      </w:r>
    </w:p>
    <w:p>
      <w:pPr>
        <w:pStyle w:val="Normal"/>
        <w:spacing w:lineRule="auto" w:line="360"/>
        <w:rPr/>
      </w:pPr>
      <w:r>
        <w:rPr/>
        <w:tab/>
        <w:t>Furthermore, like the Interim Settlement, the Post-Interim Settlement simply fails to address many of the promising options identified by the Commission in July of 1999.  The only additional promising option it resolves is SoCalGas core interstate pipeline unbundling, but it does so in a manner inferior to the provisions of the Comprehensive Settlement on this point, as described in Section III. of this brief, below.</w:t>
      </w:r>
    </w:p>
    <w:p>
      <w:pPr>
        <w:pStyle w:val="Normal"/>
        <w:spacing w:lineRule="auto" w:line="360"/>
        <w:rPr/>
      </w:pPr>
      <w:r>
        <w:rPr/>
        <w:tab/>
        <w:t>If the Commission were to adopt the Post-Interim Settlement, it would need to institute immediately additional proceedings to address “retail” provisions that like those provided in the Comprehensive Settlement and the PG&amp;E settlements already approved in this investigation.  It would also need to immediately institute proceedings to address those changes, especially in the area of storage, that the Interim Settlement allows to be modified effective on or after January 1, 2003, and that the Post-Interim Settlement does not “freeze” until August 31, 2006.</w:t>
      </w:r>
    </w:p>
    <w:p>
      <w:pPr>
        <w:pStyle w:val="Normal"/>
        <w:spacing w:lineRule="auto" w:line="360"/>
        <w:rPr/>
      </w:pPr>
      <w:r>
        <w:rPr/>
        <w:tab/>
        <w:t>Also, two specific provisions of the Post-Interim Settlement discussed below are unreasonable and unlawful attempts to deny SoCalGas’ shareholders the ability to earn a fair rate of return on their investment.  These two provisions are additional reasons why the Post-Interim Settlement as a whole must be rejected by the Commission.</w:t>
      </w:r>
    </w:p>
    <w:p>
      <w:pPr>
        <w:pStyle w:val="Normal"/>
        <w:spacing w:lineRule="auto" w:line="360"/>
        <w:rPr/>
      </w:pPr>
      <w:r>
        <w:rPr/>
      </w:r>
    </w:p>
    <w:p>
      <w:pPr>
        <w:pStyle w:val="Heading8"/>
        <w:spacing w:lineRule="auto" w:line="240"/>
        <w:ind w:hanging="450" w:start="1170" w:end="0"/>
        <w:rPr/>
      </w:pPr>
      <w:r>
        <w:rPr/>
        <w:t>2. Requirement for SoCalGas Shareholders to Absorb 25% of ITCS Costs</w:t>
      </w:r>
    </w:p>
    <w:p>
      <w:pPr>
        <w:pStyle w:val="Normal"/>
        <w:spacing w:lineRule="auto" w:line="360"/>
        <w:rPr/>
      </w:pPr>
      <w:r>
        <w:rPr/>
      </w:r>
    </w:p>
    <w:p>
      <w:pPr>
        <w:pStyle w:val="Normal"/>
        <w:spacing w:lineRule="auto" w:line="360"/>
        <w:ind w:firstLine="1080" w:end="0"/>
        <w:rPr/>
      </w:pPr>
      <w:r>
        <w:rPr/>
        <w:t>Section 4.2.1 of the Post-Interim Settlement provides that cost of ITCS shall be shared 75/25 between noncore ratepayers and SoCalGas shareholders for the period January 1, 2002, through August 31, 2006.  Exhibit No.101 at pp.53-54 and p.62 (sponsored by Ms. Yap) provides the justification of the Post-Interim Settlement supporters for this provision.</w:t>
      </w:r>
    </w:p>
    <w:p>
      <w:pPr>
        <w:pStyle w:val="Normal"/>
        <w:spacing w:lineRule="auto" w:line="360"/>
        <w:ind w:firstLine="1080" w:end="0"/>
        <w:rPr/>
      </w:pPr>
      <w:r>
        <w:rPr/>
        <w:t>This provision is unreasonable, contrary to prior Commission decisions, contrary to a settlement approved by the Commission to which Post-Interim Settlement signatories SCUPP, IID, and TURN were signatories, and unlawful in violation of the U.S. Constitution.  The Commission should reject this provision, along with the Post-Interim Settlement as a whole.</w:t>
      </w:r>
    </w:p>
    <w:p>
      <w:pPr>
        <w:pStyle w:val="Normal"/>
        <w:spacing w:lineRule="auto" w:line="360"/>
        <w:ind w:firstLine="1080" w:end="0"/>
        <w:rPr/>
      </w:pPr>
      <w:r>
        <w:rPr/>
        <w:t>SoCalGas and SDG&amp;E’s testimony on this subject is included in Mr. Lorenz’s prepared rebuttal testimony, Exhibit No.14, at pp.11-17.  No one cross-examined Mr. Lorenz about any of this material at hearings or offered any oral testimony responding to his testimony on this point.</w:t>
      </w:r>
    </w:p>
    <w:p>
      <w:pPr>
        <w:pStyle w:val="Normal"/>
        <w:spacing w:lineRule="auto" w:line="360"/>
        <w:ind w:firstLine="1080" w:end="0"/>
        <w:rPr/>
      </w:pPr>
      <w:r>
        <w:rPr/>
        <w:t xml:space="preserve">ITCS (“Interstate Transition Cost Surcharge”) is the mechanism through which SoCalGas recovers the cost of interstate capacity in excess of core market requirements, less the cost that SoCalGas is able to recover through brokering of the capacity as permitted by FERC regulations.  </w:t>
      </w:r>
    </w:p>
    <w:p>
      <w:pPr>
        <w:pStyle w:val="Normal"/>
        <w:spacing w:lineRule="auto" w:line="360"/>
        <w:ind w:firstLine="1080" w:end="0"/>
        <w:rPr/>
      </w:pPr>
      <w:r>
        <w:rPr/>
        <w:t>SoCalGas currently has obligations for interstate pipeline capacity under two transportation service agreements.  One such contract is with El Paso Natural Gas Company.  It became effective on October 16, 1990, replacing SoCalGas’ prior contract with El Paso that was due to terminate January 1, 1991, and expires on August 31, 2006.  The capacity under the El Paso contract was initially for 1,750 MMcfd, but SoCalGas had rights under the contract to relinquish 300 MMcfd of capacity as of March 1, 1992, and another 300 MMcfd as of January 1, 1996.  SoCalGas fully exercised both of those step-down rights as soon as they became available, and SoCalGas’ remaining commitment on El Paso until August 31, 2006, is for 1,150 MMcfd.  SoCalGas’ currently-effective contract with Transwestern became effective on October 1, 1989, replacing the previous SoCalGas contract with Transwestern that would have expired on November 1, 1994, and expires on October 31, 2005.  The current Transwestern contract provided for 750 MMcfd of capacity initially.  It was amended on January 9, 1992, to give SoCalGas the option to “step down” its capacity by 450 MMcfd effective November 1, 1996.  SoCalGas fully exercised that step-down on Transwestern as soon as allowed, and SoCalGas’ remaining commitment on Transwestern is for 300 MMcfd through October 31, 2005.  (See Exhibit No.14, pp.11-12)</w:t>
      </w:r>
    </w:p>
    <w:p>
      <w:pPr>
        <w:pStyle w:val="Normal"/>
        <w:spacing w:lineRule="auto" w:line="360"/>
        <w:ind w:firstLine="1080" w:end="0"/>
        <w:rPr/>
      </w:pPr>
      <w:r>
        <w:rPr/>
        <w:t>In D.91-11-025 (41 CPUC2d 688), the Commission approved unbundled interstate pipeline service for noncore customers of SoCalGas.  Noncore customers thereafter needed to obtain their own interstate capacity connecting to the SoCalGas system (or to buy gas delivered at a SoCalGas receipt point).  Interstate pipeline capacity held by SoCalGas to meet core requirements remained bundled, as is the case up to today.  The unbundling of interstate capacity for noncore customers resulted in some of the capacity for which SoCalGas was contractually committed to be in excess of its needs to serve its core customers.  The market price for brokered capacity has been lower than the FERC-regulated “as-billed” rate that SoCalGas must pay to El Paso and Transwestern under its contracts.  Therefore, SoCalGas incurred and is still incurring stranded costs for interstate pipeline capacity.</w:t>
      </w:r>
    </w:p>
    <w:p>
      <w:pPr>
        <w:pStyle w:val="Normal"/>
        <w:spacing w:lineRule="auto" w:line="360"/>
        <w:ind w:firstLine="1080" w:end="0"/>
        <w:rPr/>
      </w:pPr>
      <w:r>
        <w:rPr/>
        <w:t>Currently, the Commission has allocated to the core market as a whole 1,044 MMcfd out of SoCalGas’ current total of 1,450 MMcfd of interstate pipeline capacity rights.  The Commission’ allocation of 1,044 MMcfd to the core includes all 300 MMcfd of SoCalGas’ Transwestern capacity.  The Post-Interim would leave both of these allocations unchanged through December 31, 2002, and make them subject to revision thereafter in SoCalGas’ next BCAP.  Thus, (assuming no change in core/noncore allocations in the next BCAP) the Post-Interim Settlement would force SoCalGas shareholders to absorb 25% of the difference in the as-billed rate for 406 MMcfd of El Paso capacity and the amount that SoCalGas can obtain from brokering that 406 MMcfd of capacity in the secondary market, for the period January 1, 2002 through August 31, 2006.</w:t>
      </w:r>
    </w:p>
    <w:p>
      <w:pPr>
        <w:pStyle w:val="Normal"/>
        <w:spacing w:lineRule="auto" w:line="360"/>
        <w:ind w:firstLine="1080" w:end="0"/>
        <w:rPr/>
      </w:pPr>
      <w:r>
        <w:rPr/>
        <w:t>As Mr. Lorenz testified in Exhibit No.14, at p.14, no matter how skillful SoCalGas is in brokering interstate pipeline capacity in 2002 through 2006, there is no possibility that the revenues to be received from brokering in that period will be anywhere as much as the as-billed cost over that period.  Therefore, the impact of Section 4.2.1 will be to force SoCalGas shareholders to absorb 25% of a significant amount of cost that it cannot avoid.</w:t>
      </w:r>
    </w:p>
    <w:p>
      <w:pPr>
        <w:pStyle w:val="Normal"/>
        <w:spacing w:lineRule="auto" w:line="360"/>
        <w:ind w:firstLine="1080" w:end="0"/>
        <w:rPr/>
      </w:pPr>
      <w:r>
        <w:rPr/>
        <w:t>It is true that FERC Order 637 will remove from short-term brokering the current as-billed cap on prices obtained for interstate pipeline capacity in the secondary market.  However, as Mr. Lorenz also testified in Exhibit No.14 at p.14, SoCalGas has not in the past been able to broker any capacity for as much as the previous cap of 100% as-billed rate.  He testified that there was no likelihood that SoCalGas will be able to broker much, if any, capacity on El Paso for more than the as-billed rate during the remainder of the term of the contract.</w:t>
      </w:r>
    </w:p>
    <w:p>
      <w:pPr>
        <w:pStyle w:val="Normal"/>
        <w:spacing w:lineRule="auto" w:line="360"/>
        <w:ind w:firstLine="1080" w:end="0"/>
        <w:rPr/>
      </w:pPr>
      <w:r>
        <w:rPr/>
        <w:t>In Exhibit No.101 at pp.53-54, the proponents of the Post-Interim Settlement justifying their proposal for shareholder absorption of ITCS costs on the grounds that SoCalGas needs an incentive to maximize revenues from brokering of stranded interstate capacity.  But they then also make a large point of arguing that the total dollar amount that SoCalGas shareholders will have to absorb is not significant.  But if the stranded costs are going to decline so much as to make 25% shareholder absorption insignificant, then there is only an “insignificant” need to provide an incentive to maximize revenues from brokering the capacity.  In any case, there is no justification for requiring a utility to absorb any portion, no matter how small, of a prudently-incurred cost.</w:t>
      </w:r>
    </w:p>
    <w:p>
      <w:pPr>
        <w:pStyle w:val="Normal"/>
        <w:spacing w:lineRule="auto" w:line="360"/>
        <w:ind w:firstLine="1080" w:end="0"/>
        <w:rPr/>
      </w:pPr>
      <w:r>
        <w:rPr/>
        <w:t>Furthermore, the amounts that Ms. Yap claims in the table at p.54 of Exhibit No.101 that SoCalGas received from brokering interstate capacity are simply wrong.  The amounts actually received by SoCalGas for brokering El Paso capacity in from January 1998 to March 2000 are shown in Attachment A to Mr. Lorenz’s Exhibit No.14.  The true percentages are significantly lower than the figures shown on p.54 of Exhibit No.101.  In no month between January 1998 and March 2000 did the revenues from brokering exceed 60% of the as-billed rate.</w:t>
      </w:r>
    </w:p>
    <w:p>
      <w:pPr>
        <w:pStyle w:val="Normal"/>
        <w:spacing w:lineRule="auto" w:line="360"/>
        <w:ind w:firstLine="1080" w:end="0"/>
        <w:rPr/>
      </w:pPr>
      <w:r>
        <w:rPr/>
        <w:t>At pp.58-63 of Exhibit No.101, (sponsored by Ms. Yap)  the proponents of the Post-Interim Settlement appear to be justifying its impact in reducing SoCalGas’ earnings, especially through the impact of its provisions on ITCS (see p.62), on the theory that it is just continuing the degree of SoCalGas shareholder “risk” provided by the Global Settlement.  In the Global Settlement, SoCalGas/Pacific Enterprises shareholders agreed to absorb a share of the cost of restructuring the PITCO and POPCO gas supply projects.  The shareholder share turned out to be in the neighborhood of $100 million, which was recovered over a period exceeding five years.  Proponents of the Post-Interim Settlement appear to be arguing that this level of shareholder absorption of costs should be continued past the term of the Global Settlement.  This argument is absurd.  The Global Settlement provided for shareholder absorption of a sliding scale percentage of the costs of restructuring those gas supply projects.  In no way did it oblige SoCalGas shareholders to continue to bear the same annual amount of totally unrelated costs (such as ITCS costs) in perpetuity after the supply projects were restructured.</w:t>
      </w:r>
    </w:p>
    <w:p>
      <w:pPr>
        <w:pStyle w:val="Normal"/>
        <w:spacing w:lineRule="auto" w:line="360"/>
        <w:ind w:firstLine="1080" w:end="0"/>
        <w:rPr/>
      </w:pPr>
      <w:r>
        <w:rPr/>
        <w:t>Mr. Lorenz’s Exhibit 14, Attachment B, provides SoCalGas’ estimate of the demand charges it will owe to El Paso for 406 MMcfd of capacity for 2002-2006.  In the 1999 BCAP, Mr. Lorenz forecast that the market price for this capacity brokered in 2000-2002 would average 34% of the as-billed rate.  If this were the level experienced in 2002-2006, Section 4.2.1 of the Post-Interim Settlement would result in SoCalGas shareholders absorbing approximately $33.2 million over that period.  The Post-Interim Settlement proponents have suggested in their testimony that 40% of the as-billed rate would be a “conservative” estimate of the value of capacity on the secondary market.  At 40%, shareholders would absorb approximately $30.2 million in the 2002-2006 time period.  The average rate for SoCalGas in 1998 was 34% and in 1999 was 53% (see Attachment B to Ex.No.14).  At 50%, SoCalGas shareholders would absorb approximately $25.2 million in ITCS in 2002-2006 (see Ex.No.14, pp.13-14).  Thus, any reasonable forecast of the market value for brokered capacity results in tens of millions of dollars being absorbed by SoCalGas shareholders.</w:t>
      </w:r>
    </w:p>
    <w:p>
      <w:pPr>
        <w:pStyle w:val="Normal"/>
        <w:spacing w:lineRule="auto" w:line="360"/>
        <w:ind w:firstLine="1080" w:end="0"/>
        <w:rPr/>
      </w:pPr>
      <w:r>
        <w:rPr/>
        <w:t>Section 4.2.1 of the Post-Interim Settlement would require SoCalGas shareholders to absorb costs that Mr. Lorenz testified (Ex.No. 14, p.14) were reasonably and prudently incurred to meet its public service obligation at the time it entered into the relevant contracts for interstate pipeline capacity.  Proponents of the Post-Interim Settlement have provided no evidence or claims whatsoever that these obligations and costs were imprudently incurred by SoCalGas.</w:t>
      </w:r>
    </w:p>
    <w:p>
      <w:pPr>
        <w:pStyle w:val="Normal"/>
        <w:spacing w:lineRule="auto" w:line="360"/>
        <w:ind w:firstLine="1080" w:end="0"/>
        <w:rPr/>
      </w:pPr>
      <w:r>
        <w:rPr/>
        <w:t>These costs were stranded by regulatory restructuring that the Commission ordered because it concluded that unbundling of interstate pipeline capacity for noncore customers would result in improved efficiency, competition, and make customers better off.  The stranded costs associated with these contracts continue to be restructuring costs that should be borne by energy consumers just as they have borne the costs of other restructurings that have been intended to benefit them.</w:t>
      </w:r>
    </w:p>
    <w:p>
      <w:pPr>
        <w:pStyle w:val="Normal"/>
        <w:spacing w:lineRule="auto" w:line="360"/>
        <w:ind w:firstLine="1080" w:end="0"/>
        <w:rPr/>
      </w:pPr>
      <w:r>
        <w:rPr/>
        <w:t xml:space="preserve">Furthermore, the reasonableness of SoCalGas entering into the currently-effective El Paso and Transwestern contracts, and of the incurrence of related stranded costs by SoCalGas, was litigated before the Commission many years ago, early in the life of these contracts, in R.88-08-018.  Proposals essentially identical to that in Section 4.2.1 of the Post-Interim Settlement were litigated before the Commission and rejected by it in that proceeding. </w:t>
      </w:r>
    </w:p>
    <w:p>
      <w:pPr>
        <w:pStyle w:val="BodyText2"/>
        <w:ind w:firstLine="1080" w:end="0"/>
        <w:rPr/>
      </w:pPr>
      <w:r>
        <w:rPr/>
        <w:t xml:space="preserve">In 1992, the Commission held hearings in R.88-08-018 on interstate capacity brokering implementation issues.  TURN, CIG, the State of New Mexico, and DRA (predecessor to ORA) all presented proposals under which SoCalGas shareholders would absorb a fixed percentage of the stranded costs of interstate capacity not needed to serve SoCalGas’ customers in excess of a “slack factor”.  SCUPP presented a proposal for SoCalGas’ shareholders to absorb a set percentage with no allowance for a slack factor.  SoCalGas opposed these proposals.  These proposals were made by their proponents to allegedly provide an “incentive” for the utilities not to hold any more interstate capacity than required.  </w:t>
      </w:r>
    </w:p>
    <w:p>
      <w:pPr>
        <w:pStyle w:val="Normal"/>
        <w:spacing w:lineRule="auto" w:line="360"/>
        <w:ind w:firstLine="1080" w:end="0"/>
        <w:rPr/>
      </w:pPr>
      <w:r>
        <w:rPr/>
        <w:t>The Commission rejected these proposals in D.92-07-025 (45 CPUC2d 47).  The Commission stated at 45 CPUC2d 71:</w:t>
      </w:r>
    </w:p>
    <w:p>
      <w:pPr>
        <w:pStyle w:val="Normal"/>
        <w:spacing w:lineRule="auto" w:line="360"/>
        <w:ind w:firstLine="1080" w:end="0"/>
        <w:rPr/>
      </w:pPr>
      <w:r>
        <w:rPr/>
        <w:t>“</w:t>
      </w:r>
      <w:r>
        <w:rPr/>
        <w:t>Any such incentive should be fair.  SoCalGas convinces us that an incentive which applies to existing capacity commitments may not be fair.”  It also said:  “…we recognize that regulatory policy and other circumstances beyond the utilities’ control may have contributed to the abundance of pipeline capacity which is under construction and which will affect the attractiveness of existing capacity.”  See also Findings of Fact 18 and 19 at p.74.  The Commission stated that interstate capacity acquired after November 1991 by the utilities would not be subject to ITCS recovery.</w:t>
      </w:r>
    </w:p>
    <w:p>
      <w:pPr>
        <w:pStyle w:val="Normal"/>
        <w:spacing w:lineRule="auto" w:line="360"/>
        <w:ind w:firstLine="1080" w:end="0"/>
        <w:rPr/>
      </w:pPr>
      <w:r>
        <w:rPr/>
        <w:t>Nothing has changed since D.92-07-025 was issued in July of 1992 that would justify a change in the Commission’s rejection of the concept of putting SoCalGas “at risk” for a portion of ITCS.  The very same contracts in effect in 1992 are the subject of Section 4.2.1 of the Post-Interim Settlement.  SoCalGas has fully exercised as soon as possible every right under those contracts to “step down” its capacity obligations.  SoCalGas has not entered into any new obligations for interstate pipeline mainline capacity since November 1991.</w:t>
      </w:r>
    </w:p>
    <w:p>
      <w:pPr>
        <w:pStyle w:val="Normal"/>
        <w:spacing w:lineRule="auto" w:line="360"/>
        <w:ind w:firstLine="1080" w:end="0"/>
        <w:rPr/>
      </w:pPr>
      <w:r>
        <w:rPr/>
        <w:t>Section 4.2.1 of the Post-Interim Settlement is also violates the terms of the SoCalGas “Global Settlement”, which was approved by the Commission in D.94-04-088 and 94-07-064.  Signatories of the Global Settlement included TURN, SCUPP and IID.  TURN, SCUPP, and IID are signatories to the Post-Interim Settlement.  The action of TURN, SCUPP, and IID in including this provision in the Post-Interim Settlement is a violation of their undertakings in signing the Global Settlement.  The Commission should reject the Post-Interim Settlement because this provision of the Post-Interim Settlement is contrary to the Commission’s decisions approving the Global Settlement.</w:t>
      </w:r>
    </w:p>
    <w:p>
      <w:pPr>
        <w:pStyle w:val="Normal"/>
        <w:spacing w:lineRule="auto" w:line="360"/>
        <w:ind w:firstLine="1080" w:end="0"/>
        <w:rPr/>
      </w:pPr>
      <w:r>
        <w:rPr/>
        <w:t xml:space="preserve">The Global Settlement resolved numerous regulatory issues.  Among them was the recovery in rates by SoCalGas of ITCS.  </w:t>
      </w:r>
    </w:p>
    <w:p>
      <w:pPr>
        <w:pStyle w:val="Normal"/>
        <w:spacing w:lineRule="auto" w:line="360"/>
        <w:ind w:firstLine="1080" w:end="0"/>
        <w:rPr/>
      </w:pPr>
      <w:r>
        <w:rPr/>
        <w:t>Paragraph III.2. at p.13 of the Global Settlement (appended to D.94-07-064; 55 CPUC2d 452 at 459) provides:</w:t>
      </w:r>
    </w:p>
    <w:p>
      <w:pPr>
        <w:pStyle w:val="Normal"/>
        <w:rPr/>
      </w:pPr>
      <w:r>
        <w:rPr/>
      </w:r>
    </w:p>
    <w:p>
      <w:pPr>
        <w:pStyle w:val="BlockText"/>
        <w:ind w:start="1080" w:end="1008"/>
        <w:rPr>
          <w:rFonts w:ascii="Courier New" w:hAnsi="Courier New" w:eastAsia="Courier New" w:cs="Courier New"/>
        </w:rPr>
      </w:pPr>
      <w:r>
        <w:rPr>
          <w:rFonts w:eastAsia="Courier New" w:cs="Courier New" w:ascii="Courier New" w:hAnsi="Courier New"/>
        </w:rPr>
        <w:t>The recovery of stranded interstate pipeline costs by SoCalGas through the ITCS shall not be challenged in reasonableness reviews or any other proceeding as long as SoCalGas follows the brokering procedures established by the Commission and the FERC, and there is no evidence of “fraud or abuse.”  This undertaking not to challenge the recovery of stranded interstate pipeline capacity does not encompass any decisions SoCalGas may make relative to any lawful opportunity it may have to permanently relinquish capacity on interstate pipelines.</w:t>
      </w:r>
    </w:p>
    <w:p>
      <w:pPr>
        <w:pStyle w:val="Normal"/>
        <w:ind w:start="720" w:end="720"/>
        <w:rPr>
          <w:rFonts w:ascii="Courier New" w:hAnsi="Courier New" w:eastAsia="Courier New" w:cs="Courier New"/>
        </w:rPr>
      </w:pPr>
      <w:r>
        <w:rPr>
          <w:rFonts w:eastAsia="Courier New" w:cs="Courier New"/>
        </w:rPr>
      </w:r>
    </w:p>
    <w:p>
      <w:pPr>
        <w:pStyle w:val="Normal"/>
        <w:spacing w:lineRule="auto" w:line="360"/>
        <w:ind w:firstLine="1080" w:end="0"/>
        <w:rPr/>
      </w:pPr>
      <w:r>
        <w:rPr/>
        <w:t>The Global Settlement was originally filed with the Commission on October 29, 1993, and subsequently revised to meet Commission conditions and re-filed on June 7, 1994.  As noted above, before 1993 SoCalGas had already entered into the contracts that are still in effect today for service by Transwestern Pipeline Company and El Paso Natural Gas Company.  The existence and terms of these contracts were public and known to TURN and SCUPP at the time they entered into the Global Settlement.</w:t>
      </w:r>
    </w:p>
    <w:p>
      <w:pPr>
        <w:pStyle w:val="Normal"/>
        <w:spacing w:lineRule="auto" w:line="360"/>
        <w:ind w:firstLine="1080" w:end="0"/>
        <w:rPr/>
      </w:pPr>
      <w:r>
        <w:rPr/>
        <w:t>SoCalGas exercised as soon as allowed by the contracts all rights to “step down” the capacity under contracts.  SoCalGas has no further step down rights under those two contracts for the remainder of their terms.</w:t>
      </w:r>
    </w:p>
    <w:p>
      <w:pPr>
        <w:pStyle w:val="Normal"/>
        <w:spacing w:lineRule="auto" w:line="360"/>
        <w:ind w:firstLine="1080" w:end="0"/>
        <w:rPr/>
      </w:pPr>
      <w:r>
        <w:rPr/>
        <w:t>TURN and SCGC may argue that Paragraph III.2 of the Global Settlement expired on July 31, 1999.  This is not correct.  This provision of the Global Settlement remains in effect for the duration of the El Paso and Transwestern contracts in existence at the time the Global Settlement was signed, filed and approved by the Commission.</w:t>
      </w:r>
    </w:p>
    <w:p>
      <w:pPr>
        <w:pStyle w:val="Normal"/>
        <w:spacing w:lineRule="auto" w:line="360"/>
        <w:ind w:firstLine="1080" w:end="0"/>
        <w:rPr/>
      </w:pPr>
      <w:r>
        <w:rPr/>
        <w:t>With respect to Section III.2, the text of the Global Settlement itself made clear that it would continue for the life of the then-effective El Paso and Transwestern agreements.  The Global Settlement contained an Implementation Appendix that was an integral part of the settlement and that was submitted to the Commission for approval as part of the settlement as a whole.  Implementation Appendix C.3, entitled “Effect of the Settlement on Balancing Accounts and Tracking Accounts”, included the following language:</w:t>
      </w:r>
    </w:p>
    <w:p>
      <w:pPr>
        <w:pStyle w:val="Normal"/>
        <w:spacing w:lineRule="auto" w:line="360"/>
        <w:rPr/>
      </w:pPr>
      <w:r>
        <w:rPr/>
      </w:r>
    </w:p>
    <w:p>
      <w:pPr>
        <w:pStyle w:val="Heading1"/>
        <w:tabs>
          <w:tab w:val="clear" w:pos="720"/>
          <w:tab w:val="left" w:pos="0" w:leader="none"/>
        </w:tabs>
        <w:ind w:hanging="585" w:start="585"/>
        <w:jc w:val="center"/>
        <w:rPr>
          <w:rFonts w:ascii="Courier New" w:hAnsi="Courier New" w:eastAsia="Courier New" w:cs="Courier New"/>
          <w:u w:val="single"/>
        </w:rPr>
      </w:pPr>
      <w:r>
        <w:rPr>
          <w:rFonts w:eastAsia="Courier New" w:cs="Courier New" w:ascii="Courier New" w:hAnsi="Courier New"/>
          <w:u w:val="single"/>
        </w:rPr>
        <w:t>The Interstate Transition Cost Surcharge Account</w:t>
      </w:r>
    </w:p>
    <w:p>
      <w:pPr>
        <w:pStyle w:val="Normal"/>
        <w:ind w:start="720" w:end="720"/>
        <w:rPr>
          <w:rFonts w:ascii="Courier New" w:hAnsi="Courier New" w:eastAsia="Courier New" w:cs="Courier New"/>
          <w:b/>
          <w:bCs/>
          <w:u w:val="single"/>
        </w:rPr>
      </w:pPr>
      <w:r>
        <w:rPr>
          <w:rFonts w:eastAsia="Courier New" w:cs="Courier New"/>
          <w:b/>
          <w:bCs/>
          <w:u w:val="single"/>
        </w:rPr>
      </w:r>
    </w:p>
    <w:p>
      <w:pPr>
        <w:pStyle w:val="Normal"/>
        <w:ind w:start="1080" w:end="720"/>
        <w:rPr/>
      </w:pPr>
      <w:r>
        <w:rPr/>
        <w:t xml:space="preserve">Section III (2) of the S&amp;SA specifies that the cost of stranded interstate pipeline capacity will continue to be captured in the ITCS.  </w:t>
      </w:r>
      <w:r>
        <w:rPr>
          <w:u w:val="single"/>
        </w:rPr>
        <w:t>The S&amp;SA requires that this account remain in place until the expiration of the currently effective service agreements with El Paso Natural Gas and Transwestern Pipeline</w:t>
      </w:r>
      <w:r>
        <w:rPr/>
        <w:t>.  The allocation of the balance in this account to the various customer classes is not affected by the S&amp;SA. [emphasis added]</w:t>
      </w:r>
    </w:p>
    <w:p>
      <w:pPr>
        <w:pStyle w:val="Normal"/>
        <w:ind w:start="720" w:end="720"/>
        <w:rPr/>
      </w:pPr>
      <w:r>
        <w:rPr/>
      </w:r>
    </w:p>
    <w:p>
      <w:pPr>
        <w:pStyle w:val="Normal"/>
        <w:ind w:start="720" w:end="720"/>
        <w:rPr/>
      </w:pPr>
      <w:r>
        <w:rPr/>
      </w:r>
    </w:p>
    <w:p>
      <w:pPr>
        <w:pStyle w:val="BodyText2"/>
        <w:ind w:firstLine="1080" w:end="0"/>
        <w:rPr/>
      </w:pPr>
      <w:r>
        <w:rPr/>
        <w:t>The fact that the Global Settlement provided assurance of full shareholder recovery of ITCS costs for the full remaining terms of the El Paso and Transwestern contracts is confirmed by the Commission decisions approving the Global Settlement.</w:t>
      </w:r>
    </w:p>
    <w:p>
      <w:pPr>
        <w:pStyle w:val="Normal"/>
        <w:spacing w:lineRule="auto" w:line="360"/>
        <w:ind w:firstLine="1080" w:end="0"/>
        <w:rPr/>
      </w:pPr>
      <w:r>
        <w:rPr/>
        <w:t>D.94-04-088 (54 CPUC2d 337 at 356-358) discussed this portion of the Global Settlement.  At p.357, the Commission stated:</w:t>
      </w:r>
    </w:p>
    <w:p>
      <w:pPr>
        <w:pStyle w:val="Normal"/>
        <w:rPr/>
      </w:pPr>
      <w:r>
        <w:rPr/>
      </w:r>
    </w:p>
    <w:p>
      <w:pPr>
        <w:pStyle w:val="Normal"/>
        <w:ind w:firstLine="360" w:start="1080" w:end="720"/>
        <w:rPr/>
      </w:pPr>
      <w:r>
        <w:rPr/>
        <w:t>Indicated Producers appear to assume that the ITCS allows SoCalGas to recover the costs of capacity which is acquired after the creation of the ITCS.  D.92-07-025 makes clear that the ITCS permits the recovery of costs associated with the capacity that was held on the date we issued D.91-11-025.  The settlement does not change this rule.</w:t>
      </w:r>
    </w:p>
    <w:p>
      <w:pPr>
        <w:pStyle w:val="Normal"/>
        <w:rPr/>
      </w:pPr>
      <w:r>
        <w:rPr/>
      </w:r>
    </w:p>
    <w:p>
      <w:pPr>
        <w:pStyle w:val="Normal"/>
        <w:spacing w:lineRule="auto" w:line="360"/>
        <w:ind w:firstLine="1080" w:end="0"/>
        <w:rPr/>
      </w:pPr>
      <w:r>
        <w:rPr/>
        <w:t xml:space="preserve">As Mr. Lorenz testified at p.17 of Exhibit No.14, the Joint Post-Workshop Comments on the Global Settlement filed February 4, 1994, by Edison, SDG&amp;E, SCUPP, IID, CIG/CMA, and Food Processors further documents their intent that the Global Settlement foreclosed any SoCalGas shareholder absorption of ITCS </w:t>
      </w:r>
      <w:r>
        <w:rPr>
          <w:u w:val="single"/>
        </w:rPr>
        <w:t>for the life of the then-existing El Paso and Transwestern contracts</w:t>
      </w:r>
      <w:r>
        <w:rPr/>
        <w:t xml:space="preserve">.  </w:t>
      </w:r>
    </w:p>
    <w:p>
      <w:pPr>
        <w:pStyle w:val="Normal"/>
        <w:spacing w:lineRule="auto" w:line="360"/>
        <w:ind w:firstLine="1080" w:end="0"/>
        <w:rPr/>
      </w:pPr>
      <w:r>
        <w:rPr/>
        <w:t>Those Joint Comments, as quoted in Exhibit No.14 at p.17, stated at p.10:</w:t>
      </w:r>
    </w:p>
    <w:p>
      <w:pPr>
        <w:pStyle w:val="BlockText"/>
        <w:ind w:start="1080" w:end="1008"/>
        <w:rPr>
          <w:rFonts w:ascii="Courier New" w:hAnsi="Courier New" w:eastAsia="Courier New" w:cs="Courier New"/>
        </w:rPr>
      </w:pPr>
      <w:r>
        <w:rPr>
          <w:rFonts w:eastAsia="Courier New" w:cs="Courier New" w:ascii="Courier New" w:hAnsi="Courier New"/>
        </w:rPr>
        <w:t>Moreover, as part of the give-and-take negotiations that occurred in arriving at the S&amp;SA, SoCalGas increased its shareholders’ contribution to the PITCO/POPCO excess gas and transition cost-sharing mechanism by $22 million, in exchange for the elimination of reasonableness reviews of SoCalGas’ brokering of their stranded capacity.[footnote 18 omitted]  The Settlement Parties all agreed that the provision was appropriate – particularly considering the difficulty in evaluation the reasonableness of SoCalGas’ brokering of its excess capacity.</w:t>
      </w:r>
    </w:p>
    <w:p>
      <w:pPr>
        <w:pStyle w:val="Normal"/>
        <w:rPr>
          <w:rFonts w:ascii="Courier New" w:hAnsi="Courier New" w:eastAsia="Courier New" w:cs="Courier New"/>
        </w:rPr>
      </w:pPr>
      <w:r>
        <w:rPr>
          <w:rFonts w:eastAsia="Courier New" w:cs="Courier New"/>
        </w:rPr>
      </w:r>
    </w:p>
    <w:p>
      <w:pPr>
        <w:pStyle w:val="Normal"/>
        <w:spacing w:lineRule="auto" w:line="360"/>
        <w:ind w:firstLine="1080" w:end="0"/>
        <w:rPr/>
      </w:pPr>
      <w:r>
        <w:rPr/>
        <w:t>SoCalGas shareholders have borne that full $22 million dollars as a result of PITCO/POPCO costs they have already absorbed in 1994-1998.  Thus, the Global Settlement parties and all other ratepayers have already received the full $22 million benefit of the bargain that SoCalGas provided in exchange for avoiding the very liability that the Post-Interim Settlement would now impose on SoCalGas’ shareholders.  As Mr. Lorenz testified in Exhibit No.14 at p.17:  Whatever one’s opinion about the lawfulness and appropriateness of modifying a settlement after it has been approved by the Commission, it surely is not right to act contrary to an approved settlement in a way that takes away the benefit one side was supposed to receive after it has already paid the consideration for that benefit.</w:t>
      </w:r>
    </w:p>
    <w:p>
      <w:pPr>
        <w:pStyle w:val="Normal"/>
        <w:spacing w:lineRule="auto" w:line="360"/>
        <w:ind w:firstLine="1080" w:end="0"/>
        <w:rPr/>
      </w:pPr>
      <w:r>
        <w:rPr/>
        <w:t xml:space="preserve">Finally, Section 4.2.1 of the Post-Interim Settlement violates the Supremacy Clause of the U.S. Constitution as interpreted by the U.S. Supreme Court in the cases of </w:t>
      </w:r>
      <w:r>
        <w:rPr>
          <w:u w:val="single"/>
        </w:rPr>
        <w:t>Mississippi Power &amp; Light Co. v. Mississippi ex rel. Moore</w:t>
      </w:r>
      <w:r>
        <w:rPr/>
        <w:t xml:space="preserve">, 487 U.S. 354 (1988), and </w:t>
      </w:r>
      <w:r>
        <w:rPr>
          <w:u w:val="single"/>
        </w:rPr>
        <w:t>Nantahala Power &amp; Light Co. v. Thornburg</w:t>
      </w:r>
      <w:r>
        <w:rPr/>
        <w:t>, 476 U.S. 953 (1986).</w:t>
      </w:r>
    </w:p>
    <w:p>
      <w:pPr>
        <w:pStyle w:val="Normal"/>
        <w:spacing w:lineRule="auto" w:line="360"/>
        <w:ind w:firstLine="1080" w:end="0"/>
        <w:rPr/>
      </w:pPr>
      <w:r>
        <w:rPr/>
        <w:t xml:space="preserve">These cases hold that a state commission may not prohibit the passthrough by a utility subject to its jurisdiction of costs incurred by the utility from taking service from a FERC-regulated company.  As the Court said in </w:t>
      </w:r>
      <w:r>
        <w:rPr>
          <w:u w:val="single"/>
        </w:rPr>
        <w:t>Nantahala</w:t>
      </w:r>
      <w:r>
        <w:rPr/>
        <w:t xml:space="preserve">:  “When FERC sets a rate between a seller of power and a wholesaler-as-buyer, a State may not exercise its undoubted jurisdiction over retail sales to prevent the wholesaler-as-seller from recovering the costs of paying the FERC-approved rate….  Such a ‘trapping’ of costs is prohibited.”  (476 U.S. at 970).  The same logic applies to gas utilities taking service from FERC-regulated pipelines.  Furthermore, under the holding of </w:t>
      </w:r>
      <w:r>
        <w:rPr>
          <w:u w:val="single"/>
        </w:rPr>
        <w:t>Mississippi Power &amp; Light</w:t>
      </w:r>
      <w:r>
        <w:rPr/>
        <w:t>, federal preemption and the prohibition on “trapping” of costs at the state level applies equally to quantities as well as prices under FERC-regulated contracts, and applies whether or not the FERC actually reviewed the reasonableness of the contract terms between the FERC-jurisdictional company and the state-jurisdictional utility.</w:t>
      </w:r>
    </w:p>
    <w:p>
      <w:pPr>
        <w:pStyle w:val="Normal"/>
        <w:spacing w:lineRule="auto" w:line="360"/>
        <w:ind w:firstLine="1080" w:end="0"/>
        <w:rPr/>
      </w:pPr>
      <w:r>
        <w:rPr/>
        <w:t xml:space="preserve">Section 4.2.1 of the Post-Interim Settlement falls squarely within the prohibition of </w:t>
      </w:r>
      <w:r>
        <w:rPr>
          <w:u w:val="single"/>
        </w:rPr>
        <w:t>Mississippi Power &amp; Light</w:t>
      </w:r>
      <w:r>
        <w:rPr/>
        <w:t xml:space="preserve"> and </w:t>
      </w:r>
      <w:r>
        <w:rPr>
          <w:u w:val="single"/>
        </w:rPr>
        <w:t>Nantahala</w:t>
      </w:r>
      <w:r>
        <w:rPr/>
        <w:t>.  It would have this Commission refuse to allow SoCalGas to passthrough to its customers the full cost of FERC-jurisdictional charges from El Paso for 406 MMcfd of capacity, whenever the amount SoCalGas is able to recover from brokering that capacity is less than the FERC-approved rate.  The rates for service under these contracts is set by the FERC.  The contracts themselves were filed with FERC and are subject to FERC jurisdiction.  This Commission may not disallow the passthrough of these costs.</w:t>
      </w:r>
    </w:p>
    <w:p>
      <w:pPr>
        <w:pStyle w:val="Normal"/>
        <w:spacing w:lineRule="auto" w:line="360"/>
        <w:ind w:firstLine="1080" w:end="0"/>
        <w:rPr/>
      </w:pPr>
      <w:r>
        <w:rPr/>
        <w:t xml:space="preserve">It may be that the proponents of the Post-Interim Settlement will defend this provision by claiming it fits under an alleged exception to the holdings of </w:t>
      </w:r>
      <w:r>
        <w:rPr>
          <w:u w:val="single"/>
        </w:rPr>
        <w:t>Mississippi Power &amp; Light</w:t>
      </w:r>
      <w:r>
        <w:rPr/>
        <w:t xml:space="preserve"> and </w:t>
      </w:r>
      <w:r>
        <w:rPr>
          <w:u w:val="single"/>
        </w:rPr>
        <w:t>Nantahala</w:t>
      </w:r>
      <w:r>
        <w:rPr/>
        <w:t xml:space="preserve">, under the holding of </w:t>
      </w:r>
      <w:r>
        <w:rPr>
          <w:u w:val="single"/>
        </w:rPr>
        <w:t>Pike County Light &amp; Power Co. v. Pennsylvania Public Utility Comm’n.</w:t>
      </w:r>
      <w:r>
        <w:rPr/>
        <w:t xml:space="preserve">, 77 Pa.Commnw. 268, 465 A.2d 735 (1983).  </w:t>
      </w:r>
      <w:r>
        <w:rPr>
          <w:u w:val="single"/>
        </w:rPr>
        <w:t>Pike County</w:t>
      </w:r>
      <w:r>
        <w:rPr/>
        <w:t xml:space="preserve"> has been cited for the proposition that a state commission can disallow passthrough of FERC-regulated costs if it finds the state-jurisdictional utility was imprudent in actions that it had the discretion to take or not take.</w:t>
      </w:r>
    </w:p>
    <w:p>
      <w:pPr>
        <w:pStyle w:val="Normal"/>
        <w:spacing w:lineRule="auto" w:line="360"/>
        <w:ind w:firstLine="1080" w:end="0"/>
        <w:rPr/>
      </w:pPr>
      <w:r>
        <w:rPr/>
        <w:t xml:space="preserve">In fact, Section 4.2.1 of the Post-Interim Settlement is not justified under the </w:t>
      </w:r>
      <w:r>
        <w:rPr>
          <w:u w:val="single"/>
        </w:rPr>
        <w:t>Pike County</w:t>
      </w:r>
      <w:r>
        <w:rPr/>
        <w:t xml:space="preserve"> doctrine.  First, the </w:t>
      </w:r>
      <w:r>
        <w:rPr>
          <w:u w:val="single"/>
        </w:rPr>
        <w:t>Pike County</w:t>
      </w:r>
      <w:r>
        <w:rPr/>
        <w:t xml:space="preserve"> doctrine has no validity in the wake of the </w:t>
      </w:r>
      <w:r>
        <w:rPr>
          <w:u w:val="single"/>
        </w:rPr>
        <w:t>Mississippi Power &amp; Light</w:t>
      </w:r>
      <w:r>
        <w:rPr/>
        <w:t xml:space="preserve"> decision.  It was cited in the dissent in </w:t>
      </w:r>
      <w:r>
        <w:rPr>
          <w:u w:val="single"/>
        </w:rPr>
        <w:t>Mississippi Power &amp; Light</w:t>
      </w:r>
      <w:r>
        <w:rPr/>
        <w:t xml:space="preserve"> (487 U.S. at 385), but the majority held that as long as the prudence of the contract could have been raised at the FERC, state commission disallowance is barred (see 487 U.S. at 375).  Furthermore, Section 4.2.1 would disallow passthrough of FERC-authorized costs automatically, without any finding of imprudence, </w:t>
      </w:r>
      <w:r>
        <w:rPr>
          <w:u w:val="single"/>
        </w:rPr>
        <w:t>even if SoCalGas were supremely prudent in its brokering of interstate capacity</w:t>
      </w:r>
      <w:r>
        <w:rPr/>
        <w:t>, as long as the market value of that capacity were below the FERC as-billed rate that SoCalGas must pay to the pipeline.</w:t>
      </w:r>
    </w:p>
    <w:p>
      <w:pPr>
        <w:pStyle w:val="Normal"/>
        <w:spacing w:lineRule="auto" w:line="360"/>
        <w:rPr/>
      </w:pPr>
      <w:r>
        <w:rPr/>
      </w:r>
    </w:p>
    <w:p>
      <w:pPr>
        <w:pStyle w:val="Heading4"/>
        <w:spacing w:lineRule="auto" w:line="240" w:before="0" w:after="0"/>
        <w:ind w:hanging="450" w:start="1080" w:end="0"/>
        <w:rPr>
          <w:rFonts w:ascii="Courier New" w:hAnsi="Courier New" w:eastAsia="Courier New" w:cs="Courier New"/>
        </w:rPr>
      </w:pPr>
      <w:r>
        <w:rPr>
          <w:rFonts w:eastAsia="Courier New" w:cs="Courier New" w:ascii="Courier New" w:hAnsi="Courier New"/>
        </w:rPr>
        <w:t>3. Removal from Rates of the Cost of the Montebello Storage Field Retroactive to September 16, 1999</w:t>
      </w:r>
    </w:p>
    <w:p>
      <w:pPr>
        <w:pStyle w:val="Normal"/>
        <w:spacing w:lineRule="auto" w:line="360"/>
        <w:rPr>
          <w:rFonts w:ascii="Courier New" w:hAnsi="Courier New" w:eastAsia="Courier New" w:cs="Courier New"/>
        </w:rPr>
      </w:pPr>
      <w:r>
        <w:rPr>
          <w:rFonts w:eastAsia="Courier New" w:cs="Courier New"/>
        </w:rPr>
      </w:r>
    </w:p>
    <w:p>
      <w:pPr>
        <w:pStyle w:val="Normal"/>
        <w:spacing w:lineRule="auto" w:line="360"/>
        <w:ind w:firstLine="1080" w:end="0"/>
        <w:rPr/>
      </w:pPr>
      <w:r>
        <w:rPr/>
        <w:t>The Post-Interim Settlement in Section 5.2 provides that costs associated with SoCalGas’ Montebello Storage field shall be removed from rates retroactive to September 16, 1999.  The Post-Interim Settlement supporters present one page of testimony sponsored by Mr. Florio to support this provision at pp.55-56 of Exhibit No.101.</w:t>
      </w:r>
    </w:p>
    <w:p>
      <w:pPr>
        <w:pStyle w:val="Normal"/>
        <w:spacing w:lineRule="auto" w:line="360"/>
        <w:ind w:firstLine="1080" w:end="0"/>
        <w:rPr/>
      </w:pPr>
      <w:r>
        <w:rPr/>
        <w:t>By contrast, the Comprehensive Settlement in Section 2.1.3.7 provides that SoCalGas shall file by June 1, 2000, a new application for authorization to sell its Montebello storage field, that the Comprehensive Settlement does not address whether the field should be sold nor any ratemaking treatment of the field, and that the issue of sale and ratemaking treatment is left to Commission proceedings, other than I.99-07-003, specifically addressing the Montebello storage field.</w:t>
      </w:r>
    </w:p>
    <w:p>
      <w:pPr>
        <w:pStyle w:val="Normal"/>
        <w:spacing w:lineRule="auto" w:line="360"/>
        <w:ind w:firstLine="1080" w:end="0"/>
        <w:rPr/>
      </w:pPr>
      <w:r>
        <w:rPr/>
        <w:t>Section 5.2 of the Post-Interim Settlement should be rejected, along with the Post-Interim Settlement as a whole.  SoCalGas/SDG&amp;E witness Lorenz presented testimony in Exhibit No.14 at pp.17-21 showing why this provision should be rejected.  No party cross-examined him on this testimony.</w:t>
      </w:r>
    </w:p>
    <w:p>
      <w:pPr>
        <w:pStyle w:val="Normal"/>
        <w:spacing w:lineRule="auto" w:line="360"/>
        <w:ind w:firstLine="1080" w:end="0"/>
        <w:rPr/>
      </w:pPr>
      <w:r>
        <w:rPr/>
        <w:t>As Mr. Lorenz testified, Section 5.2 should be rejected for several reasons.  In the first place, this is not an appropriate proceeding in which the Commission can or should resolve the complex factual and legal issues that have given rise to this issue.  The very decision cited in Mr. Florio’s testimony provides that this issue should be resolved in a proceeding other than this one.  Second, there is no record in this proceeding that is adequate for the Commission to assess the issue.  Certainly the two sentences in Exhibit No.101 at p.56 purporting to justify this provision do not provide an adequate record basis for it.  Finally, the facts as presented in Mr. Lorenz’s testimony show that this provision of the Post-Interim Settlement should be rejected if it is considered on the merits in this investigation.</w:t>
      </w:r>
    </w:p>
    <w:p>
      <w:pPr>
        <w:pStyle w:val="Normal"/>
        <w:spacing w:lineRule="auto" w:line="360"/>
        <w:ind w:firstLine="1080" w:end="0"/>
        <w:rPr/>
      </w:pPr>
      <w:r>
        <w:rPr/>
        <w:t>SoCalGas received Commission authorization to use the Montebello storage field to serve its customers in 1955.  In January of 1998, SoCalGas filed A.98-01-015, seeking Commission approval to sell the field in a sealed bid process.  That application proceeded through hearings and briefing, which was completed in early 1999.  In April, 1999, the Commission instituted I.99-04-022, to investigate allegations of Rule 1 violations by SoCalGas in communications with the Commission regarding the field, and SoCalGas’ practices in acquiring property rights in the field.  The order instituting I.99-04-022 held A.98-01-015 in abeyance.  In September 1999, on its own motion, the Commission issued D.99-09-068, dismissing A.98-01-015, without prejudice to SoCalGas’ right to file a new application to sell the Montebello field, because I.99-04-022 was pending.  SoCalGas filed for rehearing of D.99-09-068.  Meanwhile, I.99-04-022 proceeded with discovery and the service of testimony from parties other than SoCalGas (only CSD and TURN served such testimony).  On November 12, 1999, SoCalGas and CSD submitted a settlement of I.99-04-022 to the Commission, accompanied with drafts of prepared testimony from nine witnesses on behalf of SoCalGas.  On February 3, 2000, the Commission issued D.00-02-024, denying rehearing of the dismissal of SoCalGas’ January 1998 application to sell Montebello, but encouraging SoCalGas to file a new application for the same relief as soon as possible.  On April 20, 2000, SoCalGas filed A.00-04-031, which again requests authorization to sell the Montebello storage field.</w:t>
      </w:r>
    </w:p>
    <w:p>
      <w:pPr>
        <w:pStyle w:val="Normal"/>
        <w:spacing w:lineRule="auto" w:line="360"/>
        <w:ind w:firstLine="1080" w:end="0"/>
        <w:rPr/>
      </w:pPr>
      <w:r>
        <w:rPr/>
        <w:t>On May 2, 2000, an ALJ Proposed Decision was issued in I.99-04-022 (see Exhibit No.14, p.18).  By the time I.99-07-003 is decided, the Commission will be able to take notice of the outcome of I.99-04-022.  Pending a final resolution, SoCalGas notes that the PD was modified on June 30, 2000, and is next on the Commission’s agenda for July 20, 2000.  The PD as modified would approve the settlement submitted by CSD and SoCalGas in that case, subject to certain conditions.  Among other things, it would make clear that the settlement precludes SoCalGas having to pay any amount beyond that provided in the settlement because of any delay in the sale that may have occurred as a result of the actions of SoCalGas that are the subject of the OII – such as by taking the cost of the field out of rates retroactively.</w:t>
      </w:r>
    </w:p>
    <w:p>
      <w:pPr>
        <w:pStyle w:val="Normal"/>
        <w:spacing w:lineRule="auto" w:line="360"/>
        <w:ind w:firstLine="1080" w:end="0"/>
        <w:rPr/>
      </w:pPr>
      <w:r>
        <w:rPr/>
        <w:t xml:space="preserve">When the Commission dismissed the original application to sell the Montebello field in D.99-09-068, it also ordered that SoCalGas’ rates be subject to refund effective September 16, 1999, to the extent of the revenue requirement associated with the ownership and operation of the Montebello field.  D.99-09-068 stated at p.4:  “Therefore, we will order that rates collected due to Montebello after the effective date of this decision are subject to refund </w:t>
      </w:r>
      <w:r>
        <w:rPr>
          <w:u w:val="single"/>
        </w:rPr>
        <w:t>pending resolution of the Montebello matter</w:t>
      </w:r>
      <w:r>
        <w:rPr/>
        <w:t xml:space="preserve">.”[emphasis added]  Also, Conclusion of Law 1 stated:  “Rates related to the cost of maintaining Montebello should be subject to refund </w:t>
      </w:r>
      <w:r>
        <w:rPr>
          <w:u w:val="single"/>
        </w:rPr>
        <w:t>pending resolution of the disposition of Montebello</w:t>
      </w:r>
      <w:r>
        <w:rPr/>
        <w:t>.”[emphasis added]</w:t>
      </w:r>
    </w:p>
    <w:p>
      <w:pPr>
        <w:pStyle w:val="Normal"/>
        <w:spacing w:lineRule="auto" w:line="360"/>
        <w:ind w:firstLine="1080" w:end="0"/>
        <w:rPr/>
      </w:pPr>
      <w:r>
        <w:rPr/>
        <w:t xml:space="preserve">The only reasonable interpretation of D.99-09-068 is that the Commission expects that whether or not there will be a refund of the amount recovered in rates for Montebello back to September 1999 will be resolved in I.99-04-022 or A.00-04-031, or some combination of the two proceedings.  Both of these proceedings deal specifically with the Montebello storage field.  I.99-04-022 appears to be the “Montebello matter” referenced in D.99-09-068.  A.00-04-031 is the pending proceeding seeking resolution of the disposition of Montebello.  The Post-Interim Settlement is inconsistent with the terms of D.99-09-068 by attempting to resolve this issue in I.99-07-003.  Furthermore, the Post-Interim Settlement would take Montebello out of rates retroactively to September 1999, but it does </w:t>
      </w:r>
      <w:r>
        <w:rPr>
          <w:u w:val="single"/>
        </w:rPr>
        <w:t>not</w:t>
      </w:r>
      <w:r>
        <w:rPr/>
        <w:t xml:space="preserve"> resolve the disposition of the field.  It takes Montebello out of rates without granting SoCalGas the right to sell the field.  The Comprehensive Settlement is consistent with D.99-09-068 in deferring the resolution of the Montebello “subject to refund” issue to a proceeding specifically addressing the Montebello storage field.</w:t>
      </w:r>
    </w:p>
    <w:p>
      <w:pPr>
        <w:pStyle w:val="Normal"/>
        <w:spacing w:lineRule="auto" w:line="360"/>
        <w:ind w:firstLine="1080" w:end="0"/>
        <w:rPr/>
      </w:pPr>
      <w:r>
        <w:rPr/>
        <w:t>The proponents of the Post-Interim Settlement have not presented in I.99-07-003 any evidence justifying Section 5.2 on the basis of any alleged wrongful or unreasonable action by SoCalGas.  If the matter is not resolved in I.99-04-022 (which it will be if the present revised PD is adopted by the Commission), SoCalGas is prepared to litigate claims of alleged wrongful or unreasonable actions in A.00-04-031 or any other proceeding specifically addressing Montebello that the Commission may designate.</w:t>
      </w:r>
    </w:p>
    <w:p>
      <w:pPr>
        <w:pStyle w:val="Normal"/>
        <w:spacing w:lineRule="auto" w:line="360"/>
        <w:ind w:firstLine="1080" w:end="0"/>
        <w:rPr/>
      </w:pPr>
      <w:r>
        <w:rPr/>
        <w:t xml:space="preserve">It makes complete sense for the Commission to decide whether or not to order a Montebello refund retroactive to September 1999 in a proceeding </w:t>
      </w:r>
      <w:r>
        <w:rPr>
          <w:u w:val="single"/>
        </w:rPr>
        <w:t>other</w:t>
      </w:r>
      <w:r>
        <w:rPr/>
        <w:t xml:space="preserve"> than the present investigation.  If the outcome of that issue depends on whether SoCalGas acted wrongfully or unreasonably in acquiring property rights or in representations to the Commission, a complex factual situation must be assessed by the Commission.  There is no record on the subject in this investigation.</w:t>
      </w:r>
    </w:p>
    <w:p>
      <w:pPr>
        <w:pStyle w:val="Normal"/>
        <w:spacing w:lineRule="auto" w:line="360"/>
        <w:ind w:firstLine="1080" w:end="0"/>
        <w:rPr/>
      </w:pPr>
      <w:r>
        <w:rPr/>
        <w:t>If the outcome of this issue depends on whether or not the field is or has been used and useful, and what the appropriate ratemaking consequences are, there is a factual record that needs to be established on the use and need for the field and on the ratemaking environment.  Mr. Florio’s testimony at p.56 of Exhibit No.101 contains little more than a one-sentence assertion about the use of the field, citing to two pages in SoCalGas’ A.98-01-015.  But the Commission did not find the record in A.98-01-015 sufficient to order a refund in D.99-09-068, so how could mere citation to the record in that application be adequate in this investigation to support such an order?</w:t>
      </w:r>
    </w:p>
    <w:p>
      <w:pPr>
        <w:pStyle w:val="Normal"/>
        <w:spacing w:lineRule="auto" w:line="360"/>
        <w:ind w:firstLine="1080" w:end="0"/>
        <w:rPr/>
      </w:pPr>
      <w:r>
        <w:rPr/>
        <w:t>Out of an abundance of caution, Mr. Lorenz addressed in Exhibit No.14 at pp.19-21 the lack of merit of the claim (Ex.No.101, p.56) that the field should be retroactively removed from rates because it allegedly has not been used or useful since at least April of 1997.</w:t>
      </w:r>
    </w:p>
    <w:p>
      <w:pPr>
        <w:pStyle w:val="Normal"/>
        <w:spacing w:lineRule="auto" w:line="360"/>
        <w:ind w:firstLine="1080" w:end="0"/>
        <w:rPr/>
      </w:pPr>
      <w:r>
        <w:rPr/>
        <w:t>First, proponents of the Post-Interim Settlement are now making claims that are diametrically in opposition to what they told the Commission in SoCalGas original application for authority to sell Montebello.  SCGC’s opening brief in A.98-01-015 at p.3, filed December 28, 1998, as attached to Exhibit No.14 in this proceeding, stated as follows:</w:t>
      </w:r>
    </w:p>
    <w:p>
      <w:pPr>
        <w:pStyle w:val="Normal"/>
        <w:ind w:firstLine="720" w:end="0"/>
        <w:rPr/>
      </w:pPr>
      <w:r>
        <w:rPr/>
      </w:r>
    </w:p>
    <w:p>
      <w:pPr>
        <w:pStyle w:val="BlockText"/>
        <w:ind w:start="1080" w:end="1008"/>
        <w:rPr>
          <w:rFonts w:ascii="Courier New" w:hAnsi="Courier New" w:eastAsia="Courier New" w:cs="Courier New"/>
        </w:rPr>
      </w:pPr>
      <w:r>
        <w:rPr>
          <w:rFonts w:eastAsia="Courier New" w:cs="Courier New" w:ascii="Courier New" w:hAnsi="Courier New"/>
        </w:rPr>
        <w:t>SCGC also recommends that the Commission reject SoCalGas’ claim that it will have sufficient capacity without Montebello to meet its service obligations.  SoCalGas has failed to prove in this proceeding that it would have sufficient capacity after the sale of Montebello to meet its existing service obligations.</w:t>
      </w:r>
    </w:p>
    <w:p>
      <w:pPr>
        <w:pStyle w:val="Normal"/>
        <w:ind w:firstLine="720" w:start="720" w:end="720"/>
        <w:rPr>
          <w:rFonts w:ascii="Courier New" w:hAnsi="Courier New" w:eastAsia="Courier New" w:cs="Courier New"/>
        </w:rPr>
      </w:pPr>
      <w:r>
        <w:rPr>
          <w:rFonts w:eastAsia="Courier New" w:cs="Courier New"/>
        </w:rPr>
      </w:r>
    </w:p>
    <w:p>
      <w:pPr>
        <w:pStyle w:val="BodyText2"/>
        <w:ind w:firstLine="1080" w:end="0"/>
        <w:rPr/>
      </w:pPr>
      <w:r>
        <w:rPr/>
        <w:t>SCGC’s opening brief proceeded to suggest two “equally valid” options, one of which was to defer action on SoCalGas’ application to sell Montebello until the 1999 BCAP was decided.  SCGC’s reply brief filed January 6, 1999, (also attached as part of Exhibit No.14 in this proceeding) repeated this position.</w:t>
      </w:r>
    </w:p>
    <w:p>
      <w:pPr>
        <w:pStyle w:val="BodyText2"/>
        <w:ind w:firstLine="1080" w:end="0"/>
        <w:rPr/>
      </w:pPr>
      <w:r>
        <w:rPr/>
        <w:t xml:space="preserve">SCGC cannot have it both ways:  it cannot say in December 1998 and January 1999 in SoCalGas’ application for authority to sell Montebello that SoCalGas has failed to show that the field was not necessary or useful to the provision of utility service and that the evaluation of this issue should await the BCAP decision (which was issued in April, 2000), and then in this case say that cost of Montebello ought to be removed from rates retroactively to September 16, 1999, because the field allegedly has not been used or useful since before April </w:t>
      </w:r>
      <w:r>
        <w:rPr>
          <w:u w:val="single"/>
        </w:rPr>
        <w:t>1997</w:t>
      </w:r>
      <w:r>
        <w:rPr/>
        <w:t>.</w:t>
      </w:r>
    </w:p>
    <w:p>
      <w:pPr>
        <w:pStyle w:val="Normal"/>
        <w:spacing w:lineRule="auto" w:line="360"/>
        <w:ind w:firstLine="1080" w:end="0"/>
        <w:rPr/>
      </w:pPr>
      <w:r>
        <w:rPr/>
        <w:t>SoCalGas readily agrees that it believes that it is in the public interest for the Commission to allow it to sell or abandon the Montebello field.  SoCalGas has assiduously been trying to convince the Commission of this position since it filed A.98-01-015 in January of 1998.  But the fact is that SoCalGas’ position on whether the field was needed to meet SoCalGas’ public service obligations was a contested issue in A.98-01-015.  It was not only SCGC who contested whether the Commission should conclude that the field could be sold without impairing SoCalGas’ public service obligations; Southern California Edison Company presented testimony and briefed in A.98-01-015 opposing the Commission authorizing the sale of Montebello in that application.  The Commission has still not made any finding on whether SoCalGas needs the field to meet its public service obligations.  Yet the proponents of the Post-Interim Settlement would now have the Commission take the cost of Montebello out of rates retroactive to September 1999 on grounds it is not and has not been used and useful, when most of the signatories to the Post-Interim Settlement opposed such a finding when SoCalGas was seeking to authority to sell it.  The Commission should not and cannot put SoCalGas in the “double bind” of taking the field out of rates retroactively when the Commission has still not made a finding that the field is no longer necessary or useful for SoCalGas to meet its utility service obligations and allowing SoCalGas to sell the field.  (see Ex.No.14 at p.20).</w:t>
      </w:r>
    </w:p>
    <w:p>
      <w:pPr>
        <w:pStyle w:val="Normal"/>
        <w:spacing w:lineRule="auto" w:line="360"/>
        <w:ind w:firstLine="1080" w:end="0"/>
        <w:rPr/>
      </w:pPr>
      <w:r>
        <w:rPr/>
        <w:t>As Mr. Lorenz testified in Exhibit No.14 at pp.20-21:  the Montebello field in still used and useful today because SoCalGas continues to maintain the equipment and property rights at the field so that maximum value for ratepayers can be obtained, assuming the Commission eventually authorizes a sale.  SoCalGas has kept all its cushion gas (approximately 27 Bcf, of which over 23 Bcf may be economically recoverably) in the field and approximately 3 Bcf of working gas.  If this gas had been removed, the reservoir would have been damaged so that it would have been difficult or impossible for a purchaser to use it in the future as a commercial gas storage field.  SoCalGas’ action in maintaining the field serves the purpose both of maximizing the eventual sale price if the market places the highest value on field for commercial gas storage service, and preserves the potential that gas consumers could benefit from competition if the field is purchased by an operator who wants to provide commercial storage service in competition with SoCalGas’ unbundled storage services.</w:t>
      </w:r>
    </w:p>
    <w:p>
      <w:pPr>
        <w:pStyle w:val="Normal"/>
        <w:spacing w:lineRule="auto" w:line="360"/>
        <w:ind w:firstLine="1080" w:end="0"/>
        <w:rPr/>
      </w:pPr>
      <w:r>
        <w:rPr/>
        <w:t>Furthermore, the market price of gas has greatly escalated in recent months.  The value of the cushion gas in the Montebello field now is far higher than it was had it been sold in 1998 or 1999.  Thus, the maintenance of the field by SoCalGas to the present may make possible the realization of much higher benefits for ratepayers than if it had been sold at an earlier date.</w:t>
      </w:r>
    </w:p>
    <w:p>
      <w:pPr>
        <w:pStyle w:val="Normal"/>
        <w:spacing w:lineRule="auto" w:line="360"/>
        <w:ind w:firstLine="1080" w:end="0"/>
        <w:rPr/>
      </w:pPr>
      <w:r>
        <w:rPr/>
        <w:t xml:space="preserve">Section 5.2 of the Post-Interim Settlement is also inconsistent with SoCalGas’ currently-effective base rate PBR mechanism, as Mr. Lorenz testified in Exhibit No.14 at p.21.  In the PBR mechanism adopted in D.97-07-054, the Commission put SoCalGas at risk for managing both its rate base and its O&amp;M to meet pre-established productivity targets.  The Commission balanced providing proper incentives for shareholders with fairness to ratepayers by the adoption of an earnings sharing mechanism that is based on return earned on </w:t>
      </w:r>
      <w:r>
        <w:rPr>
          <w:u w:val="single"/>
        </w:rPr>
        <w:t>recorded</w:t>
      </w:r>
      <w:r>
        <w:rPr/>
        <w:t xml:space="preserve"> rate base.  This is the mechanism that is appropriate to reflect any benefits to ratepayers from the removal of Montebello from rate base, once it is sold, until the next PBR/Cost-of-Service cycle.</w:t>
      </w:r>
    </w:p>
    <w:p>
      <w:pPr>
        <w:pStyle w:val="Normal"/>
        <w:spacing w:lineRule="auto" w:line="360"/>
        <w:ind w:firstLine="1080" w:end="0"/>
        <w:rPr/>
      </w:pPr>
      <w:r>
        <w:rPr/>
        <w:t>The annual productivity factor included in annual rate adjustments for 1998 through the end of 2002 ramps up from 2.1% to 2.5% in the final year.  The annual productivity factor adopted by the Commission explicitly included a 1% factor for a decline in rate base forecast by the Commission in this period.  A reduction of 1% per year in authorized margin equates to approximately $13 million per year in revenue requirement, which would provide return, taxes and depreciation on approximately $80 per year in rate base.  Thus, over five years ending at the end of 2002, SoCalGas’ rates already have a $400 million in rate base reduction built into them over five years.  It would be unreasonable, and contrary to the Commission’s PBR decision, to remove the cost of Montebello from rates independently of the PBR mechanism given that the Commission has already set a large rate base reduction target and built it into the PBR mechanism.</w:t>
      </w:r>
    </w:p>
    <w:p>
      <w:pPr>
        <w:pStyle w:val="Normal"/>
        <w:spacing w:lineRule="auto" w:line="360"/>
        <w:ind w:firstLine="1080" w:end="0"/>
        <w:rPr/>
      </w:pPr>
      <w:r>
        <w:rPr/>
        <w:t>The signatories to the Comprehensive Settlement have agreed not to litigate the treatment of the Montebello field in I.99-07-003, but remain free to take any position on this issue in a proceeding specifically addressing Montebello.  The discussion of the merits of the issue in this brief are offered only in the case that the Commission decides not to approve the Comprehensive Settlement and to address the merits of Section 5.2 of the Post-Interim Settlement in this proceeding.  If the Commission approves the Comprehensive Settlement, then it should not address in this proceeding the sale or ratemaking treatment of the Montebello storage field.</w:t>
      </w:r>
    </w:p>
    <w:p>
      <w:pPr>
        <w:pStyle w:val="Normal"/>
        <w:spacing w:lineRule="auto" w:line="360"/>
        <w:rPr/>
      </w:pPr>
      <w:r>
        <w:rPr/>
      </w:r>
    </w:p>
    <w:p>
      <w:pPr>
        <w:pStyle w:val="Normal"/>
        <w:spacing w:lineRule="auto" w:line="360"/>
        <w:rPr/>
      </w:pPr>
      <w:r>
        <w:rPr/>
      </w:r>
    </w:p>
    <w:p>
      <w:pPr>
        <w:pStyle w:val="Normal"/>
        <w:spacing w:lineRule="auto" w:line="360"/>
        <w:rPr/>
      </w:pPr>
      <w:r>
        <w:rPr/>
      </w:r>
    </w:p>
    <w:p>
      <w:pPr>
        <w:pStyle w:val="Heading5"/>
        <w:jc w:val="center"/>
        <w:rPr/>
      </w:pPr>
      <w:r>
        <w:rPr/>
        <w:t>SOCALGAS CORE INTERSTATE PIPELINE CAPACITY UNBUNDLING</w:t>
      </w:r>
    </w:p>
    <w:p>
      <w:pPr>
        <w:pStyle w:val="Normal"/>
        <w:spacing w:lineRule="auto" w:line="360"/>
        <w:rPr/>
      </w:pPr>
      <w:r>
        <w:rPr/>
      </w:r>
    </w:p>
    <w:p>
      <w:pPr>
        <w:pStyle w:val="BodyText"/>
        <w:spacing w:lineRule="auto" w:line="360"/>
        <w:ind w:firstLine="720" w:end="0"/>
        <w:rPr>
          <w:rFonts w:ascii="Courier New" w:hAnsi="Courier New" w:eastAsia="Courier New" w:cs="Courier New"/>
        </w:rPr>
      </w:pPr>
      <w:r>
        <w:rPr>
          <w:rFonts w:eastAsia="Courier New" w:cs="Courier New" w:ascii="Courier New" w:hAnsi="Courier New"/>
        </w:rPr>
        <w:t>With respect to the promising option of unbundling core interstate capacity, which provides core customers the option of market-priced interstate capacity, while both the Post-Interim and Comprehensive Settlements propose such an outcome, the latter does so in a manner which is much more equitable for all core customers, whether they choose to take procurement service from an alternate provider or not.  In this regard, it is a belief shared by all, including the Commission, that the objective of unbundling interstate capacity costs from core rates will bring with it some degree of stranded costs, depending on the extent such an unbundling occurs and the market value, over time, of the interstate capacity for which the retail core is no longer obligated.  In light of the view expressed within both settlements that such stranded costs should be recovered entirely from within the core class by the third year of the term of either settlement, the potential for unfair allocation of those costs among core customer sub-groups clearly exists.  By imposing the costs which are stranded as a result of core capacity unbundling primarily on the customers who directly benefit from the lower cost market-based capacity rates which are made possible by the unbundling in the first place, it is the Comprehensive Settlement which more effectively minimizes the potential for an unfair allocation of such costs.</w:t>
      </w:r>
    </w:p>
    <w:p>
      <w:pPr>
        <w:pStyle w:val="BodyText"/>
        <w:spacing w:lineRule="auto" w:line="360"/>
        <w:ind w:firstLine="720" w:end="0"/>
        <w:rPr>
          <w:rFonts w:ascii="Courier New" w:hAnsi="Courier New" w:eastAsia="Courier New" w:cs="Courier New"/>
        </w:rPr>
      </w:pPr>
      <w:r>
        <w:rPr>
          <w:rFonts w:eastAsia="Courier New" w:cs="Courier New" w:ascii="Courier New" w:hAnsi="Courier New"/>
        </w:rPr>
        <w:t>For instance, while both settlements in the third year recover the stranded costs resulting from the unbundling of interstate capacity for core aggregators exclusively from within the core class, only the Comprehensive Settlement allocates those costs among residential and non-residential customers in approximately the same proportion that those sub-groups participate in the core aggregation program.  Thus, if 85% of the stranded costs created by the unbundling of core capacity is created as a result of non-residential customers who choose to take service from third-party providers, then non-residential customers collectively will pay that 85% share of total stranded costs.  Similarly, under the example, the remaining 15% of stranded costs attributable to residential customers would be allocated under the Comprehensive Settlement to the residential class as a whole.</w:t>
      </w:r>
    </w:p>
    <w:p>
      <w:pPr>
        <w:pStyle w:val="BodyText"/>
        <w:spacing w:lineRule="auto" w:line="360"/>
        <w:ind w:firstLine="720" w:end="0"/>
        <w:rPr/>
      </w:pPr>
      <w:r>
        <w:rPr>
          <w:rFonts w:eastAsia="Courier New" w:cs="Courier New" w:ascii="Courier New" w:hAnsi="Courier New"/>
        </w:rPr>
        <w:t xml:space="preserve">In contrast, because it assigns stranded costs on a 50/50 basis to both participating and non-participating customers alike, the Post-Interim Settlement’s approach to stranded cost recovery is </w:t>
      </w:r>
      <w:r>
        <w:rPr>
          <w:rFonts w:eastAsia="Courier New" w:cs="Courier New" w:ascii="Courier New" w:hAnsi="Courier New"/>
          <w:u w:val="single"/>
        </w:rPr>
        <w:t>per</w:t>
      </w:r>
      <w:r>
        <w:rPr>
          <w:rFonts w:eastAsia="Courier New" w:cs="Courier New" w:ascii="Courier New" w:hAnsi="Courier New"/>
        </w:rPr>
        <w:t xml:space="preserve"> </w:t>
      </w:r>
      <w:r>
        <w:rPr>
          <w:rFonts w:eastAsia="Courier New" w:cs="Courier New" w:ascii="Courier New" w:hAnsi="Courier New"/>
          <w:u w:val="single"/>
        </w:rPr>
        <w:t>se</w:t>
      </w:r>
      <w:r>
        <w:rPr>
          <w:rFonts w:eastAsia="Courier New" w:cs="Courier New" w:ascii="Courier New" w:hAnsi="Courier New"/>
        </w:rPr>
        <w:t xml:space="preserve"> inequitable because it ignores which core customers are actually switching to ESPs.  Thus, under the example above, while the Post-Interim Settlement would allocate the stranded costs on a 50/50 basis, to both participating and non-participating customers, the unfair result would be that 15% of the total core load (those who switched) would bear a vastly disproportionate share of the stranded costs compared to the much lighter burden imposed on the 85% of core load who have not switched.  </w:t>
      </w:r>
    </w:p>
    <w:p>
      <w:pPr>
        <w:pStyle w:val="BodyText"/>
        <w:spacing w:lineRule="auto" w:line="360"/>
        <w:ind w:firstLine="720" w:end="0"/>
        <w:rPr>
          <w:rFonts w:ascii="Courier New" w:hAnsi="Courier New" w:eastAsia="Courier New" w:cs="Courier New"/>
        </w:rPr>
      </w:pPr>
      <w:r>
        <w:rPr>
          <w:rFonts w:eastAsia="Courier New" w:cs="Courier New" w:ascii="Courier New" w:hAnsi="Courier New"/>
        </w:rPr>
        <w:t>Not only is the 50/50 approach advocated by the Post-Interim Settlement unfair on its face for its failure to consider actual penetration levels, it actually discourages customers from switching at all, especially at lower penetration levels, by subjecting those who do switch to a much greater allocation of stranded costs.</w:t>
      </w:r>
    </w:p>
    <w:p>
      <w:pPr>
        <w:pStyle w:val="BodyText"/>
        <w:spacing w:lineRule="auto" w:line="360"/>
        <w:rPr>
          <w:rFonts w:ascii="Courier New" w:hAnsi="Courier New" w:eastAsia="Courier New" w:cs="Courier New"/>
        </w:rPr>
      </w:pPr>
      <w:r>
        <w:rPr>
          <w:rFonts w:eastAsia="Courier New" w:cs="Courier New" w:ascii="Courier New" w:hAnsi="Courier New"/>
        </w:rPr>
        <w:tab/>
        <w:t>In addition to these shortcomings, the Post-Interim Settlement would also create additional inequities within the sub-groups to whom the stranded costs are first allocated on a 50/50 basis.  For instance, under the example above, after the Post-Interim Settlement first assigns 50% of total stranded costs to the 15% of total core load that has switched to third-party procurement, it then further apportions the stranded costs within that sub-group to residential and non-residential customers in the same proportion as their participation in the core aggregation program, a result which is most unfair to customers who, while they may belong to sub-classes with high switching rates, do not themselves switch.</w:t>
      </w:r>
    </w:p>
    <w:p>
      <w:pPr>
        <w:pStyle w:val="BodyText"/>
        <w:spacing w:lineRule="auto" w:line="360"/>
        <w:rPr>
          <w:rFonts w:ascii="Courier New" w:hAnsi="Courier New" w:eastAsia="Courier New" w:cs="Courier New"/>
        </w:rPr>
      </w:pPr>
      <w:r>
        <w:rPr>
          <w:rFonts w:eastAsia="Courier New" w:cs="Courier New" w:ascii="Courier New" w:hAnsi="Courier New"/>
        </w:rPr>
        <w:tab/>
        <w:t>TURN witness Florio, in support of the Post-Interim Settlement, conceded as much during cross-examination, agreeing that under present penetration levels the stranded cost surcharge borne by non-residential utility sales customers under the Post-Interim Settlement will be greater than the stranded cost surcharge applicable to residential utility sales customers (Tr. 2/118), thus apparently violating Mr. Florio’s own principle, as stated in his testimony, that the responsibility for stranded costs should be commensurate with the benefits received from capacity unbundling (Exhibit 101, p. 59).  Upon further questioning, witness Florio was unable to describe, much less justify, how it could be that non-residential utility sales customers might somehow derive more benefits from core capacity unbundling, and thus should pay a greater surcharge, than would be the case under his proposal for the residential customers he represents who take bundled service from the utility (Tr. 2/121).</w:t>
      </w:r>
    </w:p>
    <w:p>
      <w:pPr>
        <w:pStyle w:val="Footer"/>
        <w:tabs>
          <w:tab w:val="clear" w:pos="4320"/>
          <w:tab w:val="clear" w:pos="8640"/>
        </w:tabs>
        <w:spacing w:lineRule="auto" w:line="360"/>
        <w:rPr>
          <w:rFonts w:ascii="Courier New" w:hAnsi="Courier New" w:eastAsia="Courier New" w:cs="Courier New"/>
        </w:rPr>
      </w:pPr>
      <w:r>
        <w:rPr>
          <w:rFonts w:eastAsia="Courier New" w:cs="Courier New"/>
        </w:rPr>
      </w:r>
    </w:p>
    <w:p>
      <w:pPr>
        <w:pStyle w:val="BodyText"/>
        <w:jc w:val="center"/>
        <w:rPr>
          <w:rFonts w:ascii="Courier New" w:hAnsi="Courier New" w:eastAsia="Courier New" w:cs="Courier New"/>
          <w:b/>
          <w:bCs/>
        </w:rPr>
      </w:pPr>
      <w:r>
        <w:rPr>
          <w:rFonts w:eastAsia="Courier New" w:cs="Courier New" w:ascii="Courier New" w:hAnsi="Courier New"/>
          <w:b/>
          <w:bCs/>
        </w:rPr>
        <w:t>III. PROMISING “RETAIL” OPTIONS</w:t>
      </w:r>
    </w:p>
    <w:p>
      <w:pPr>
        <w:pStyle w:val="Normal"/>
        <w:spacing w:lineRule="auto" w:line="360" w:before="0" w:after="120"/>
        <w:rPr>
          <w:rFonts w:ascii="Courier New" w:hAnsi="Courier New" w:eastAsia="Courier New" w:cs="Courier New"/>
          <w:b/>
          <w:bCs/>
        </w:rPr>
      </w:pPr>
      <w:r>
        <w:rPr>
          <w:rFonts w:eastAsia="Courier New" w:cs="Courier New"/>
          <w:b/>
          <w:bCs/>
        </w:rPr>
      </w:r>
    </w:p>
    <w:p>
      <w:pPr>
        <w:pStyle w:val="Heading4"/>
        <w:ind w:hanging="0" w:start="0"/>
        <w:rPr>
          <w:rFonts w:ascii="Courier New" w:hAnsi="Courier New" w:eastAsia="Courier New" w:cs="Courier New"/>
        </w:rPr>
      </w:pPr>
      <w:r>
        <w:rPr>
          <w:rFonts w:eastAsia="Courier New" w:cs="Courier New" w:ascii="Courier New" w:hAnsi="Courier New"/>
        </w:rPr>
        <w:t>A.   Introduction</w:t>
      </w:r>
    </w:p>
    <w:p>
      <w:pPr>
        <w:pStyle w:val="BodyText2"/>
        <w:rPr/>
      </w:pPr>
      <w:r>
        <w:rPr/>
        <w:t xml:space="preserve">In Decision No. 99-07-015, the Commission identified a number of “promising options” which it believed could promote the continued restructuring of the California natural gas industry.  In addition to the capacity-related options addressed previously in this brief, the Comprehensive Settlement Agreement also addresses the retail options previously identified by the Commission as having promise for stimulating the availability of competitive benefits for residential and other small commercial and industrial customers, including more choices and lower costs.  Unlike the Post-Interim Settlement, which ignores altogether the promising retail options identified by the Commission, the Comprehensive Settlement addresses and implements each of the options, and it does so in a manner that optimizes the benefits from combining the capacity and retail-related promising options.  </w:t>
      </w:r>
    </w:p>
    <w:p>
      <w:pPr>
        <w:pStyle w:val="Normal"/>
        <w:spacing w:lineRule="auto" w:line="360"/>
        <w:rPr/>
      </w:pPr>
      <w:r>
        <w:rPr/>
        <w:tab/>
        <w:t>Viewed in conjunction with the additional operating flexibility made available for marketers under the agreed-upon capacity and storage unbundling provisions discussed earlier, it is clear from the uncontested evidence in the case that the retail portion of the Comprehensive Settlement promotes new and more expansive competitive opportunities in retail markets for all core customers and furthers the Commission’s goal of maximizing state-wide consistency in energy markets.  In particular, the retail portion of the Comprehensive Settlement balances the interests of all parties while creating value for all residential and small gas usage customers in the following ways:</w:t>
      </w:r>
    </w:p>
    <w:p>
      <w:pPr>
        <w:pStyle w:val="Normal"/>
        <w:numPr>
          <w:ilvl w:val="0"/>
          <w:numId w:val="4"/>
        </w:numPr>
        <w:tabs>
          <w:tab w:val="left" w:pos="0" w:leader="none"/>
          <w:tab w:val="left" w:pos="720" w:leader="none"/>
        </w:tabs>
        <w:spacing w:lineRule="auto" w:line="360" w:before="0" w:after="120"/>
        <w:ind w:hanging="720" w:start="1440" w:end="0"/>
        <w:rPr/>
      </w:pPr>
      <w:r>
        <w:rPr/>
        <w:t>Creates cost savings for all core customers, resulting in a net annual cost decrease to these customers of approximately $7.2 million.  Even at an assumed core aggregation program participation level of 10 percent by volume, the net benefit for residential customers receiving utility procurement service would still be approximately $2.7 million.</w:t>
      </w:r>
    </w:p>
    <w:p>
      <w:pPr>
        <w:pStyle w:val="Normal"/>
        <w:numPr>
          <w:ilvl w:val="0"/>
          <w:numId w:val="4"/>
        </w:numPr>
        <w:tabs>
          <w:tab w:val="left" w:pos="0" w:leader="none"/>
          <w:tab w:val="left" w:pos="720" w:leader="none"/>
        </w:tabs>
        <w:spacing w:lineRule="auto" w:line="360" w:before="0" w:after="120"/>
        <w:ind w:hanging="720" w:start="1440" w:end="0"/>
        <w:rPr/>
      </w:pPr>
      <w:r>
        <w:rPr/>
        <w:t>Creates an environment that enhances opportunities for energy suppliers to offer higher value and/or lower cost commodity services to natural gas consumers, thereby increasing the benefits of competition for core customers.</w:t>
      </w:r>
    </w:p>
    <w:p>
      <w:pPr>
        <w:pStyle w:val="Normal"/>
        <w:numPr>
          <w:ilvl w:val="0"/>
          <w:numId w:val="4"/>
        </w:numPr>
        <w:tabs>
          <w:tab w:val="left" w:pos="0" w:leader="none"/>
          <w:tab w:val="left" w:pos="720" w:leader="none"/>
        </w:tabs>
        <w:spacing w:lineRule="auto" w:line="360" w:before="0" w:after="120"/>
        <w:ind w:hanging="720" w:start="1440" w:end="0"/>
        <w:rPr/>
      </w:pPr>
      <w:r>
        <w:rPr/>
        <w:t>Enhances the benefits of energy industry restructuring by creating consistency with recently-adopted electric industry practices in California, thereby reducing customer confusion and potentially reducing administrative costs of energy suppliers.</w:t>
      </w:r>
    </w:p>
    <w:p>
      <w:pPr>
        <w:pStyle w:val="Normal"/>
        <w:numPr>
          <w:ilvl w:val="0"/>
          <w:numId w:val="4"/>
        </w:numPr>
        <w:tabs>
          <w:tab w:val="left" w:pos="0" w:leader="none"/>
          <w:tab w:val="left" w:pos="720" w:leader="none"/>
        </w:tabs>
        <w:spacing w:lineRule="auto" w:line="360" w:before="0" w:after="120"/>
        <w:ind w:hanging="720" w:start="1440" w:end="0"/>
        <w:rPr/>
      </w:pPr>
      <w:r>
        <w:rPr/>
        <w:t>Promotes competition for residential and small usage customers by reducing transactions costs incurred in serving small usage customers through the automation and improvement of efficiencies in the Customer Choice process.</w:t>
      </w:r>
    </w:p>
    <w:p>
      <w:pPr>
        <w:pStyle w:val="Normal"/>
        <w:numPr>
          <w:ilvl w:val="0"/>
          <w:numId w:val="4"/>
        </w:numPr>
        <w:tabs>
          <w:tab w:val="left" w:pos="0" w:leader="none"/>
          <w:tab w:val="left" w:pos="720" w:leader="none"/>
        </w:tabs>
        <w:spacing w:lineRule="auto" w:line="360" w:before="0" w:after="120"/>
        <w:ind w:hanging="720" w:start="1440" w:end="0"/>
        <w:rPr/>
      </w:pPr>
      <w:r>
        <w:rPr/>
        <w:t>Maintains the same high level of safe service that consumers rely upon.</w:t>
      </w:r>
    </w:p>
    <w:p>
      <w:pPr>
        <w:pStyle w:val="Normal"/>
        <w:numPr>
          <w:ilvl w:val="0"/>
          <w:numId w:val="4"/>
        </w:numPr>
        <w:tabs>
          <w:tab w:val="left" w:pos="0" w:leader="none"/>
          <w:tab w:val="left" w:pos="720" w:leader="none"/>
        </w:tabs>
        <w:spacing w:lineRule="auto" w:line="360" w:before="0" w:after="120"/>
        <w:ind w:hanging="360" w:start="1440" w:end="0"/>
        <w:rPr/>
      </w:pPr>
      <w:r>
        <w:rPr/>
        <w:t>Preserves the low costs currently enjoyed by natural gas consumers and results in no increase to presently-authorized levels of utility revenue requirement.</w:t>
      </w:r>
    </w:p>
    <w:p>
      <w:pPr>
        <w:pStyle w:val="WW-BodyText2"/>
        <w:rPr>
          <w:rFonts w:ascii="Courier New" w:hAnsi="Courier New" w:eastAsia="Courier New" w:cs="Courier New"/>
        </w:rPr>
      </w:pPr>
      <w:r>
        <w:rPr>
          <w:rFonts w:eastAsia="Courier New" w:cs="Courier New" w:ascii="Courier New" w:hAnsi="Courier New"/>
        </w:rPr>
        <w:t>(Exhibit No. 3, pp. 2-3.)</w:t>
      </w:r>
    </w:p>
    <w:p>
      <w:pPr>
        <w:pStyle w:val="WW-BodyText2"/>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585" w:start="585"/>
        <w:rPr>
          <w:rFonts w:ascii="Courier New" w:hAnsi="Courier New" w:eastAsia="Courier New" w:cs="Courier New"/>
          <w:b/>
          <w:bCs/>
        </w:rPr>
      </w:pPr>
      <w:r>
        <w:rPr>
          <w:rFonts w:eastAsia="Courier New" w:cs="Courier New" w:ascii="Courier New" w:hAnsi="Courier New"/>
          <w:b/>
          <w:bCs/>
        </w:rPr>
        <w:t>B.  The Promising Retail Options</w:t>
      </w:r>
    </w:p>
    <w:p>
      <w:pPr>
        <w:pStyle w:val="Normal"/>
        <w:spacing w:lineRule="auto" w:line="360" w:before="0" w:after="120"/>
        <w:rPr/>
      </w:pPr>
      <w:r>
        <w:rPr/>
        <w:tab/>
        <w:t>The Commission’s objective in this proceeding has been “to adopt reforms that emphasize market-oriented policies in the hopes of creating benefits for all California natural gas consumers.”  (OII. 99-07-003, p.1).  After receiving extensive testimony regarding a number of options and proposals for restructuring the natural gas industry in California, the Commission issued D.99-07-015 in which the Commission identified certain options that would “facilitate healthy competition . . . by clearing obstacles to the competitive offering of gas commodity, transmission, storage, balancing and other services for all customers.”  These so-called “Promising Options” from the retail perspective include elimination of the core aggregation participation cap, customer access to real-time consumption data, utility-provided billing options similar to those currently offered on the electric side, the option of a consolidated bill for gas and electricity so that customers of third-party commodity providers will not face duplicative charges for the billing function, re-examination of the utilities’ core procurement and default provider function, and more (D.99-07-015, pp. 49, 72</w:t>
        <w:noBreakHyphen/>
        <w:t>73, 84</w:t>
        <w:noBreakHyphen/>
        <w:t xml:space="preserve">86).  </w:t>
      </w:r>
    </w:p>
    <w:p>
      <w:pPr>
        <w:pStyle w:val="Heading2"/>
        <w:ind w:hanging="0" w:start="0"/>
        <w:jc w:val="start"/>
        <w:rPr>
          <w:rFonts w:ascii="Courier New" w:hAnsi="Courier New" w:eastAsia="Courier New" w:cs="Courier New"/>
        </w:rPr>
      </w:pPr>
      <w:r>
        <w:rPr>
          <w:rFonts w:eastAsia="Courier New" w:cs="Courier New" w:ascii="Courier New" w:hAnsi="Courier New"/>
        </w:rPr>
      </w:r>
    </w:p>
    <w:p>
      <w:pPr>
        <w:pStyle w:val="Heading2"/>
        <w:ind w:hanging="0" w:start="0"/>
        <w:jc w:val="start"/>
        <w:rPr>
          <w:rFonts w:ascii="Courier New" w:hAnsi="Courier New" w:eastAsia="Courier New" w:cs="Courier New"/>
        </w:rPr>
      </w:pPr>
      <w:r>
        <w:rPr>
          <w:rFonts w:eastAsia="Courier New" w:cs="Courier New" w:ascii="Courier New" w:hAnsi="Courier New"/>
        </w:rPr>
        <w:t>C.   Benefits and Costs of the Retail Measures</w:t>
      </w:r>
    </w:p>
    <w:p>
      <w:pPr>
        <w:pStyle w:val="BodyText2"/>
        <w:spacing w:before="0" w:after="120"/>
        <w:rPr/>
      </w:pPr>
      <w:r>
        <w:rPr/>
        <w:t>The Comprehensive Settlement is the only settlement pending in this proceeding that addresses the Commission’s promising “retail” options such as the aforementioned credits for ESP consolidated billing, availability of utility consolidated billing, meter ownership and AMR pilot, limits and thresholds on core aggregation, procurement brokerage fee, core subscription service, and the streamlining of utility processes for ESPs and customers electing core aggregation service, among others.  In stark contrast, the Post-Interim Settlement ignores altogether the promising retail options identified by the Commission and would seemingly do nothing to bring the benefits of retail competition to residential and other small usage customers.</w:t>
      </w:r>
    </w:p>
    <w:p>
      <w:pPr>
        <w:pStyle w:val="BodyText3"/>
        <w:tabs>
          <w:tab w:val="clear" w:pos="720"/>
          <w:tab w:val="left" w:pos="1080" w:leader="none"/>
        </w:tabs>
        <w:spacing w:lineRule="auto" w:line="240"/>
        <w:ind w:hanging="360" w:start="1080" w:end="0"/>
        <w:rPr>
          <w:rFonts w:ascii="Courier New" w:hAnsi="Courier New" w:eastAsia="Courier New" w:cs="Courier New"/>
        </w:rPr>
      </w:pPr>
      <w:r>
        <w:rPr>
          <w:rFonts w:eastAsia="Courier New" w:cs="Courier New" w:ascii="Courier New" w:hAnsi="Courier New"/>
        </w:rPr>
        <w:t>1.</w:t>
        <w:tab/>
        <w:t>Unlike the Post-Interim Settlement, the Comprehensive Settlement Addresses the Need to Make Retail Competition Available to Smaller Customers</w:t>
      </w:r>
    </w:p>
    <w:p>
      <w:pPr>
        <w:pStyle w:val="BodyText3"/>
        <w:tabs>
          <w:tab w:val="clear" w:pos="720"/>
          <w:tab w:val="left" w:pos="1080" w:leader="none"/>
        </w:tabs>
        <w:spacing w:lineRule="auto" w:line="240"/>
        <w:ind w:hanging="360" w:start="1080" w:end="0"/>
        <w:rPr>
          <w:rFonts w:ascii="Courier New" w:hAnsi="Courier New" w:eastAsia="Courier New" w:cs="Courier New"/>
        </w:rPr>
      </w:pPr>
      <w:r>
        <w:rPr>
          <w:rFonts w:eastAsia="Courier New" w:cs="Courier New" w:ascii="Courier New" w:hAnsi="Courier New"/>
        </w:rPr>
      </w:r>
    </w:p>
    <w:p>
      <w:pPr>
        <w:pStyle w:val="Normal"/>
        <w:spacing w:lineRule="auto" w:line="360"/>
        <w:ind w:firstLine="720" w:end="0"/>
        <w:rPr/>
      </w:pPr>
      <w:r>
        <w:rPr/>
        <w:t xml:space="preserve">To illustrate the need for change, it was observed by SoCalGas witness Nelson that there is currently only one ESP predominantly serving residential customers, compared to 14 ESPs serving core commercial and industrial (including master-meter residential accounts).  (Exhibit No. 3, p. 5).  Similarly, in the SDG&amp;E service area, witness Nelson observed that while there is only one ESP predominantly serving gas residential customers, there are seven ESPs serving core gas commercial and industrial, and master-meter residential accounts.  In recognition of these disparities, a primary goal of the retail measures included in the Comprehensive Settlement has been to stimulate competition to more effectively include residential natural gas consumers as the beneficiaries of more choices and lower costs to the extent that these same benefits are already enjoyed by larger, noncore customers.  </w:t>
      </w:r>
    </w:p>
    <w:p>
      <w:pPr>
        <w:pStyle w:val="Normal"/>
        <w:spacing w:lineRule="auto" w:line="360"/>
        <w:rPr/>
      </w:pPr>
      <w:r>
        <w:rPr/>
        <w:tab/>
        <w:t xml:space="preserve">For instance, by lifting the 10 percent volume penetration cap in the core transportation aggregation program, all core customers will have the opportunity to participate in the Commission-directed changes in the natural gas commodity marketplace.  Otherwise, the cap would likely be reached with fewer than one percent of core residential customers participating in the CTA program because marketers have focused on higher-volume customers, where margin opportunities are greatest.  By removing the cap, residential and other small usage customers will have access to the same benefits of customer choice that they have presently in the electric industry, promoting consistency in customer choice across fuels.  (Exhibit No. 3, p. 5).  </w:t>
      </w:r>
    </w:p>
    <w:p>
      <w:pPr>
        <w:pStyle w:val="BodyText2"/>
        <w:rPr/>
      </w:pPr>
      <w:r>
        <w:rPr/>
        <w:t xml:space="preserve">To date, the issue of a limit on participation has not been a matter of concern since the small customer segment has not been pursued by ESPs, primarily because the scale of transaction costs can easily overwhelm any savings achieved through the gas procurement activity, as the Commission noted in D.99-07-015, p. 57.  In the promising options, however, the Commission has anticipated, and now the Comprehensive Settlement has responded to the need to provide marketers with additional flexibility to better match the transportation, storage and balancing needs of their customers, without the impediment of unnecessarily high transactions costs in the residential and small business market segment which only creates barriers to the entry of ESPs.  </w:t>
      </w:r>
    </w:p>
    <w:p>
      <w:pPr>
        <w:pStyle w:val="Normal"/>
        <w:spacing w:lineRule="auto" w:line="360"/>
        <w:ind w:firstLine="720" w:end="0"/>
        <w:rPr/>
      </w:pPr>
      <w:r>
        <w:rPr/>
        <w:t>The retail portion of the Comprehensive Settlement addresses the need to reduce transactions costs in a number of important ways.  For example, as witness Nelson explained, by automating the Customer Choice process, adopting customer-account management rules to match the electric industry, and by improving the customer information electronic transfer process to match the electric industry, administrative cost-related barriers for ESPs to serve the residential and small business gas and electric segment are reduced.  (Exhibit No. 3, p. 6).  Similarly, by establishing utility consolidated billing as an option, ESPs not currently attracted to the California market, and for whom customer billing is either not a core competency or for whom the cost of acquiring a customer information system would otherwise be prohibitive, will now be incented to serve California’s small customer segment.  Likewise, by offering avoided cost billing credits that, when combined with electric credits, more ESPs who do provide consolidated billing will be encouraged to serve the residential and small business segment.  By creating more attractive competitive opportunities in core residential markets, SoCalGas and SDG&amp;E believe that the beneficiaries will be smaller customers, thereby increasing downward competitive pressures on prices and maximizing incentives to offer new higher-valued products and services.  For example, following the development of a more competitive market, customers will be in a position from which they can engage in comparison shopping for natural gas (and electricity), and marketers in turn would be forced to compete on the basis of price and value to obtain new customers.</w:t>
      </w:r>
    </w:p>
    <w:p>
      <w:pPr>
        <w:pStyle w:val="BodyText2"/>
        <w:rPr/>
      </w:pPr>
      <w:r>
        <w:rPr/>
        <w:t>SoCalGas witness Nelson also expressed his belief that an increase in competition can stimulate an increase in the number and variety of products from which customers can choose, and provide the incentive for new and innovative products and services to develop.  As Mr. Nelson pointed out, analysis of other deregulated industries confirms that these types of benefits have substantial economic value to consumers.  For instance, gas procured by the utility is limited by the Commission to a single monthly price in California, but in the gas commodity markets in other states, there are a myriad of price offers including monthly pricing, quarterly pricing, annual, three-year, and even five-year fixed prices made available to customers by third parties.  (Exhibit No. 3, p. 7).  By stimulating competition, the Comprehensive Settlement will increase the ability of ESPs to offer these types of products to residential and small business market segments as they are in other areas of the country and is currently the case for larger customers served by ESPs in California.</w:t>
      </w:r>
    </w:p>
    <w:p>
      <w:pPr>
        <w:pStyle w:val="Normal"/>
        <w:spacing w:lineRule="auto" w:line="360"/>
        <w:ind w:firstLine="720" w:end="0"/>
        <w:rPr/>
      </w:pPr>
      <w:r>
        <w:rPr/>
        <w:t xml:space="preserve">In different ways, other retail measures included in the Comprehensive Settlement also encourage innovation in California gas markets.  For example, opportunities are created for the benefits of a “trial and error” approach in testing out new technologies that may have large but currently unknown benefits, such as the pilot meter customer-ownership program.  As witness Nelson explained, this program will allow new technologies for recording and analyzing customer gas usage data to determine if benefits can be provided to customers in energy management that outweigh the substantial cost of changing the traditional way of metering usage.  </w:t>
      </w:r>
    </w:p>
    <w:p>
      <w:pPr>
        <w:pStyle w:val="BodyText2"/>
        <w:rPr/>
      </w:pPr>
      <w:r>
        <w:rPr/>
        <w:t>Overall, while the measures proposed in the Comprehensive Settlement implementing the promising retail options identified by the Commission clearly provide substantial benefits for both small core customers and ESPs, measures which have been effectively ignored by the Post-Interim Settlement, these changes do not modify in any fundamental way the existing core aggregation program through which the public has been provided an alternative to utility commodity procurement for the past nine years.  For example, the Comprehensive Settlement does not alter in any way the right of any customer to take commodity service from either the utility or a qualifying ESP in the CTA program.  (Exhibit No. 3, p. 8).</w:t>
      </w:r>
    </w:p>
    <w:p>
      <w:pPr>
        <w:pStyle w:val="Normal"/>
        <w:spacing w:lineRule="auto" w:line="360" w:before="0" w:after="120"/>
        <w:ind w:firstLine="720" w:end="0"/>
        <w:rPr/>
      </w:pPr>
      <w:r>
        <w:rPr/>
      </w:r>
    </w:p>
    <w:p>
      <w:pPr>
        <w:pStyle w:val="BodyText3"/>
        <w:tabs>
          <w:tab w:val="clear" w:pos="720"/>
          <w:tab w:val="left" w:pos="1080" w:leader="none"/>
        </w:tabs>
        <w:spacing w:lineRule="auto" w:line="240"/>
        <w:ind w:hanging="360" w:start="1080" w:end="0"/>
        <w:rPr>
          <w:rFonts w:ascii="Courier New" w:hAnsi="Courier New" w:eastAsia="Courier New" w:cs="Courier New"/>
        </w:rPr>
      </w:pPr>
      <w:r>
        <w:rPr>
          <w:rFonts w:eastAsia="Courier New" w:cs="Courier New" w:ascii="Courier New" w:hAnsi="Courier New"/>
        </w:rPr>
        <w:t>2.</w:t>
        <w:tab/>
        <w:t>The Costs to Implement the Retail Promising Options are not Only Modest but Will be Deferred Until a Future Proceeding</w:t>
      </w:r>
    </w:p>
    <w:p>
      <w:pPr>
        <w:pStyle w:val="BodyText2"/>
        <w:rPr/>
      </w:pPr>
      <w:r>
        <w:rPr/>
        <w:t xml:space="preserve">The cost to implement the automated customer switching and customer account management systems is estimated at $7.1 million for a joint system for both SoCalGas and SDG&amp;E.  (Exhibit No. 3, p. 8).  This investment was unchallenged during the proceedings and is necessary to assure speedy transfer of customers to their new suppliers, to provide customer information transfer to the ESPs in an efficient manner, and to automate customer account management functions.  In addition, witness Nelson explained that the cost to implement utility consolidated billing will approximate $4.4 million for SoCalGas and $0.7 million for SDG&amp;E.  These costs were also unchallenged and clearly necessary in order to modify the existing computer-based customer information systems to track revenues for multiple ESPs in addition to the utility, as well as to modify the customer bill calculation, bill presentment and collections processes.  (Exhibit No. 3, p. 8).  </w:t>
      </w:r>
    </w:p>
    <w:p>
      <w:pPr>
        <w:pStyle w:val="Normal"/>
        <w:spacing w:lineRule="auto" w:line="360"/>
        <w:ind w:firstLine="720" w:end="0"/>
        <w:rPr/>
      </w:pPr>
      <w:r>
        <w:rPr/>
        <w:t xml:space="preserve">In assessing the impact of the costs identified for automating the computer systems, it is well to note that the total cost estimate of $12.5 million for both SoCalGas and SDG&amp;E compares favorably to the $25 to $30 million in systems development and implementation capital expenditures authorized by the Commission individually for Southern California Edison Company and Pacific Gas and Electric Company to implement similar computer modifications as part of electric industry restructuring.  For the electric industry, the Legislature and the Commission found that the substantial expected benefits to all customers as a result of Customer Choice greatly outweighed the admittedly significant costs necessary to implement measures to enable competition.  That same logic applies equally well to the gas industry.  </w:t>
      </w:r>
    </w:p>
    <w:p>
      <w:pPr>
        <w:pStyle w:val="BodyText2"/>
        <w:rPr/>
      </w:pPr>
      <w:r>
        <w:rPr/>
        <w:t xml:space="preserve">As to the actual process of recovering the costs of such investments, and in order to provide further significant benefits to core customers, SoCalGas and SDG&amp;E have agreed as part of the Comprehensive Settlement to fund the entire $12.5 million of capital investments without increasing authorized based margin until their next PBRs or other cost of service proceedings re-establishing authorized based margin, at which time the signatories to the Comprehensive Settlement agree that such investments shall be deemed reasonable and reflected in rates.  (Exhibit No. 1, Sec. 1.6.1.2).  The Comprehensive Settlement also provides that the on-going operations and maintenance (O&amp;M) costs related to these investments shall not be recovered by the utilities until their next PBRs or other cost of service proceedings re-establishing authorized base margin, at such time the parties may contest whether specific costs for such future periods are reasonably incurred.  (Exhibit No. 1, Part I, Section 1.6.1.2).  As a result, ratepayers will see no rate increase to implement the retail portion of the Comprehensive Settlement until the next PBRs or other proceedings re-establishing base margin for SoCalGas and SDG&amp;E.  (Exhibit No. 3, p.9).  </w:t>
      </w:r>
    </w:p>
    <w:p>
      <w:pPr>
        <w:pStyle w:val="Normal"/>
        <w:spacing w:lineRule="auto" w:line="360" w:before="0" w:after="120"/>
        <w:ind w:firstLine="720" w:end="0"/>
        <w:rPr/>
      </w:pPr>
      <w:r>
        <w:rPr/>
      </w:r>
    </w:p>
    <w:p>
      <w:pPr>
        <w:pStyle w:val="Normal"/>
        <w:spacing w:lineRule="auto" w:line="360" w:before="0" w:after="120"/>
        <w:ind w:firstLine="720" w:end="0"/>
        <w:rPr/>
      </w:pPr>
      <w:r>
        <w:rPr/>
        <w:t>//</w:t>
      </w:r>
    </w:p>
    <w:p>
      <w:pPr>
        <w:pStyle w:val="Normal"/>
        <w:spacing w:lineRule="auto" w:line="360" w:before="0" w:after="120"/>
        <w:ind w:firstLine="720" w:end="0"/>
        <w:rPr/>
      </w:pPr>
      <w:r>
        <w:rPr/>
      </w:r>
    </w:p>
    <w:p>
      <w:pPr>
        <w:pStyle w:val="Normal"/>
        <w:spacing w:lineRule="auto" w:line="360" w:before="0" w:after="120"/>
        <w:ind w:firstLine="720" w:end="0"/>
        <w:rPr/>
      </w:pPr>
      <w:r>
        <w:rPr/>
        <w:t>//</w:t>
      </w:r>
    </w:p>
    <w:p>
      <w:pPr>
        <w:pStyle w:val="BodyText"/>
        <w:numPr>
          <w:ilvl w:val="0"/>
          <w:numId w:val="5"/>
        </w:numPr>
        <w:tabs>
          <w:tab w:val="clear" w:pos="720"/>
          <w:tab w:val="left" w:pos="0" w:leader="none"/>
        </w:tabs>
        <w:spacing w:lineRule="auto" w:line="240"/>
        <w:ind w:hanging="360" w:start="994" w:end="0"/>
        <w:rPr>
          <w:rFonts w:ascii="Courier New" w:hAnsi="Courier New" w:eastAsia="Courier New" w:cs="Courier New"/>
          <w:b/>
          <w:bCs/>
        </w:rPr>
      </w:pPr>
      <w:r>
        <w:rPr>
          <w:rFonts w:eastAsia="Courier New" w:cs="Courier New" w:ascii="Courier New" w:hAnsi="Courier New"/>
          <w:b/>
          <w:bCs/>
        </w:rPr>
        <w:t>Specific Promising Options Addressed in the Comprehensive Settlement</w:t>
      </w:r>
    </w:p>
    <w:p>
      <w:pPr>
        <w:pStyle w:val="BodyText"/>
        <w:rPr>
          <w:rFonts w:ascii="Courier New" w:hAnsi="Courier New" w:eastAsia="Courier New" w:cs="Courier New"/>
          <w:b/>
          <w:bCs/>
        </w:rPr>
      </w:pPr>
      <w:r>
        <w:rPr>
          <w:rFonts w:eastAsia="Courier New" w:cs="Courier New" w:ascii="Courier New" w:hAnsi="Courier New"/>
          <w:b/>
          <w:bCs/>
        </w:rPr>
      </w:r>
    </w:p>
    <w:p>
      <w:pPr>
        <w:pStyle w:val="Heading3"/>
        <w:tabs>
          <w:tab w:val="clear" w:pos="720"/>
        </w:tabs>
        <w:ind w:firstLine="630" w:start="0" w:end="0"/>
        <w:rPr>
          <w:rFonts w:ascii="Courier New" w:hAnsi="Courier New" w:eastAsia="Courier New" w:cs="Courier New"/>
          <w:b/>
          <w:bCs/>
        </w:rPr>
      </w:pPr>
      <w:r>
        <w:rPr>
          <w:rFonts w:eastAsia="Courier New" w:cs="Courier New" w:ascii="Courier New" w:hAnsi="Courier New"/>
          <w:b/>
          <w:bCs/>
        </w:rPr>
        <w:t>1. Eliminate Core Aggregation Volume Cap</w:t>
      </w:r>
    </w:p>
    <w:p>
      <w:pPr>
        <w:pStyle w:val="Normal"/>
        <w:spacing w:lineRule="auto" w:line="360"/>
        <w:ind w:firstLine="1080" w:end="0"/>
        <w:rPr/>
      </w:pPr>
      <w:r>
        <w:rPr/>
        <w:t>Under current Commission rules, a 10 percent core participation cap is presently imposed upon each utility, thus limiting the percentage of total core market share by volume that can be served by CTA program marketers on the SoCalGas and SDG&amp;E systems.  From the inception of the program in 1991 through 1998, customer participation has been fairly stable on the SoCalGas system, ranging from approximately 7,000 to 9,000 customers and representing about four percent of core market volume.  At present, there are more than 24,000 SoCalGas customers participating in the CTA program, representing 4.3 percent of total core volume.  This increase in customer participation is attributed to residential customers who have recently joined the program.  On the SDG&amp;E system, there are currently almost 3,000 customers, representing 3.8 percent of core volume, participating in the CTA program. (Exhibit No. 3, pp.9-10).</w:t>
      </w:r>
    </w:p>
    <w:p>
      <w:pPr>
        <w:pStyle w:val="Normal"/>
        <w:spacing w:lineRule="auto" w:line="360"/>
        <w:ind w:firstLine="1080" w:end="0"/>
        <w:rPr/>
      </w:pPr>
      <w:r>
        <w:rPr/>
        <w:t>At the present time, the customer choice processing and customer-account management functions are primarily manual operations which were designed to handle low customer participation levels in the relatively stable environment which was expected as long as the 10 percent volume cap was in place.  Thus, at the time the computer-based business systems to manage the CTA program were developed in 1991, there was no reason to anticipate the Commission’s current objective to stimulate the market and to increase CTA market share beyond the 10 percent cap and it was surely not anticipated that large numbers of residential customers would be encouraged to participate, given the obstacles that existed.  Now, however, the capacity-related portions as well as the customer billing provisions of the Comprehensive Settlement are expected to create a significant resurgence of interest in the CTA program, both by customers and ESPs.  Thus, the first order of business in stimulating the availability of customer choice to residential and other small usage customers should be to eliminate the 10 percent volume cap to insure that no core customers are precluded from enjoying the benefits of competition.</w:t>
      </w:r>
    </w:p>
    <w:p>
      <w:pPr>
        <w:pStyle w:val="Normal"/>
        <w:spacing w:lineRule="auto" w:line="360"/>
        <w:ind w:firstLine="1080" w:end="0"/>
        <w:rPr/>
      </w:pPr>
      <w:r>
        <w:rPr/>
        <w:t xml:space="preserve">Thereafter, for the benefits of competition to be enjoyed by a greater number of smaller customers, the data management systems necessary to transfer them efficiently to unbundled service must be developed and in place.  As a result, the customer-switching and customer information transfer processes must be standardized and automated to make the switch quickly and error-free, to create confidence in the program, and to minimize transactions costs.  The Comprehensive Settlement endorses the principle that the gas utilities should move toward standards and requirements generally mirroring the electric utility Direct Access Service Request (DASR) standards and requirements.  It is desirable for reasons that are obvious for ESPs to have only one set of rules and standards across both gas and electricity to the extent possible to encourage more energy suppliers to participate in the CTA program and to serve small usage customers.  </w:t>
      </w:r>
    </w:p>
    <w:p>
      <w:pPr>
        <w:pStyle w:val="Normal"/>
        <w:spacing w:lineRule="auto" w:line="360"/>
        <w:ind w:firstLine="1080" w:end="0"/>
        <w:rPr/>
      </w:pPr>
      <w:r>
        <w:rPr/>
        <w:t xml:space="preserve">Thus, for greater core penetration levels to become a reality, both SoCalGas and SDG&amp;E must automate their computer-based business systems in order to accommodate the anticipated higher volume of core customer participation, and to provide an account maintenance system to transfer the information associated with customers who switch to their respective ESPs.  A new Service Request/Account Management system would also be established to facilitate the exchange of customer and billing information between the ESPs and the utilities.  The system would be a joint system shared by both companies and would be fully automated to include electronic DASR transmittal and processing, a DASR management data base with information reporting functions, and customer account maintenance transactions.  </w:t>
      </w:r>
    </w:p>
    <w:p>
      <w:pPr>
        <w:pStyle w:val="Normal"/>
        <w:spacing w:lineRule="auto" w:line="360" w:before="0" w:after="120"/>
        <w:rPr/>
      </w:pPr>
      <w:r>
        <w:rPr/>
      </w:r>
    </w:p>
    <w:p>
      <w:pPr>
        <w:pStyle w:val="Normal"/>
        <w:spacing w:lineRule="auto" w:line="360" w:before="0" w:after="120"/>
        <w:ind w:firstLine="630" w:end="0"/>
        <w:rPr/>
      </w:pPr>
      <w:r>
        <w:rPr>
          <w:b/>
          <w:bCs/>
        </w:rPr>
        <w:t>2. Customer-Specific Consumption Data</w:t>
      </w:r>
      <w:r>
        <w:rPr/>
        <w:t xml:space="preserve"> </w:t>
      </w:r>
    </w:p>
    <w:p>
      <w:pPr>
        <w:pStyle w:val="Normal"/>
        <w:spacing w:lineRule="auto" w:line="360" w:before="0" w:after="120"/>
        <w:ind w:firstLine="1080" w:end="0"/>
        <w:rPr/>
      </w:pPr>
      <w:r>
        <w:rPr/>
        <w:t xml:space="preserve">While ESPs are generally satisfied with the present availability of customer consumption data, they seek improvements in the information delivery and data presentation options currently available.  Specifically, ESPs desire that the utilities furnish consumption data in consistent formats across different contexts.  (Exhibit No. 3, p. 12).  As a result, while SoCalGas customers already have access to information regarding their own gas usage through a variety of sources, and while SDG&amp;E customers already have access to usage information through similar sources, the parties to the Comprehensive Settlement have agreed to make available to ESPs for gas customers the same universe of usage data presently made available electronically to electric service providers in SDG&amp;E’s service territory.  In addition, SoCalGas and SDG&amp;E have agreed under the Comprehensive Settlement to convene data access workshops in order to reach agreement with ESPs and other interested parties regarding improved access and delivery procedures.  By coordinating the development of improved delivery options and data presentation regarding customer consumption data, with the development of the new Service Request/Account Management systems, it will be possible to integrate all of the necessary business systems upgrades at one time.  Furthermore, in working with ESPs to develop standards for data transfer at the time the computer systems are being developed, future programming costs will be reduced.  To the extent possible, SoCalGas and SDG&amp;E agree to work with customers and/or ESPs to provide customer-specific information, consistent with consumer protection and privacy considerations.  Customers and/or ESPs will pay the reasonable costs of any requests for such information.  Information related to the calculation of transportation bills and historical consumption will remain with the utilities, so there will be no safety impacts in the provision of information to customers.  </w:t>
      </w:r>
    </w:p>
    <w:p>
      <w:pPr>
        <w:pStyle w:val="Normal"/>
        <w:spacing w:lineRule="auto" w:line="360" w:before="0" w:after="120"/>
        <w:ind w:firstLine="720" w:end="0"/>
        <w:rPr/>
      </w:pPr>
      <w:r>
        <w:rPr/>
      </w:r>
    </w:p>
    <w:p>
      <w:pPr>
        <w:pStyle w:val="Heading4"/>
        <w:ind w:firstLine="630" w:start="0" w:end="0"/>
        <w:rPr>
          <w:rFonts w:ascii="Courier New" w:hAnsi="Courier New" w:eastAsia="Courier New" w:cs="Courier New"/>
        </w:rPr>
      </w:pPr>
      <w:r>
        <w:rPr>
          <w:rFonts w:eastAsia="Courier New" w:cs="Courier New" w:ascii="Courier New" w:hAnsi="Courier New"/>
        </w:rPr>
        <w:t>3. Utility Consolidated Billing</w:t>
      </w:r>
    </w:p>
    <w:p>
      <w:pPr>
        <w:pStyle w:val="Normal"/>
        <w:spacing w:lineRule="auto" w:line="360"/>
        <w:ind w:firstLine="1080" w:end="0"/>
        <w:rPr/>
      </w:pPr>
      <w:r>
        <w:rPr/>
        <w:t>Currently, ESPs who sell gas to residential and small commercial customers have two billing options open to them.  The first is for the ESP to bill for the gas commodity and have the utility bill for its own gas transportation charges.  The second option is for the ESP to bill for both its own gas procurement service as well as the utility’s transportation service.  A third potential billing option, utility consolidated billing, where the utility would bill for both transportation service and the ESP’s gas commodity is not presently available.  This third option is available to the ESPs for sales of electricity, and the Commission has identified such a choice as a promising option for the gas industry.</w:t>
      </w:r>
    </w:p>
    <w:p>
      <w:pPr>
        <w:pStyle w:val="Normal"/>
        <w:spacing w:lineRule="auto" w:line="360"/>
        <w:ind w:firstLine="1080" w:end="0"/>
        <w:rPr/>
      </w:pPr>
      <w:r>
        <w:rPr/>
        <w:t xml:space="preserve">The option of utility consolidated billing, combined with restructuring of upstream transmission and storage operations, can have a significant impact on competition.  For instance, witness Nelson observed that in Ohio almost 100 percent of small customers who have switched to an ESP are served by suppliers who opted for utility consolidated billing.  (Exhibit No. 3, p.14).  As a result, the parties to the Comprehensive Settlement believe that the utility consolidated billing option will bring new ESPs into the Southern California marketplace to serve the residential and small business segment as experienced in Ohio.  </w:t>
      </w:r>
    </w:p>
    <w:p>
      <w:pPr>
        <w:pStyle w:val="WW-BodyText2"/>
        <w:spacing w:before="0" w:after="0"/>
        <w:ind w:firstLine="1080" w:end="0"/>
        <w:rPr>
          <w:rFonts w:ascii="Courier New" w:hAnsi="Courier New" w:eastAsia="Courier New" w:cs="Courier New"/>
        </w:rPr>
      </w:pPr>
      <w:r>
        <w:rPr>
          <w:rFonts w:eastAsia="Courier New" w:cs="Courier New" w:ascii="Courier New" w:hAnsi="Courier New"/>
        </w:rPr>
        <w:t xml:space="preserve">Unfortunately, for a number of reasons, the current SoCalGas gas billing system is not designed to provide utility consolidated billing.  For example, SoCalGas cannot currently receive rate or bill information electronically from outside service providers, or reflect those charges on the bill.  The current SoCalGas billing system also cannot track non-utility procurement charges to insure ESP funds are properly processed and disbursed.  Thus, as witness Nelson observed, the extent of changes to the gas billing system for SoCalGas is expected to be on the same order of magnitude as the electric companies experienced in electric industry restructuring.  The required changes are less extensive for SDG&amp;E because it already offers consolidated billing for electricity and has made extensive revisions to its customer information systems.  Nevertheless, as noted below, there are still costs to implement utility consolidated billing for SDG&amp;E.  (Exhibit No. 3, p.15).  </w:t>
      </w:r>
    </w:p>
    <w:p>
      <w:pPr>
        <w:pStyle w:val="Normal"/>
        <w:spacing w:lineRule="auto" w:line="360"/>
        <w:ind w:firstLine="1080" w:end="0"/>
        <w:rPr/>
      </w:pPr>
      <w:r>
        <w:rPr/>
        <w:t>As part of the total capital investment necessary to implement the retail measures, the investment necessary to offer utility consolidated billing is estimated to amount to $4.4 million in systems development costs for SoCalGas.  For SDG&amp;E, the capital investment necessary to offer utility consolidated billing for gas is $0.7 million.  Related one-time O&amp;M costs include the development of materials and training for Billing, Phone Center, Credit and Order Processing personnel on new processes and system changes.  The total of these one-time O&amp;M costs is expected to be $920,000 for SoCalGas and $200,000 for SDG&amp;E.</w:t>
      </w:r>
    </w:p>
    <w:p>
      <w:pPr>
        <w:pStyle w:val="Normal"/>
        <w:spacing w:lineRule="auto" w:line="360" w:before="0" w:after="120"/>
        <w:rPr/>
      </w:pPr>
      <w:r>
        <w:rPr/>
      </w:r>
    </w:p>
    <w:p>
      <w:pPr>
        <w:pStyle w:val="Heading4"/>
        <w:ind w:firstLine="630" w:start="0" w:end="0"/>
        <w:rPr>
          <w:rFonts w:ascii="Courier New" w:hAnsi="Courier New" w:eastAsia="Courier New" w:cs="Courier New"/>
        </w:rPr>
      </w:pPr>
      <w:r>
        <w:rPr>
          <w:rFonts w:eastAsia="Courier New" w:cs="Courier New" w:ascii="Courier New" w:hAnsi="Courier New"/>
        </w:rPr>
        <w:t>4. Terminate Information-Only Bill Requirement</w:t>
      </w:r>
    </w:p>
    <w:p>
      <w:pPr>
        <w:pStyle w:val="Normal"/>
        <w:spacing w:lineRule="auto" w:line="360" w:before="0" w:after="120"/>
        <w:ind w:firstLine="1080" w:end="0"/>
        <w:rPr/>
      </w:pPr>
      <w:r>
        <w:rPr/>
        <w:t>Another difference currently between the electric industry and the natural gas industry is the Commission-ordered practice for the gas utility to send the customer an “information-only” bill under the CTA program if an ESP performs consolidated billing.  While this procedure protects consumers, the same protection can be afforded at a far lesser cost by means of the provisions in the Comprehensive Settlement.  (Exhibit No. 3, p.16).  For those ESPs who provide consolidated CTA billing to their customers, and are willing as well to provide information regarding the monthly detail of utility gas transportation charges, and are also willing to furnish the requisite bill inserts and customer protection materials in each end-user bill, the Comprehensive Settlement provides that the requirement for an information-only bill can be discontinued.  In circumstances where ESPs are willing to commit to the above conditions, the consumer is fully protected in being provided the detail of utility rates and charges, and by receiving all of the same materials that otherwise would have been received directly from the utility in the form of an information-only bill.  By not sending the information-only bill, the utility saves the postage, materials, and other costs which can then be passed on to the consumer through the billing credit allowed to the ESP for costs avoided by the utility.  (Discussed below).  The approach adopted in the Comprehensive Settlement is consistent with the requirements for consolidated ESP billing in the electric industry.</w:t>
      </w:r>
    </w:p>
    <w:p>
      <w:pPr>
        <w:pStyle w:val="Normal"/>
        <w:spacing w:lineRule="auto" w:line="360" w:before="0" w:after="120"/>
        <w:rPr/>
      </w:pPr>
      <w:r>
        <w:rPr/>
      </w:r>
    </w:p>
    <w:p>
      <w:pPr>
        <w:pStyle w:val="Heading4"/>
        <w:ind w:firstLine="630" w:start="0" w:end="0"/>
        <w:rPr>
          <w:rFonts w:ascii="Courier New" w:hAnsi="Courier New" w:eastAsia="Courier New" w:cs="Courier New"/>
        </w:rPr>
      </w:pPr>
      <w:r>
        <w:rPr>
          <w:rFonts w:eastAsia="Courier New" w:cs="Courier New" w:ascii="Courier New" w:hAnsi="Courier New"/>
        </w:rPr>
        <w:t>5. ESP Consolidated Billing Avoided Cost Credits</w:t>
      </w:r>
    </w:p>
    <w:p>
      <w:pPr>
        <w:pStyle w:val="Normal"/>
        <w:spacing w:lineRule="auto" w:line="360" w:before="0" w:after="120"/>
        <w:ind w:firstLine="1080" w:end="0"/>
        <w:rPr/>
      </w:pPr>
      <w:r>
        <w:rPr/>
        <w:t xml:space="preserve">In cases where an ESP elects to perform consolidated billing on behalf of the utility, the utility avoids costs in the areas of bill distribution, remittance processing, collections, uncollectible expenses, and billing inquiries.  To date, however, ESPs do not receive any billing credits from SoCalGas.  Based on a SoCalGas study from 1997, the Comprehensive Settlement provides for billing credits to be provided to ESPs on the basis of $0.78 for each residential bill and $1.16 for each non-residential bill.  </w:t>
      </w:r>
    </w:p>
    <w:p>
      <w:pPr>
        <w:pStyle w:val="Normal"/>
        <w:spacing w:lineRule="auto" w:line="360" w:before="0" w:after="120"/>
        <w:ind w:firstLine="1080" w:end="0"/>
        <w:rPr/>
      </w:pPr>
      <w:r>
        <w:rPr/>
        <w:t xml:space="preserve">Similarly, the Comprehensive Settlement provides for billing credits for SDG&amp;E of $0.05 for each residential bill and $0.16 for each non-residential bill related to utility cost savings in the area of uncollectible expenses.  Because SDG&amp;E currently offers ESP consolidated billing, ESPs receive avoided cost billing credits from SDG&amp;E of $1.41 for residential customers who receive both gas and electric service from an ESP, and $1.58 for non-residential customers who receive both gas and electric service from an ESP related to utility cost savings in the area of bill distribution, remittance processing, collections, electric uncollectible expenses, and billing inquiries.  The additional avoided cost billing credit proposed in the Comprehensive Settlement for SDG&amp;E reflects gas transportation uncollectible expenses not presently reflected in the existing avoided cost billing credits.  Billing credits based on avoided costs as proposed in the Comprehensive Settlement are expressly contemplated in California Assembly Bill AB1421:  </w:t>
      </w:r>
    </w:p>
    <w:p>
      <w:pPr>
        <w:pStyle w:val="BlockText"/>
        <w:spacing w:before="120" w:after="240"/>
        <w:ind w:start="1080" w:end="1008"/>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If the Commission establishes credits for services provided by the gas corporation to core aggregation or non-core customers who obtain billing or collection services from entities other than the gas corporation, the credit shall be equal to the billing and collections services costs actually avoided by the gas corporation.”</w:t>
      </w:r>
    </w:p>
    <w:p>
      <w:pPr>
        <w:pStyle w:val="Normal"/>
        <w:spacing w:lineRule="auto" w:line="360"/>
        <w:ind w:firstLine="1080" w:end="0"/>
        <w:rPr/>
      </w:pPr>
      <w:r>
        <w:rPr/>
        <w:t>The billing credits proposed in the Comprehensive Settlement for SoCalGas and SDG&amp;E fully comply with the requirements of AB1421.</w:t>
      </w:r>
    </w:p>
    <w:p>
      <w:pPr>
        <w:pStyle w:val="Normal"/>
        <w:spacing w:lineRule="auto" w:line="360"/>
        <w:ind w:firstLine="1080" w:end="0"/>
        <w:rPr/>
      </w:pPr>
      <w:r>
        <w:rPr/>
        <w:t xml:space="preserve">While the avoided cost credits proposed in the Comprehensive Settlement are based on utility studies and are deemed by the parties to the Comprehensive Settlement as reasonable for the purposes of the Comprehensive Settlement, all the signatories recognize that differing views with regard to the appropriate methodology for calculating avoided cost credits exist.  The parties to the Comprehensive Settlement have, therefore, agreed that the level of billing credits proposed in the Comprehensive Settlement is assumed for purposes of this settlement only.  For the future, the parties to the Comprehensive Settlement have agreed to explore the methodology underlying the calculation of the avoided cost billing credits and to resolve any differences in methodology, as well as to update the avoided costs based on more current data by January 1, 2002.  While the parties expect to be able to negotiate new avoided cost credits by that date, should they be unable to come to an agreement, SoCalGas and SDG&amp;E are obligated under the Comprehensive Settlement to file new gas avoided cost credits in the first quarter of 2002, which will enable the new billing credits to be in place by January 1, 2003. </w:t>
      </w:r>
    </w:p>
    <w:p>
      <w:pPr>
        <w:pStyle w:val="Normal"/>
        <w:spacing w:lineRule="auto" w:line="360" w:before="0" w:after="120"/>
        <w:ind w:firstLine="720" w:end="0"/>
        <w:rPr/>
      </w:pPr>
      <w:r>
        <w:rPr/>
        <w:t xml:space="preserve"> </w:t>
      </w:r>
    </w:p>
    <w:p>
      <w:pPr>
        <w:pStyle w:val="Heading4"/>
        <w:spacing w:lineRule="auto" w:line="240"/>
        <w:ind w:hanging="630" w:start="1260" w:end="0"/>
        <w:rPr>
          <w:rFonts w:ascii="Courier New" w:hAnsi="Courier New" w:eastAsia="Courier New" w:cs="Courier New"/>
        </w:rPr>
      </w:pPr>
      <w:r>
        <w:rPr>
          <w:rFonts w:eastAsia="Courier New" w:cs="Courier New" w:ascii="Courier New" w:hAnsi="Courier New"/>
        </w:rPr>
        <w:t>6. Re-examination of the Utility Core Procurement Role</w:t>
      </w:r>
    </w:p>
    <w:p>
      <w:pPr>
        <w:pStyle w:val="Normal"/>
        <w:spacing w:lineRule="auto" w:line="360"/>
        <w:ind w:firstLine="1080" w:end="0"/>
        <w:rPr/>
      </w:pPr>
      <w:r>
        <w:rPr/>
        <w:t xml:space="preserve">The parties to the Comprehensive Settlement concluded that there may be additional benefits to enabling competition by exploring possible variations to the existing utility core gas practices, including the subject of appropriate incentives.  Given the timeframe, however, the parties were unable to fully consider new, potentially beneficial arrangements, and agreed to use their respective best efforts to negotiate and enter into a separate settlement agreement within three months after Commission approval of the Comprehensive Settlement.  The first step in the discussions would consider competitive alternatives for providing procurement service to customers who do not choose a competitive provider.  Alternatives to be considered would include, among others, physical separation of the utility gas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gas procurement functions.  </w:t>
      </w:r>
    </w:p>
    <w:p>
      <w:pPr>
        <w:pStyle w:val="Normal"/>
        <w:spacing w:lineRule="auto" w:line="360"/>
        <w:ind w:firstLine="1080" w:end="0"/>
        <w:rPr/>
      </w:pPr>
      <w:r>
        <w:rPr/>
        <w:t xml:space="preserve">Also to be considered will be performance mechanisms to provide SoCalGas and SDG&amp;E with financial incentives such as, but not limited to, new performance incentive mechanisms based on objective measures of how well the utilities provide service to competitive suppliers and their success in implementing any changes proposed or adopted for gas commodity procurement services.  (Section 5.1 of Comprehensive Settlement).  </w:t>
      </w:r>
    </w:p>
    <w:p>
      <w:pPr>
        <w:pStyle w:val="WW-BodyText2"/>
        <w:spacing w:before="0" w:after="0"/>
        <w:ind w:firstLine="1080" w:end="0"/>
        <w:rPr>
          <w:rFonts w:ascii="Courier New" w:hAnsi="Courier New" w:eastAsia="Courier New" w:cs="Courier New"/>
        </w:rPr>
      </w:pPr>
      <w:r>
        <w:rPr>
          <w:rFonts w:eastAsia="Courier New" w:cs="Courier New" w:ascii="Courier New" w:hAnsi="Courier New"/>
        </w:rPr>
        <w:t xml:space="preserve">The discussions required under the Comprehensive Settlement related to the foregoing issues will consider the economic value to core ratepayers and the utilities’ shareholders from the current practices used to provide these services; consumer protections; and promotion of competition.  In the event the parties are unable to reach agreement on both issues within the 3-month period, SoCalGas and SDG&amp;E will, within six months after Commission approval of the CFA file an application with a proposal to address these issues.  </w:t>
      </w:r>
    </w:p>
    <w:p>
      <w:pPr>
        <w:pStyle w:val="WW-BodyText2"/>
        <w:rPr>
          <w:rFonts w:ascii="Courier New" w:hAnsi="Courier New" w:eastAsia="Courier New" w:cs="Courier New"/>
        </w:rPr>
      </w:pPr>
      <w:r>
        <w:rPr>
          <w:rFonts w:eastAsia="Courier New" w:cs="Courier New" w:ascii="Courier New" w:hAnsi="Courier New"/>
        </w:rPr>
      </w:r>
    </w:p>
    <w:p>
      <w:pPr>
        <w:pStyle w:val="Normal"/>
        <w:spacing w:lineRule="auto" w:line="360" w:before="0" w:after="120"/>
        <w:ind w:firstLine="630" w:end="0"/>
        <w:rPr>
          <w:b/>
          <w:bCs/>
        </w:rPr>
      </w:pPr>
      <w:r>
        <w:rPr>
          <w:b/>
          <w:bCs/>
        </w:rPr>
        <w:t>7. Increase the Core Brokerage Fee</w:t>
      </w:r>
    </w:p>
    <w:p>
      <w:pPr>
        <w:pStyle w:val="Normal"/>
        <w:spacing w:lineRule="auto" w:line="360"/>
        <w:ind w:firstLine="1080" w:end="0"/>
        <w:rPr/>
      </w:pPr>
      <w:r>
        <w:rPr/>
        <w:t>The current core procurement brokerage fee for SoCalGas is 2.01 cents per decatherm (dth), while the SDG&amp;E procurement charge is 0.95 cents/dth per the 1996 BCAP decision.  (D.97-04-082, Finding of Fact 71 for SoCalGas and Finding of Fact 106 for SDG&amp;E).  The Comprehensive Settlement would increase the core brokerage fee to 2.4 cents/dth for both utilities upon the effective date of the Commission’s approval of the Comprehensive Settlement.  The amount of 2.4 cents/dth for the utilities is consistent with the brokerage fee currently authorized for PG&amp;E.</w:t>
      </w:r>
    </w:p>
    <w:p>
      <w:pPr>
        <w:pStyle w:val="Normal"/>
        <w:spacing w:lineRule="auto" w:line="360"/>
        <w:ind w:firstLine="1080" w:end="0"/>
        <w:rPr/>
      </w:pPr>
      <w:r>
        <w:rPr/>
        <w:t>As with the billing avoided cost credits, the parties to the Comprehensive Settlement disagree on the levels of costs associated with the core procurement function and the methods for calculating the costs that would no longer be incurred if the utility no longer provides full procurement service to a customer.  As a result, the parties to the Comprehensive Settlement have agreed that the core brokerage fee amount of 2.4 cents/dth will be assumed for purposes of the Comprehensive Settlement only and shall not be precedential in subsequent regulatory proceedings for the purpose of determining the actual cost that will no longer be incurred by the utilities in the event the utility core procurement service function is substantially altered.  (Exhibit No. 3, pp.20-21).</w:t>
      </w:r>
    </w:p>
    <w:p>
      <w:pPr>
        <w:pStyle w:val="Normal"/>
        <w:spacing w:lineRule="auto" w:line="360" w:before="0" w:after="120"/>
        <w:ind w:firstLine="720" w:end="0"/>
        <w:rPr/>
      </w:pPr>
      <w:r>
        <w:rPr/>
      </w:r>
    </w:p>
    <w:p>
      <w:pPr>
        <w:pStyle w:val="Normal"/>
        <w:spacing w:lineRule="auto" w:line="360" w:before="0" w:after="120"/>
        <w:ind w:firstLine="630" w:end="0"/>
        <w:rPr>
          <w:b/>
          <w:bCs/>
        </w:rPr>
      </w:pPr>
      <w:r>
        <w:rPr>
          <w:b/>
          <w:bCs/>
        </w:rPr>
        <w:t>8. Elimination of Core Subscription Program</w:t>
      </w:r>
    </w:p>
    <w:p>
      <w:pPr>
        <w:pStyle w:val="BodyText2"/>
        <w:ind w:firstLine="1080" w:end="0"/>
        <w:rPr/>
      </w:pPr>
      <w:r>
        <w:rPr/>
        <w:t>SoCalGas currently offers core subscription to its noncore customers under contracts with a 2-year term.  While the core subscription program enables noncore customers to receive core gas procurement services, should they so desire to promote the goal of enhancing competition, the Comprehensive Settlement provides for the elimination of the core subscription program.  While there are currently 138 noncore customers who participate in the core subscription program on the SoCalGas system, these customers represent less than one percent of total noncore volumes and more that one-half of that number are currently on 2-year contracts that expire on or before July 31, 2001.  (Exhibit No. 3, p.21).</w:t>
      </w:r>
    </w:p>
    <w:p>
      <w:pPr>
        <w:pStyle w:val="BodyText2"/>
        <w:ind w:firstLine="1080" w:end="0"/>
        <w:rPr/>
      </w:pPr>
      <w:r>
        <w:rPr/>
        <w:t xml:space="preserve">Under the Comprehensive Settlement, SoCalGas will cease offering new core subscription contracts by April 1, 2001.  Beginning on the effective date of a Commission order approving the Comprehensive Settlement, SoCalGas will offer new core subscription contracts for a term that extends no later than July 31, 2001, the date at which the majority of existing contracts expire.  While all core subscription contracts in effect on April 1, 2001 will remain in effect until the end of the contract’s life, after April 1, 2001, all noncore eligible customers must either choose a competitive provider for gas commodity service or take service from SoCalGas at core rates.  </w:t>
      </w:r>
    </w:p>
    <w:p>
      <w:pPr>
        <w:pStyle w:val="BodyText2"/>
        <w:ind w:firstLine="1080" w:end="0"/>
        <w:rPr/>
      </w:pPr>
      <w:r>
        <w:rPr/>
        <w:t>To facilitate the transition toward elimination of the core subscription program, SoCalGas will provide customers with adequate advance notice of their choices and will provide these customers with a list of interested gas marketers operating on its system, so that customers can contact these marketers regarding their commodity choices.  In the event that customers do not make a choice by the deadline, they will automatically become core customers.  (Exhibit No. 3, p.21).</w:t>
      </w:r>
    </w:p>
    <w:p>
      <w:pPr>
        <w:pStyle w:val="BodyText2"/>
        <w:ind w:firstLine="1080" w:end="0"/>
        <w:rPr/>
      </w:pPr>
      <w:r>
        <w:rPr/>
        <w:t>SoCalGas will continue to treat transportation revenues from customers switching to core status as noncore revenue (i.e., the revenues will be recorded in the Noncore Fixed Cost Accounts and not the Core Fixed Cost Account), until the switch from noncore to core can be reflected in the throughput forecast in SoCalGas’ next BCAP.  This treatment is necessary given the different regulatory accounting treatment applicable to revenues for core and noncore volumes on the SoCalGas system.</w:t>
      </w:r>
    </w:p>
    <w:p>
      <w:pPr>
        <w:pStyle w:val="BodyText2"/>
        <w:ind w:firstLine="1080" w:end="0"/>
        <w:rPr/>
      </w:pPr>
      <w:r>
        <w:rPr/>
        <w:t>The core subscription and noncore procurement options will also be eliminated for SDG&amp;E’s customers under the same terms described above for SoCalGas.  There are currently 19 noncore customers receiving core subscription service and 115 noncore receiving procurement service from SDG&amp;E, which represents 12 percent of total noncore volume on the SDG&amp;E system.  The exit by SDG&amp;E and SoCalGas from noncore procurement service is consistent with the current status of PG&amp;E and thus will promote statewide consistency.</w:t>
      </w:r>
    </w:p>
    <w:p>
      <w:pPr>
        <w:pStyle w:val="BodyText2"/>
        <w:rPr/>
      </w:pPr>
      <w:r>
        <w:rPr/>
      </w:r>
    </w:p>
    <w:p>
      <w:pPr>
        <w:pStyle w:val="BodyText2"/>
        <w:ind w:firstLine="630" w:end="0"/>
        <w:rPr>
          <w:b/>
          <w:bCs/>
        </w:rPr>
      </w:pPr>
      <w:r>
        <w:rPr>
          <w:b/>
          <w:bCs/>
        </w:rPr>
        <w:t>9. Reduce CTA Volume Threshold</w:t>
      </w:r>
    </w:p>
    <w:p>
      <w:pPr>
        <w:pStyle w:val="BodyText2"/>
        <w:ind w:firstLine="1080" w:end="0"/>
        <w:rPr/>
      </w:pPr>
      <w:r>
        <w:rPr/>
        <w:t xml:space="preserve">In order to provide statewide consistency and encourage the further development of the core aggregation market, the Comprehensive Settlement proposes to reduce the minimum aggregator size requirement from 250,000 to 120,000 therms per year.  The signatories to the Comprehensive Settlement believe that such an adjustment to the participation threshold will reduce barriers that otherwise discourage participation in the program by ESPs and other gas suppliers.  It was further the consensus of the Comprehensive Settlement signatories (retail section) that the lower thresholds and the resultant participation by additional suppliers in the CTA program will have no impact on the investments necessary for the automation of customer choice provided for elsewhere in the Comprehensive Settlement.  </w:t>
      </w:r>
    </w:p>
    <w:p>
      <w:pPr>
        <w:pStyle w:val="BodyText2"/>
        <w:rPr/>
      </w:pPr>
      <w:r>
        <w:rPr/>
      </w:r>
    </w:p>
    <w:p>
      <w:pPr>
        <w:pStyle w:val="BodyText2"/>
        <w:ind w:firstLine="630" w:end="0"/>
        <w:rPr>
          <w:b/>
          <w:bCs/>
        </w:rPr>
      </w:pPr>
      <w:r>
        <w:rPr>
          <w:b/>
          <w:bCs/>
        </w:rPr>
        <w:t>10.Pilot Meter and Meter Add-On Ownership Program</w:t>
      </w:r>
    </w:p>
    <w:p>
      <w:pPr>
        <w:pStyle w:val="BodyText2"/>
        <w:ind w:firstLine="1080" w:end="0"/>
        <w:rPr/>
      </w:pPr>
      <w:r>
        <w:rPr/>
        <w:t xml:space="preserve">An important element of Customer Choice and a specific promising option identified by the Commission relates to the potential benefits of customer meter ownership in the restructured gas industry.  The meter/add-on ownership pilot program provided for in the Comprehensive Settlement will allow customers to chose their own meters or too add devices to existing meters that electronically provide consumption information to the customer or supplier.  (Exhibit No. 3, p.23).  Under the Comprehensive Settlement, the pilot meter ownership program for SoCalGas will be limited to 500 meters per year for new installations serving large commercial and industrial customers, and to 1500 add-on meter devices per year for all customer classes.  The pilot meter ownership program for SDG&amp;E will be limited to 200 meters for new installations for large commercial and industrial customers and to 200 add-on devices for all customer classes.  It is believed by the signatories to the Comprehensive Settlement that these levels of activity will be sufficiently manageable for the utilities without the need for systems upgrades to track information on meters and add-on devices for business purposes and safety reasons, but large enough to provide relevant information on the benefits of meter or add-on device ownership in the restructured gas industry environment.  </w:t>
      </w:r>
    </w:p>
    <w:p>
      <w:pPr>
        <w:pStyle w:val="BodyText2"/>
        <w:ind w:firstLine="1080" w:end="0"/>
        <w:rPr/>
      </w:pPr>
      <w:r>
        <w:rPr/>
        <w:t>Pursuant to the Comprehensive Settlement, SoCalGas and SDG&amp;E will conduct the pilot meter and add-on device ownership programs through 2002.  By July 1,2002, SoCalGas and SDG&amp;E will submit a joint evaluation of the pilot program and recommendations for 2003 and beyond.</w:t>
      </w:r>
    </w:p>
    <w:p>
      <w:pPr>
        <w:pStyle w:val="BodyText2"/>
        <w:ind w:firstLine="1080" w:end="0"/>
        <w:rPr/>
      </w:pPr>
      <w:r>
        <w:rPr/>
        <w:t>The following conditions were agreed to by the parties to the Comprehensive Settlement in order to ensure that there will be no impact from the meter ownership / meter device add-on pilot program on safety or utility billing processes:</w:t>
      </w:r>
    </w:p>
    <w:p>
      <w:pPr>
        <w:pStyle w:val="BodyText2"/>
        <w:numPr>
          <w:ilvl w:val="0"/>
          <w:numId w:val="6"/>
        </w:numPr>
        <w:tabs>
          <w:tab w:val="clear" w:pos="720"/>
          <w:tab w:val="left" w:pos="0" w:leader="none"/>
        </w:tabs>
        <w:ind w:hanging="720" w:start="720" w:end="0"/>
        <w:rPr/>
      </w:pPr>
      <w:r>
        <w:rPr/>
        <w:t>Utilities will continue to install, read, remove, service, and maintain all gas meters during the pilot program, regardless of ownership;</w:t>
      </w:r>
    </w:p>
    <w:p>
      <w:pPr>
        <w:pStyle w:val="BodyText2"/>
        <w:numPr>
          <w:ilvl w:val="0"/>
          <w:numId w:val="6"/>
        </w:numPr>
        <w:tabs>
          <w:tab w:val="clear" w:pos="720"/>
          <w:tab w:val="left" w:pos="0" w:leader="none"/>
        </w:tabs>
        <w:ind w:hanging="720" w:start="720" w:end="0"/>
        <w:rPr/>
      </w:pPr>
      <w:r>
        <w:rPr/>
        <w:t>All customer-owned meters and add-on devices will meet appropriate standards of safety, accuracy and reliability, as determined by the utilities;</w:t>
      </w:r>
    </w:p>
    <w:p>
      <w:pPr>
        <w:pStyle w:val="BodyText2"/>
        <w:numPr>
          <w:ilvl w:val="0"/>
          <w:numId w:val="6"/>
        </w:numPr>
        <w:tabs>
          <w:tab w:val="clear" w:pos="720"/>
          <w:tab w:val="left" w:pos="0" w:leader="none"/>
        </w:tabs>
        <w:ind w:hanging="720" w:start="720" w:end="0"/>
        <w:rPr/>
      </w:pPr>
      <w:r>
        <w:rPr/>
        <w:t>Customer ownership of any meter or add-on device will not interfere with the utility’s ability to obtain data from the meter; and</w:t>
      </w:r>
    </w:p>
    <w:p>
      <w:pPr>
        <w:pStyle w:val="BodyText2"/>
        <w:numPr>
          <w:ilvl w:val="0"/>
          <w:numId w:val="6"/>
        </w:numPr>
        <w:tabs>
          <w:tab w:val="clear" w:pos="720"/>
          <w:tab w:val="left" w:pos="0" w:leader="none"/>
        </w:tabs>
        <w:ind w:hanging="360" w:start="720" w:end="0"/>
        <w:rPr/>
      </w:pPr>
      <w:r>
        <w:rPr/>
        <w:t>Customers that choose to own their own meters or add-on devices will be responsible for the responsible for the additional Incremental and O&amp;M costs associated with such equipment including communication network costs.</w:t>
      </w:r>
    </w:p>
    <w:p>
      <w:pPr>
        <w:pStyle w:val="BodyText2"/>
        <w:tabs>
          <w:tab w:val="clear" w:pos="720"/>
          <w:tab w:val="left" w:pos="0" w:leader="none"/>
        </w:tabs>
        <w:ind w:firstLine="1080" w:end="0"/>
        <w:rPr/>
      </w:pPr>
      <w:r>
        <w:rPr/>
        <w:t>The costs incurred by SoCalGas in offering the meter ownership and meter add-on pilot programs include the development of systems necessary to track ownership and maintenance of third-party owned meters and add-on devices at a cost of $150,000 for both hardware and software.  The costs incurred by SDG&amp;E in offering the meter ownership and meter add-on pilot programs include the development of the programming capability necessary to transfer core aggregation program information to the meter tracking system and returning relevant data from the meter tracking system.  The costs associated with these programming changes for the customer-owned meter and add-on devices are estimated at $225,000.  As set forth in the Comprehensive Settlement and discussed earlier in this brief, SoCalGas and SDG&amp;E will not seek recovery of these amounts until their next PBR or other cost of service proceedings re-establishing their respective base margin allowances.</w:t>
      </w:r>
    </w:p>
    <w:p>
      <w:pPr>
        <w:pStyle w:val="BodyText2"/>
        <w:tabs>
          <w:tab w:val="clear" w:pos="720"/>
          <w:tab w:val="left" w:pos="0" w:leader="none"/>
        </w:tabs>
        <w:rPr>
          <w:b/>
          <w:bCs/>
        </w:rPr>
      </w:pPr>
      <w:r>
        <w:rPr>
          <w:b/>
          <w:bCs/>
        </w:rPr>
      </w:r>
    </w:p>
    <w:p>
      <w:pPr>
        <w:pStyle w:val="BodyText2"/>
        <w:tabs>
          <w:tab w:val="clear" w:pos="720"/>
          <w:tab w:val="left" w:pos="0" w:leader="none"/>
        </w:tabs>
        <w:rPr/>
      </w:pPr>
      <w:r>
        <w:rPr/>
        <w:t>//</w:t>
      </w:r>
    </w:p>
    <w:p>
      <w:pPr>
        <w:pStyle w:val="BodyText2"/>
        <w:tabs>
          <w:tab w:val="clear" w:pos="720"/>
          <w:tab w:val="left" w:pos="0" w:leader="none"/>
        </w:tabs>
        <w:rPr>
          <w:b/>
          <w:bCs/>
        </w:rPr>
      </w:pPr>
      <w:r>
        <w:rPr>
          <w:b/>
          <w:bCs/>
        </w:rPr>
      </w:r>
    </w:p>
    <w:p>
      <w:pPr>
        <w:pStyle w:val="BodyText2"/>
        <w:tabs>
          <w:tab w:val="clear" w:pos="720"/>
          <w:tab w:val="left" w:pos="0" w:leader="none"/>
        </w:tabs>
        <w:rPr/>
      </w:pPr>
      <w:r>
        <w:rPr/>
        <w:t>//</w:t>
      </w:r>
    </w:p>
    <w:p>
      <w:pPr>
        <w:pStyle w:val="BodyText2"/>
        <w:numPr>
          <w:ilvl w:val="0"/>
          <w:numId w:val="7"/>
        </w:numPr>
        <w:tabs>
          <w:tab w:val="clear" w:pos="720"/>
          <w:tab w:val="left" w:pos="0" w:leader="none"/>
        </w:tabs>
        <w:spacing w:lineRule="auto" w:line="240"/>
        <w:ind w:hanging="1080" w:start="1080" w:end="0"/>
        <w:rPr>
          <w:b/>
          <w:bCs/>
        </w:rPr>
      </w:pPr>
      <w:r>
        <w:rPr>
          <w:b/>
          <w:bCs/>
        </w:rPr>
        <w:t>Fees Which May Be Paid by ESPs for Services Rendered by the Utilities Will Partially Offset the O&amp;M Costs Incurred by SoCalGas and SDG&amp;E</w:t>
      </w:r>
    </w:p>
    <w:p>
      <w:pPr>
        <w:pStyle w:val="BodyText2"/>
        <w:numPr>
          <w:ilvl w:val="0"/>
          <w:numId w:val="0"/>
        </w:numPr>
        <w:tabs>
          <w:tab w:val="clear" w:pos="720"/>
          <w:tab w:val="left" w:pos="0" w:leader="none"/>
          <w:tab w:val="left" w:pos="360" w:leader="none"/>
        </w:tabs>
        <w:spacing w:lineRule="auto" w:line="240"/>
        <w:ind w:hanging="0" w:start="0" w:end="0"/>
        <w:rPr>
          <w:b/>
          <w:bCs/>
        </w:rPr>
      </w:pPr>
      <w:r>
        <w:rPr>
          <w:b/>
          <w:bCs/>
        </w:rPr>
      </w:r>
    </w:p>
    <w:p>
      <w:pPr>
        <w:pStyle w:val="BodyText2"/>
        <w:numPr>
          <w:ilvl w:val="0"/>
          <w:numId w:val="0"/>
        </w:numPr>
        <w:tabs>
          <w:tab w:val="clear" w:pos="720"/>
          <w:tab w:val="left" w:pos="-1170" w:leader="none"/>
          <w:tab w:val="left" w:pos="0" w:leader="none"/>
        </w:tabs>
        <w:ind w:hanging="0" w:start="0"/>
        <w:rPr/>
      </w:pPr>
      <w:r>
        <w:rPr/>
        <w:t xml:space="preserve">As discussed previously, the Comprehensive Settlement provides that SoCalGas will not request interim rate relief for incremental capital spending necessary to implement the automated DASR, customer account management systems, utility consolidated billing, and the meter ownership / add-on pilot programs.  As noted, such costs will be recognized and included in rates only upon the effective date of a Commission decision re-establishing SoCalGas’ authorized gas margin following the expiration of the PBR adopted for SoCalGas in D.97-07-054.  Similarly, for SDG&amp;E, the recovery of all such costs will be deferred until such time that SDG&amp;E’s authorized gas margin is re-established in an appropriate PBR or cost of service proceeding following the expiration of SDG&amp;E’s current PBR adopted in D.99-05-031.  </w:t>
      </w:r>
    </w:p>
    <w:p>
      <w:pPr>
        <w:pStyle w:val="BodyText2"/>
        <w:numPr>
          <w:ilvl w:val="0"/>
          <w:numId w:val="0"/>
        </w:numPr>
        <w:tabs>
          <w:tab w:val="clear" w:pos="720"/>
          <w:tab w:val="left" w:pos="-1170" w:leader="none"/>
          <w:tab w:val="left" w:pos="0" w:leader="none"/>
        </w:tabs>
        <w:ind w:hanging="0" w:start="0"/>
        <w:rPr/>
      </w:pPr>
      <w:r>
        <w:rPr/>
        <w:t xml:space="preserve">With respect to O&amp;M expense, prior to the implementation of new revenue requirements adopted in their next PBR proceedings, SoCalGas and SDG&amp;E as noted previously will not increase rates to customers to recover one-time and recurring O&amp;M expenses incurred to implement the retail portion of the Comprehensive Settlement.  Such cost would include those related to automated DASR / customer account management systems, utility consolidated billing, and the meter ownership / add-on pilot programs.  </w:t>
      </w:r>
    </w:p>
    <w:p>
      <w:pPr>
        <w:pStyle w:val="BodyText2"/>
        <w:numPr>
          <w:ilvl w:val="0"/>
          <w:numId w:val="0"/>
        </w:numPr>
        <w:tabs>
          <w:tab w:val="clear" w:pos="720"/>
          <w:tab w:val="left" w:pos="-1170" w:leader="none"/>
          <w:tab w:val="left" w:pos="0" w:leader="none"/>
        </w:tabs>
        <w:ind w:hanging="0" w:start="0"/>
        <w:rPr/>
      </w:pPr>
      <w:r>
        <w:rPr/>
        <w:t xml:space="preserve">Inasmuch as SoCalGas and SDG&amp;E have agreed to pass on incremental cost savings to ESPs in the form of billing credits, however, it is reasonable that whatever revenues may be generated by fees to be paid by retailers be used to offset some of the utilities’ incremental O&amp;M costs.  Pursuant to the Comprehensive Settlement, the types of fees and the fee amounts to be proposed by the utilities will be the subject of future discussions among the parties.  The fee proposal will be designed to be consistent with the types of fees existing or proposed in the electric industry and the objective in establishing such fees and fee amounts will be to promote general consistency across gas and electricity on a statewide basis.  The added fees would reflect the ongoing incremental costs of the services provided by the utilities just as the billing avoided cost credits reflect the ongoing costs avoided by the utilities in not providing the services.  </w:t>
      </w:r>
    </w:p>
    <w:p>
      <w:pPr>
        <w:pStyle w:val="BodyText2"/>
        <w:numPr>
          <w:ilvl w:val="0"/>
          <w:numId w:val="0"/>
        </w:numPr>
        <w:tabs>
          <w:tab w:val="clear" w:pos="720"/>
          <w:tab w:val="left" w:pos="-1170" w:leader="none"/>
          <w:tab w:val="left" w:pos="0" w:leader="none"/>
        </w:tabs>
        <w:ind w:hanging="0" w:start="0"/>
        <w:rPr/>
      </w:pPr>
      <w:r>
        <w:rPr/>
      </w:r>
    </w:p>
    <w:p>
      <w:pPr>
        <w:pStyle w:val="BodyText2"/>
        <w:numPr>
          <w:ilvl w:val="0"/>
          <w:numId w:val="7"/>
        </w:numPr>
        <w:tabs>
          <w:tab w:val="clear" w:pos="720"/>
          <w:tab w:val="left" w:pos="0" w:leader="none"/>
          <w:tab w:val="left" w:pos="360" w:leader="none"/>
        </w:tabs>
        <w:spacing w:lineRule="auto" w:line="240"/>
        <w:ind w:hanging="1080" w:start="1080" w:end="0"/>
        <w:rPr>
          <w:b/>
          <w:bCs/>
        </w:rPr>
      </w:pPr>
      <w:r>
        <w:rPr>
          <w:b/>
          <w:bCs/>
        </w:rPr>
        <w:t>Impact of Retail Portions of the Comprehensive Settlement on Public Purpose Programs</w:t>
      </w:r>
    </w:p>
    <w:p>
      <w:pPr>
        <w:pStyle w:val="BodyText2"/>
        <w:numPr>
          <w:ilvl w:val="0"/>
          <w:numId w:val="0"/>
        </w:numPr>
        <w:tabs>
          <w:tab w:val="clear" w:pos="720"/>
          <w:tab w:val="left" w:pos="-1170" w:leader="none"/>
          <w:tab w:val="left" w:pos="0" w:leader="none"/>
        </w:tabs>
        <w:spacing w:lineRule="auto" w:line="240"/>
        <w:ind w:hanging="0" w:start="0" w:end="0"/>
        <w:rPr>
          <w:b/>
          <w:bCs/>
        </w:rPr>
      </w:pPr>
      <w:r>
        <w:rPr>
          <w:b/>
          <w:bCs/>
        </w:rPr>
      </w:r>
    </w:p>
    <w:p>
      <w:pPr>
        <w:pStyle w:val="BodyText2"/>
        <w:numPr>
          <w:ilvl w:val="0"/>
          <w:numId w:val="0"/>
        </w:numPr>
        <w:tabs>
          <w:tab w:val="clear" w:pos="720"/>
          <w:tab w:val="left" w:pos="-1170" w:leader="none"/>
          <w:tab w:val="left" w:pos="0" w:leader="none"/>
        </w:tabs>
        <w:ind w:hanging="0" w:start="0"/>
        <w:rPr/>
      </w:pPr>
      <w:r>
        <w:rPr/>
        <w:t xml:space="preserve">The retail measures implementing the promising retail options identified by the Commission makes no changes to the Commission’s current policies on various public purpose programs for the gas industry.  Thus, these public purpose programs benefits will not be impacted in any way by the retail measures proposed in the Comprehensive Settlement, nor will be the funding mechanisms be affected in any way. </w:t>
      </w:r>
    </w:p>
    <w:p>
      <w:pPr>
        <w:pStyle w:val="BodyText2"/>
        <w:numPr>
          <w:ilvl w:val="0"/>
          <w:numId w:val="0"/>
        </w:numPr>
        <w:tabs>
          <w:tab w:val="clear" w:pos="720"/>
          <w:tab w:val="left" w:pos="-1170" w:leader="none"/>
          <w:tab w:val="left" w:pos="0" w:leader="none"/>
        </w:tabs>
        <w:ind w:hanging="0" w:start="0"/>
        <w:rPr/>
      </w:pPr>
      <w:r>
        <w:rPr/>
        <w:t xml:space="preserve"> </w:t>
      </w:r>
    </w:p>
    <w:p>
      <w:pPr>
        <w:pStyle w:val="BodyText2"/>
        <w:numPr>
          <w:ilvl w:val="0"/>
          <w:numId w:val="7"/>
        </w:numPr>
        <w:tabs>
          <w:tab w:val="clear" w:pos="720"/>
          <w:tab w:val="left" w:pos="0" w:leader="none"/>
          <w:tab w:val="left" w:pos="360" w:leader="none"/>
        </w:tabs>
        <w:spacing w:lineRule="auto" w:line="240"/>
        <w:ind w:hanging="360" w:start="1080" w:end="0"/>
        <w:rPr>
          <w:b/>
          <w:bCs/>
        </w:rPr>
      </w:pPr>
      <w:r>
        <w:rPr>
          <w:b/>
          <w:bCs/>
        </w:rPr>
        <w:t>The Experiences of Other States Bode Well for the Promising Retail Options in California</w:t>
      </w:r>
    </w:p>
    <w:p>
      <w:pPr>
        <w:pStyle w:val="BodyText2"/>
        <w:tabs>
          <w:tab w:val="clear" w:pos="720"/>
          <w:tab w:val="left" w:pos="-1170" w:leader="none"/>
          <w:tab w:val="left" w:pos="0" w:leader="none"/>
          <w:tab w:val="left" w:pos="360" w:leader="none"/>
        </w:tabs>
        <w:spacing w:lineRule="auto" w:line="240"/>
        <w:ind w:hanging="0" w:end="0"/>
        <w:rPr>
          <w:b/>
          <w:bCs/>
        </w:rPr>
      </w:pPr>
      <w:r>
        <w:rPr>
          <w:b/>
          <w:bCs/>
        </w:rPr>
      </w:r>
    </w:p>
    <w:p>
      <w:pPr>
        <w:pStyle w:val="BodyText2"/>
        <w:tabs>
          <w:tab w:val="clear" w:pos="720"/>
          <w:tab w:val="left" w:pos="-1170" w:leader="none"/>
          <w:tab w:val="left" w:pos="0" w:leader="none"/>
        </w:tabs>
        <w:ind w:hanging="0" w:end="0"/>
        <w:rPr/>
      </w:pPr>
      <w:r>
        <w:rPr/>
        <w:tab/>
        <w:t>In conjunction with the capacity portions of the Comprehensive Settlement, the retail measures implementing the Commission’s promising retail options should promote competition in the Southern California gas market in a manner which benefits residential and small business customers with greater options and lower prices.  In other regions of the nation where the benefits of competition have reached the residential and small business customer, such success has been associated with customers being able to achieve savings by purchasing gas from a non-utility supplier.  (Exhibit No. 3, p.26).  In fact, surveys have shown that price is the number one reason that customers will switch gas suppliers.  Indeed, in Ohio and Georgia, states with a significant portion of customers choosing non-utility suppliers, customers were able to achieve savings of 6 to 12 percent by switching service to non-utility gas suppliers.  (Exhibit No. 3, p.26).</w:t>
      </w:r>
    </w:p>
    <w:p>
      <w:pPr>
        <w:pStyle w:val="BodyText2"/>
        <w:tabs>
          <w:tab w:val="clear" w:pos="720"/>
          <w:tab w:val="left" w:pos="-1170" w:leader="none"/>
          <w:tab w:val="left" w:pos="0" w:leader="none"/>
        </w:tabs>
        <w:rPr/>
      </w:pPr>
      <w:r>
        <w:rPr/>
        <w:t>In order to achieve similar success in California, it is important to recognize that the capacity portion of the Comprehensive Settlement plays an important role in determining whether the retail measures implementing the Commission’s promising retail options will succeed or not.  A primary example of the interrelationship of the capacity and retail portions of the Comprehensive Settlement can be observed through the unbundling of interstate transmission capacity which allows ESPs to purchase capacity at market prices.  This promising option from the capacity portion of the Comprehensive Settlement creates new opportunities for ESPs to not only obtain interstate capacity at market value (significantly below the as-billed rate applicable to utility procurement customers under existing FERC tariffs), but also to match upstream transportation supply and transportation arrangements in new and creative ways for the benefit of the customers they serve.  Another example of the interrelationship of the capacity and retail portions of the Comprehensive Settlement can be found in the further unbundling of the storage function which allows ESPs to offer price discounts to certain core customers by buying less storage in cases where the customer may not have seasonal usage swings, or from buying storage from alternate suppliers at a discount.</w:t>
      </w:r>
    </w:p>
    <w:p>
      <w:pPr>
        <w:pStyle w:val="BodyText2"/>
        <w:tabs>
          <w:tab w:val="clear" w:pos="720"/>
          <w:tab w:val="left" w:pos="-1170" w:leader="none"/>
          <w:tab w:val="left" w:pos="0" w:leader="none"/>
        </w:tabs>
        <w:rPr/>
      </w:pPr>
      <w:r>
        <w:rPr/>
        <w:t>Based on the experience in Ohio and Georgia, price advantages created by the capacity portion of the Comprehensive Settlement, when combined with the proposed retail measures, will lead to significant growth in the number of gas suppliers and a significant amount of customers switching.  In Ohio, for example, there are now 23 ESPs serving individual residential gas customers compared to one in Southern California.  According to SoCalGas witness Nelson, customers choosing ESPs increased in one year to almost 10 percent of residential customers for Cincinnati Gas &amp; Electric, and over 30 percent for Columbia Gas of Ohio.  In Georgia, there are now 16 approved ESPs serving residential and small commercial customers, and 30 percent of small customers switched procurement service to ESPs within six months.  (Exhibit No. 3, p.27).</w:t>
      </w:r>
    </w:p>
    <w:p>
      <w:pPr>
        <w:pStyle w:val="BodyText2"/>
        <w:tabs>
          <w:tab w:val="clear" w:pos="720"/>
          <w:tab w:val="left" w:pos="-1170" w:leader="none"/>
          <w:tab w:val="left" w:pos="0" w:leader="none"/>
        </w:tabs>
        <w:rPr/>
      </w:pPr>
      <w:r>
        <w:rPr/>
      </w:r>
    </w:p>
    <w:p>
      <w:pPr>
        <w:pStyle w:val="Normal"/>
        <w:spacing w:lineRule="auto" w:line="360"/>
        <w:rPr/>
      </w:pPr>
      <w:r>
        <w:rPr/>
      </w:r>
    </w:p>
    <w:p>
      <w:pPr>
        <w:pStyle w:val="Heading5"/>
        <w:spacing w:lineRule="auto" w:line="240"/>
        <w:ind w:hanging="734" w:start="734" w:end="0"/>
        <w:jc w:val="center"/>
        <w:rPr/>
      </w:pPr>
      <w:r>
        <w:rPr/>
        <w:t>IMPLEMENTATION PROCEDURE FOR THE COMPREHENSIVE SETTLEMENT</w:t>
      </w:r>
    </w:p>
    <w:p>
      <w:pPr>
        <w:pStyle w:val="Normal"/>
        <w:spacing w:lineRule="auto" w:line="360"/>
        <w:rPr>
          <w:b/>
          <w:bCs/>
        </w:rPr>
      </w:pPr>
      <w:r>
        <w:rPr>
          <w:b/>
          <w:bCs/>
        </w:rPr>
      </w:r>
    </w:p>
    <w:p>
      <w:pPr>
        <w:pStyle w:val="BodyText2"/>
        <w:rPr/>
      </w:pPr>
      <w:r>
        <w:rPr/>
        <w:t xml:space="preserve">The Comprehensive Settlement does not describe the specific processes for its implementation.  ALJ Biren directed parties to address in their briefs a proposed implementation process.  </w:t>
      </w:r>
    </w:p>
    <w:p>
      <w:pPr>
        <w:pStyle w:val="Normal"/>
        <w:spacing w:lineRule="auto" w:line="360"/>
        <w:ind w:firstLine="720" w:end="0"/>
        <w:rPr/>
      </w:pPr>
      <w:r>
        <w:rPr/>
        <w:t>SoCalGas and SDG&amp;E have shared with other signatories to the Comprehensive Settlement the following proposal for processes to implement it, but there has been insufficient time to get the affirmative consent of all these many parties.  SoCalGas and SDG&amp;E believe it will be acceptable to all signatories, but this may be clarified in reply briefs.</w:t>
      </w:r>
    </w:p>
    <w:p>
      <w:pPr>
        <w:pStyle w:val="Normal"/>
        <w:spacing w:lineRule="auto" w:line="360"/>
        <w:ind w:firstLine="720" w:end="0"/>
        <w:rPr/>
      </w:pPr>
      <w:r>
        <w:rPr/>
        <w:t>There are basically three implementation dates applicable to various portions of the Comprehensive Settlement:  (1) the later of October 1, 2000 or 90 days after Commission approval of the settlement; (2) April 1, 2001; and (3) October 1, 2001.</w:t>
      </w:r>
    </w:p>
    <w:p>
      <w:pPr>
        <w:pStyle w:val="Normal"/>
        <w:spacing w:lineRule="auto" w:line="360"/>
        <w:ind w:firstLine="720" w:end="0"/>
        <w:rPr/>
      </w:pPr>
      <w:r>
        <w:rPr/>
        <w:t>SoCalGas/SDG&amp;E proposes an implementation process with three phases, to resolve implementation details of three sets of provisions, in the same order as the applicable deadlines.  SoCalGas/SDG&amp;E propose that this process employ pre-filing discussions open to the public, followed by advice letter filings by SoCalGas/SDG&amp;E.  Parties could protest 20 days after filing, and SoCalGas/SDG&amp;E could reply 5 business days later.  A Commission resolution would be issued to resolve protests, if there were any.  The Energy Division would be authorized to make effective any tariff provisions not protested without the necessity of a Commission resolution.</w:t>
      </w:r>
    </w:p>
    <w:p>
      <w:pPr>
        <w:pStyle w:val="Normal"/>
        <w:spacing w:lineRule="auto" w:line="360"/>
        <w:rPr/>
      </w:pPr>
      <w:r>
        <w:rPr/>
      </w:r>
    </w:p>
    <w:p>
      <w:pPr>
        <w:pStyle w:val="Heading1"/>
        <w:tabs>
          <w:tab w:val="clear" w:pos="720"/>
          <w:tab w:val="left" w:pos="0" w:leader="none"/>
        </w:tabs>
        <w:ind w:hanging="585" w:start="585"/>
        <w:rPr>
          <w:rFonts w:ascii="Courier New" w:hAnsi="Courier New" w:eastAsia="Courier New" w:cs="Courier New"/>
          <w:b/>
          <w:bCs/>
        </w:rPr>
      </w:pPr>
      <w:r>
        <w:rPr>
          <w:rFonts w:eastAsia="Courier New" w:cs="Courier New" w:ascii="Courier New" w:hAnsi="Courier New"/>
          <w:b/>
          <w:bCs/>
        </w:rPr>
        <w:t>A.</w:t>
        <w:tab/>
        <w:t>Phase One</w:t>
      </w:r>
    </w:p>
    <w:p>
      <w:pPr>
        <w:pStyle w:val="Normal"/>
        <w:spacing w:lineRule="auto" w:line="360"/>
        <w:ind w:firstLine="720" w:end="0"/>
        <w:rPr/>
      </w:pPr>
      <w:r>
        <w:rPr/>
        <w:t>Phase One would deal with provisions that are supposed to be effective on the later of October 1, 2000, or 90 days from Commission approval of the settlement.  Due to the settlement having been opposed and set for hearings, it is now certain that 90 days from Commission approval of the settlement will be the later of these two dates and, therefore, the effective date for these provisions.</w:t>
      </w:r>
    </w:p>
    <w:p>
      <w:pPr>
        <w:pStyle w:val="Normal"/>
        <w:spacing w:lineRule="auto" w:line="360"/>
        <w:ind w:firstLine="720" w:end="0"/>
        <w:rPr/>
      </w:pPr>
      <w:r>
        <w:rPr/>
        <w:t>Provisions that would be addressed in Phase One include:</w:t>
      </w:r>
    </w:p>
    <w:p>
      <w:pPr>
        <w:pStyle w:val="Normal"/>
        <w:spacing w:lineRule="auto" w:line="360"/>
        <w:rPr/>
      </w:pPr>
      <w:r>
        <w:rPr/>
      </w:r>
    </w:p>
    <w:p>
      <w:pPr>
        <w:pStyle w:val="Normal"/>
        <w:numPr>
          <w:ilvl w:val="0"/>
          <w:numId w:val="8"/>
        </w:numPr>
        <w:tabs>
          <w:tab w:val="clear" w:pos="720"/>
          <w:tab w:val="left" w:pos="0" w:leader="none"/>
        </w:tabs>
        <w:spacing w:lineRule="auto" w:line="360"/>
        <w:ind w:hanging="360" w:start="1440" w:end="0"/>
        <w:rPr/>
      </w:pPr>
      <w:r>
        <w:rPr/>
        <w:t>Establishment of Hector Road as a receipt point for which nominations for transportation on the SoCalGas system may be made</w:t>
      </w:r>
    </w:p>
    <w:p>
      <w:pPr>
        <w:pStyle w:val="Normal"/>
        <w:tabs>
          <w:tab w:val="clear" w:pos="720"/>
          <w:tab w:val="left" w:pos="1080" w:leader="none"/>
        </w:tabs>
        <w:spacing w:lineRule="auto" w:line="360"/>
        <w:ind w:start="1080" w:end="0"/>
        <w:rPr/>
      </w:pPr>
      <w:r>
        <w:rPr/>
      </w:r>
    </w:p>
    <w:p>
      <w:pPr>
        <w:pStyle w:val="Normal"/>
        <w:numPr>
          <w:ilvl w:val="0"/>
          <w:numId w:val="9"/>
        </w:numPr>
        <w:tabs>
          <w:tab w:val="clear" w:pos="720"/>
          <w:tab w:val="left" w:pos="0" w:leader="none"/>
        </w:tabs>
        <w:spacing w:lineRule="auto" w:line="360"/>
        <w:ind w:hanging="360" w:start="1440" w:end="0"/>
        <w:rPr/>
      </w:pPr>
      <w:r>
        <w:rPr/>
        <w:t>Modifying SoCalGas’ “windowing” procedures to allow nominations up to the full physical capacity of individual receipt points (except Hector Road).</w:t>
      </w:r>
    </w:p>
    <w:p>
      <w:pPr>
        <w:pStyle w:val="Normal"/>
        <w:tabs>
          <w:tab w:val="clear" w:pos="720"/>
          <w:tab w:val="left" w:pos="1080" w:leader="none"/>
        </w:tabs>
        <w:spacing w:lineRule="auto" w:line="360"/>
        <w:ind w:start="1080" w:end="0"/>
        <w:rPr/>
      </w:pPr>
      <w:r>
        <w:rPr/>
      </w:r>
    </w:p>
    <w:p>
      <w:pPr>
        <w:pStyle w:val="Normal"/>
        <w:numPr>
          <w:ilvl w:val="0"/>
          <w:numId w:val="10"/>
        </w:numPr>
        <w:tabs>
          <w:tab w:val="clear" w:pos="720"/>
          <w:tab w:val="left" w:pos="0" w:leader="none"/>
        </w:tabs>
        <w:spacing w:lineRule="auto" w:line="360"/>
        <w:ind w:hanging="720" w:start="1440" w:end="0"/>
        <w:rPr/>
      </w:pPr>
      <w:r>
        <w:rPr/>
        <w:t>Establishment of pooling on the SoCalGas system (consistent with provisions in effect prior to the establishment of firm, tradable intrastate backbone transmission rights)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Making storage contracts (in whole, not in part) assignable for less than the full term of the contract.</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Providing CTAs with storage service options prior to 4/1/01</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Providing additional operating information on the SoCalGas GasSelect EBB</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Eliminating the 10% market share limitation on core aggregation transportation</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Reducing the minimum size for a CTA to serving 120,000 th/yr.</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Increasing SoCalGas and SDG&amp;E’s brokerage fees to 2.4 cent/dth</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Unbundling SoCalGas’ interstate pipeline capacity for CTAs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SoCalGas and SDG&amp;E providing ESP consolidated billing credits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Establishing the pilot program for meter ownership and AMR.</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0"/>
        </w:numPr>
        <w:tabs>
          <w:tab w:val="clear" w:pos="720"/>
          <w:tab w:val="left" w:pos="0" w:leader="none"/>
        </w:tabs>
        <w:spacing w:lineRule="auto" w:line="360"/>
        <w:ind w:hanging="720" w:start="1440" w:end="0"/>
        <w:rPr/>
      </w:pPr>
      <w:r>
        <w:rPr/>
        <w:t>Recovering capacity-related implementation costs for SoCalGas in rates.</w:t>
      </w:r>
    </w:p>
    <w:p>
      <w:pPr>
        <w:pStyle w:val="Normal"/>
        <w:numPr>
          <w:ilvl w:val="0"/>
          <w:numId w:val="0"/>
        </w:numPr>
        <w:spacing w:lineRule="auto" w:line="360"/>
        <w:ind w:hanging="0" w:start="0"/>
        <w:rPr/>
      </w:pPr>
      <w:r>
        <w:rPr/>
      </w:r>
    </w:p>
    <w:p>
      <w:pPr>
        <w:pStyle w:val="Normal"/>
        <w:numPr>
          <w:ilvl w:val="0"/>
          <w:numId w:val="10"/>
        </w:numPr>
        <w:tabs>
          <w:tab w:val="clear" w:pos="720"/>
          <w:tab w:val="left" w:pos="0" w:leader="none"/>
        </w:tabs>
        <w:spacing w:lineRule="auto" w:line="360"/>
        <w:ind w:hanging="360" w:start="1440" w:end="0"/>
        <w:rPr/>
      </w:pPr>
      <w:r>
        <w:rPr/>
        <w:t>Elimination of view-only bill for core customers receiving service from CTAs who provide consolidated billing and agree to display utility rates and charges and to furnish utility bill inserts</w:t>
      </w:r>
    </w:p>
    <w:p>
      <w:pPr>
        <w:pStyle w:val="Normal"/>
        <w:spacing w:lineRule="auto" w:line="360"/>
        <w:rPr/>
      </w:pPr>
      <w:r>
        <w:rPr/>
      </w:r>
    </w:p>
    <w:p>
      <w:pPr>
        <w:pStyle w:val="Normal"/>
        <w:spacing w:lineRule="auto" w:line="360"/>
        <w:rPr/>
      </w:pPr>
      <w:r>
        <w:rPr/>
        <w:t>(this list is not intended to be exclusive; there may be other aspects of the settlement to be effective at this time that this list omits.)</w:t>
      </w:r>
    </w:p>
    <w:p>
      <w:pPr>
        <w:pStyle w:val="Normal"/>
        <w:spacing w:lineRule="auto" w:line="360"/>
        <w:rPr/>
      </w:pPr>
      <w:r>
        <w:rPr/>
      </w:r>
    </w:p>
    <w:p>
      <w:pPr>
        <w:pStyle w:val="Normal"/>
        <w:spacing w:lineRule="auto" w:line="360"/>
        <w:ind w:firstLine="720" w:end="0"/>
        <w:rPr/>
      </w:pPr>
      <w:r>
        <w:rPr/>
        <w:t>SoCalGas/SDG&amp;E propose the following procedure for Phase One implementation:</w:t>
      </w:r>
    </w:p>
    <w:p>
      <w:pPr>
        <w:pStyle w:val="Normal"/>
        <w:spacing w:lineRule="auto" w:line="360"/>
        <w:ind w:firstLine="720" w:end="0"/>
        <w:rPr/>
      </w:pPr>
      <w:r>
        <w:rPr/>
        <w:t>SoCalGas/SDG&amp;E will commence discussions open to the public of tariff language implementing Phase One provisions within 10 days of the issuance of a Proposed Decision addressing to the settlement.  SoCalGas/SDG&amp;E will file within 30 days of the issuance of a decision approving the settlement proposed tariffs to implement the Phase One provisions.  The Commission should issue a resolution resolving any disputes within 80 days after the issuance of the decision, so that the provisions can be effective 90 days after the decision as specified in the settlement.</w:t>
      </w:r>
    </w:p>
    <w:p>
      <w:pPr>
        <w:pStyle w:val="Normal"/>
        <w:spacing w:lineRule="auto" w:line="360"/>
        <w:rPr/>
      </w:pPr>
      <w:r>
        <w:rPr/>
      </w:r>
    </w:p>
    <w:p>
      <w:pPr>
        <w:pStyle w:val="Heading1"/>
        <w:tabs>
          <w:tab w:val="clear" w:pos="720"/>
          <w:tab w:val="left" w:pos="0" w:leader="none"/>
        </w:tabs>
        <w:ind w:hanging="585" w:start="585"/>
        <w:rPr>
          <w:rFonts w:ascii="Courier New" w:hAnsi="Courier New" w:eastAsia="Courier New" w:cs="Courier New"/>
          <w:b/>
          <w:bCs/>
        </w:rPr>
      </w:pPr>
      <w:r>
        <w:rPr>
          <w:rFonts w:eastAsia="Courier New" w:cs="Courier New" w:ascii="Courier New" w:hAnsi="Courier New"/>
          <w:b/>
          <w:bCs/>
        </w:rPr>
        <w:t>B.</w:t>
        <w:tab/>
        <w:t>Phase Two</w:t>
      </w:r>
    </w:p>
    <w:p>
      <w:pPr>
        <w:pStyle w:val="Normal"/>
        <w:spacing w:lineRule="auto" w:line="360"/>
        <w:ind w:firstLine="720" w:end="0"/>
        <w:rPr/>
      </w:pPr>
      <w:r>
        <w:rPr/>
        <w:t>Phase Two provisions are to be effective April 1, 2001.  However, some of these provisions need to be approved and in place by at least March 1, 2001 in order to permit the first storage service open season to proceed and be concluded prior to effectiveness on April 1, 2001.  (There is a potential for substantial overlap of Phase One and Phase Two if a decision approving the settlement is delayed past December 1, 2000.  Furthermore, if approval of the settlement is delayed past January 1, 2001, it may be difficult or impossible to meet the April 1, 2001 deadline provided in the settlement.)</w:t>
      </w:r>
    </w:p>
    <w:p>
      <w:pPr>
        <w:pStyle w:val="Normal"/>
        <w:spacing w:lineRule="auto" w:line="360"/>
        <w:ind w:firstLine="720" w:end="0"/>
        <w:rPr/>
      </w:pPr>
      <w:r>
        <w:rPr/>
        <w:t>Phase Two provisions include:</w:t>
      </w:r>
    </w:p>
    <w:p>
      <w:pPr>
        <w:pStyle w:val="Normal"/>
        <w:tabs>
          <w:tab w:val="clear" w:pos="720"/>
          <w:tab w:val="left" w:pos="1080" w:leader="none"/>
        </w:tabs>
        <w:spacing w:lineRule="auto" w:line="360"/>
        <w:ind w:start="1080" w:end="0"/>
        <w:rPr/>
      </w:pPr>
      <w:r>
        <w:rPr/>
      </w:r>
    </w:p>
    <w:p>
      <w:pPr>
        <w:pStyle w:val="Normal"/>
        <w:numPr>
          <w:ilvl w:val="0"/>
          <w:numId w:val="11"/>
        </w:numPr>
        <w:tabs>
          <w:tab w:val="clear" w:pos="720"/>
          <w:tab w:val="left" w:pos="0" w:leader="none"/>
        </w:tabs>
        <w:spacing w:lineRule="auto" w:line="360"/>
        <w:ind w:hanging="720" w:start="1440" w:end="0"/>
        <w:rPr/>
      </w:pPr>
      <w:r>
        <w:rPr/>
        <w:t>Establishing the “OFO” process in lieu of overnomination event provisions in current SoCalGas Rule 30, and establishing the OFO Forum process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Implementing the balancing provisions of the Comprehensive Settlement, including balancing core and noncore classes separately within newly-defined balancing asset capacities, revising imbalance charges, and posting daily core demand forecasts.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Establishing imbalance trading per the Comprehensive Settlement, including “chip trading” and making the Altra system available for imbalance trading.</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Making the self-balancing option available.</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 xml:space="preserve">Modifying the allocation of storage assets between core and unbundled service. </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Modifying base rates to reflect changes in storage asset allocation.</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720" w:start="1440" w:end="0"/>
        <w:rPr/>
      </w:pPr>
      <w:r>
        <w:rPr/>
        <w:t>Providing details for CTA and wholesale customers’ exercise of options for storage service set-asides.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1"/>
        </w:numPr>
        <w:tabs>
          <w:tab w:val="clear" w:pos="720"/>
          <w:tab w:val="left" w:pos="0" w:leader="none"/>
        </w:tabs>
        <w:spacing w:lineRule="auto" w:line="360"/>
        <w:ind w:hanging="360" w:start="1440" w:end="0"/>
        <w:rPr/>
      </w:pPr>
      <w:r>
        <w:rPr/>
        <w:t>Providing details for the conduct of the first storage service open season, to be effective April 1, 2001.</w:t>
      </w:r>
    </w:p>
    <w:p>
      <w:pPr>
        <w:pStyle w:val="Normal"/>
        <w:tabs>
          <w:tab w:val="clear" w:pos="720"/>
          <w:tab w:val="left" w:pos="1080" w:leader="none"/>
        </w:tabs>
        <w:spacing w:lineRule="auto" w:line="360"/>
        <w:ind w:start="1080" w:end="0"/>
        <w:rPr/>
      </w:pPr>
      <w:r>
        <w:rPr/>
      </w:r>
    </w:p>
    <w:p>
      <w:pPr>
        <w:pStyle w:val="Normal"/>
        <w:numPr>
          <w:ilvl w:val="0"/>
          <w:numId w:val="12"/>
        </w:numPr>
        <w:tabs>
          <w:tab w:val="left" w:pos="0" w:leader="none"/>
          <w:tab w:val="left" w:pos="720" w:leader="none"/>
        </w:tabs>
        <w:spacing w:lineRule="auto" w:line="360"/>
        <w:ind w:hanging="720" w:start="1440" w:end="0"/>
        <w:rPr/>
      </w:pPr>
      <w:r>
        <w:rPr/>
        <w:t>Modifying the pricing flexibility for storage contracts offered by SoCalGas outside the storage open season.</w:t>
      </w:r>
    </w:p>
    <w:p>
      <w:pPr>
        <w:pStyle w:val="Normal"/>
        <w:numPr>
          <w:ilvl w:val="0"/>
          <w:numId w:val="0"/>
        </w:numPr>
        <w:tabs>
          <w:tab w:val="left" w:pos="720" w:leader="none"/>
          <w:tab w:val="left" w:pos="1080" w:leader="none"/>
        </w:tabs>
        <w:spacing w:lineRule="auto" w:line="360"/>
        <w:ind w:hanging="0" w:start="1080" w:end="0"/>
        <w:rPr/>
      </w:pPr>
      <w:r>
        <w:rPr/>
      </w:r>
    </w:p>
    <w:p>
      <w:pPr>
        <w:pStyle w:val="Normal"/>
        <w:numPr>
          <w:ilvl w:val="0"/>
          <w:numId w:val="12"/>
        </w:numPr>
        <w:tabs>
          <w:tab w:val="left" w:pos="0" w:leader="none"/>
          <w:tab w:val="left" w:pos="720" w:leader="none"/>
        </w:tabs>
        <w:spacing w:lineRule="auto" w:line="360"/>
        <w:ind w:hanging="720" w:start="1440" w:end="0"/>
        <w:rPr/>
      </w:pPr>
      <w:r>
        <w:rPr/>
        <w:t>Establishment of procedures for posting of quarterly storage contract information.</w:t>
      </w:r>
    </w:p>
    <w:p>
      <w:pPr>
        <w:pStyle w:val="Normal"/>
        <w:numPr>
          <w:ilvl w:val="0"/>
          <w:numId w:val="0"/>
        </w:numPr>
        <w:tabs>
          <w:tab w:val="left" w:pos="720" w:leader="none"/>
          <w:tab w:val="left" w:pos="1080" w:leader="none"/>
        </w:tabs>
        <w:spacing w:lineRule="auto" w:line="360"/>
        <w:ind w:hanging="0" w:start="1080" w:end="0"/>
        <w:rPr/>
      </w:pPr>
      <w:r>
        <w:rPr/>
      </w:r>
    </w:p>
    <w:p>
      <w:pPr>
        <w:pStyle w:val="Normal"/>
        <w:numPr>
          <w:ilvl w:val="0"/>
          <w:numId w:val="12"/>
        </w:numPr>
        <w:tabs>
          <w:tab w:val="left" w:pos="0" w:leader="none"/>
          <w:tab w:val="left" w:pos="720" w:leader="none"/>
        </w:tabs>
        <w:spacing w:lineRule="auto" w:line="360"/>
        <w:ind w:hanging="360" w:start="1440" w:end="0"/>
        <w:rPr/>
      </w:pPr>
      <w:r>
        <w:rPr/>
        <w:t>Modifying tariff provisions to reflect changes in SoCalGas’ risk for storage service and the relationship of storage service risk to base rate PBR provisions.</w:t>
      </w:r>
    </w:p>
    <w:p>
      <w:pPr>
        <w:pStyle w:val="Normal"/>
        <w:tabs>
          <w:tab w:val="clear" w:pos="720"/>
          <w:tab w:val="left" w:pos="1080" w:leader="none"/>
        </w:tabs>
        <w:spacing w:lineRule="auto" w:line="360"/>
        <w:ind w:start="1080" w:end="0"/>
        <w:rPr/>
      </w:pPr>
      <w:r>
        <w:rPr/>
      </w:r>
    </w:p>
    <w:p>
      <w:pPr>
        <w:pStyle w:val="Normal"/>
        <w:numPr>
          <w:ilvl w:val="0"/>
          <w:numId w:val="13"/>
        </w:numPr>
        <w:tabs>
          <w:tab w:val="clear" w:pos="720"/>
          <w:tab w:val="left" w:pos="0" w:leader="none"/>
        </w:tabs>
        <w:spacing w:lineRule="auto" w:line="360"/>
        <w:ind w:hanging="720" w:start="1440" w:end="0"/>
        <w:rPr/>
      </w:pPr>
      <w:r>
        <w:rPr/>
        <w:t>Establishing the SoCalGas Gas Operations Hub</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3"/>
        </w:numPr>
        <w:tabs>
          <w:tab w:val="clear" w:pos="720"/>
          <w:tab w:val="left" w:pos="0" w:leader="none"/>
        </w:tabs>
        <w:spacing w:lineRule="auto" w:line="360"/>
        <w:ind w:hanging="360" w:start="1440" w:end="0"/>
        <w:rPr/>
      </w:pPr>
      <w:r>
        <w:rPr/>
        <w:t>Terminating SoCalGas’ and SDG&amp;E’s gas procurement services for noncore customers (esp. “core subscription” service), subject to expiration of existing contracts.</w:t>
      </w:r>
    </w:p>
    <w:p>
      <w:pPr>
        <w:pStyle w:val="Normal"/>
        <w:spacing w:lineRule="auto" w:line="360"/>
        <w:rPr/>
      </w:pPr>
      <w:r>
        <w:rPr/>
      </w:r>
    </w:p>
    <w:p>
      <w:pPr>
        <w:pStyle w:val="Normal"/>
        <w:spacing w:lineRule="auto" w:line="360"/>
        <w:rPr/>
      </w:pPr>
      <w:r>
        <w:rPr/>
        <w:t>(this list is not intended to be exclusive; there may be other aspects of the settlement to be effective at this time that this list omits.)</w:t>
      </w:r>
    </w:p>
    <w:p>
      <w:pPr>
        <w:pStyle w:val="Normal"/>
        <w:spacing w:lineRule="auto" w:line="360"/>
        <w:rPr/>
      </w:pPr>
      <w:r>
        <w:rPr/>
      </w:r>
    </w:p>
    <w:p>
      <w:pPr>
        <w:pStyle w:val="Normal"/>
        <w:spacing w:lineRule="auto" w:line="360"/>
        <w:ind w:firstLine="720" w:end="0"/>
        <w:rPr/>
      </w:pPr>
      <w:r>
        <w:rPr/>
        <w:t>SoCalGas/SDG&amp;E propose the following procedure for Phase Two implementation:</w:t>
      </w:r>
    </w:p>
    <w:p>
      <w:pPr>
        <w:pStyle w:val="Normal"/>
        <w:spacing w:lineRule="auto" w:line="360"/>
        <w:ind w:firstLine="720" w:end="0"/>
        <w:rPr/>
      </w:pPr>
      <w:r>
        <w:rPr/>
        <w:t>SoCalGas/SDG&amp;E will commence discussions open to the public of tariff language implementing Phase Two provisions at the earlier of:  (a) 10 days after the issuance of a decision approving the Comprehensive Settlement or January 3, 2001.  SoCalGas/SDG&amp;E will file 30 days thereafter (but not prior to 10 days after issuance of a decision approving the settlement) proposed tariffs to implement the Phase Two provisions.  The Commission should issue a resolution resolving any protests prior to March 1, 2001, if this is at all possible.  If it is not possible, a modification in the effective date for these provisions may be inevitable.</w:t>
      </w:r>
    </w:p>
    <w:p>
      <w:pPr>
        <w:pStyle w:val="Normal"/>
        <w:spacing w:lineRule="auto" w:line="360"/>
        <w:rPr/>
      </w:pPr>
      <w:r>
        <w:rPr/>
      </w:r>
    </w:p>
    <w:p>
      <w:pPr>
        <w:pStyle w:val="Heading1"/>
        <w:tabs>
          <w:tab w:val="clear" w:pos="720"/>
          <w:tab w:val="left" w:pos="0" w:leader="none"/>
        </w:tabs>
        <w:ind w:hanging="585" w:start="585"/>
        <w:rPr>
          <w:rFonts w:ascii="Courier New" w:hAnsi="Courier New" w:eastAsia="Courier New" w:cs="Courier New"/>
          <w:b/>
          <w:bCs/>
        </w:rPr>
      </w:pPr>
      <w:r>
        <w:rPr>
          <w:rFonts w:eastAsia="Courier New" w:cs="Courier New" w:ascii="Courier New" w:hAnsi="Courier New"/>
          <w:b/>
          <w:bCs/>
        </w:rPr>
        <w:t>C.</w:t>
        <w:tab/>
        <w:t>Phase Three</w:t>
      </w:r>
    </w:p>
    <w:p>
      <w:pPr>
        <w:pStyle w:val="Normal"/>
        <w:spacing w:lineRule="auto" w:line="360"/>
        <w:ind w:firstLine="720" w:end="0"/>
        <w:rPr/>
      </w:pPr>
      <w:r>
        <w:rPr/>
        <w:t>Phase Three provisions are to be effective October 1, 2001.  However, some of these provisions need to be approved and in place by at least September 1, 2001, in order to permit the first backbone transmission service open season to proceed and be concluded prior to effectiveness on October 1, 2001.</w:t>
      </w:r>
    </w:p>
    <w:p>
      <w:pPr>
        <w:pStyle w:val="Normal"/>
        <w:spacing w:lineRule="auto" w:line="360"/>
        <w:ind w:firstLine="720" w:end="0"/>
        <w:rPr/>
      </w:pPr>
      <w:r>
        <w:rPr/>
        <w:t>Phase Three provisions include:</w:t>
      </w:r>
    </w:p>
    <w:p>
      <w:pPr>
        <w:pStyle w:val="Normal"/>
        <w:spacing w:lineRule="auto" w:line="360"/>
        <w:rPr/>
      </w:pPr>
      <w:r>
        <w:rPr/>
      </w:r>
    </w:p>
    <w:p>
      <w:pPr>
        <w:pStyle w:val="Normal"/>
        <w:numPr>
          <w:ilvl w:val="0"/>
          <w:numId w:val="14"/>
        </w:numPr>
        <w:tabs>
          <w:tab w:val="clear" w:pos="720"/>
          <w:tab w:val="left" w:pos="0" w:leader="none"/>
        </w:tabs>
        <w:spacing w:lineRule="auto" w:line="360"/>
        <w:ind w:hanging="720" w:start="1440" w:end="0"/>
        <w:rPr/>
      </w:pPr>
      <w:r>
        <w:rPr/>
        <w:t>Establishment of procedures for exercise of set-aside options for intrastate backbone transmission service by SoCalGas.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Establishment of procedures and details for the initial and subsequent annual open seasons for SoCalGas backbone transmission service (including options for seasonal service).</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Establishment of provisions for backbone transmission rights trading, including on Altra system.</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Modification of bundled base rates to reflect the unbundling of backbone transmission per the Comprehensive Settlement.</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Establishment of provisions for shareholder risk/reward for backbone transmission and relationship to base rate PBR provisions.</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Modification of pooling provisions to provide for pools at the citygate.</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720" w:start="1440" w:end="0"/>
        <w:rPr/>
      </w:pPr>
      <w:r>
        <w:rPr/>
        <w:t>Establishment of new gas diversion charges and elimination of the Service Interruption Credit.</w:t>
      </w:r>
    </w:p>
    <w:p>
      <w:pPr>
        <w:pStyle w:val="Normal"/>
        <w:numPr>
          <w:ilvl w:val="0"/>
          <w:numId w:val="0"/>
        </w:numPr>
        <w:tabs>
          <w:tab w:val="clear" w:pos="720"/>
          <w:tab w:val="left" w:pos="1080" w:leader="none"/>
        </w:tabs>
        <w:spacing w:lineRule="auto" w:line="360"/>
        <w:ind w:hanging="0" w:start="1080" w:end="0"/>
        <w:rPr/>
      </w:pPr>
      <w:r>
        <w:rPr/>
      </w:r>
    </w:p>
    <w:p>
      <w:pPr>
        <w:pStyle w:val="Normal"/>
        <w:numPr>
          <w:ilvl w:val="0"/>
          <w:numId w:val="14"/>
        </w:numPr>
        <w:tabs>
          <w:tab w:val="clear" w:pos="720"/>
          <w:tab w:val="left" w:pos="0" w:leader="none"/>
        </w:tabs>
        <w:spacing w:lineRule="auto" w:line="360"/>
        <w:ind w:hanging="360" w:start="1440" w:end="0"/>
        <w:rPr/>
      </w:pPr>
      <w:r>
        <w:rPr/>
        <w:t>Establishment of procedures for filing of monthly backbone transmission contract report.</w:t>
      </w:r>
    </w:p>
    <w:p>
      <w:pPr>
        <w:pStyle w:val="Normal"/>
        <w:spacing w:lineRule="auto" w:line="360"/>
        <w:rPr/>
      </w:pPr>
      <w:r>
        <w:rPr/>
      </w:r>
    </w:p>
    <w:p>
      <w:pPr>
        <w:pStyle w:val="Normal"/>
        <w:spacing w:lineRule="auto" w:line="360"/>
        <w:rPr/>
      </w:pPr>
      <w:r>
        <w:rPr/>
        <w:t>(this list is not intended to be exclusive; there may be other aspects of the settlement to be effective at this time that this list omits.)</w:t>
      </w:r>
    </w:p>
    <w:p>
      <w:pPr>
        <w:pStyle w:val="Normal"/>
        <w:spacing w:lineRule="auto" w:line="360"/>
        <w:rPr/>
      </w:pPr>
      <w:r>
        <w:rPr/>
      </w:r>
    </w:p>
    <w:p>
      <w:pPr>
        <w:pStyle w:val="Normal"/>
        <w:spacing w:lineRule="auto" w:line="360"/>
        <w:ind w:firstLine="720" w:end="0"/>
        <w:rPr/>
      </w:pPr>
      <w:r>
        <w:rPr/>
        <w:t>SoCalGas/SDG&amp;E propose the following procedure for implementing Phase Three provisions.  SoCalGas/SDG&amp;E will commence by May 20, 2001 discussions open to the public of tariff language implementing Phase Three.  By June 20, 2001, SoCalGas/SDG&amp;E will file proposed tariffs to implement the Phase Three provisions.  The Commission should issue a resolution resolving any protests as by August 20, 2001.</w:t>
      </w:r>
    </w:p>
    <w:p>
      <w:pPr>
        <w:pStyle w:val="Heading2"/>
        <w:ind w:hanging="0" w:start="0"/>
        <w:jc w:val="start"/>
        <w:rPr>
          <w:rFonts w:ascii="Courier New" w:hAnsi="Courier New" w:eastAsia="Courier New" w:cs="Courier New"/>
        </w:rPr>
      </w:pPr>
      <w:r>
        <w:rPr>
          <w:rFonts w:eastAsia="Courier New" w:cs="Courier New" w:ascii="Courier New" w:hAnsi="Courier New"/>
        </w:rPr>
      </w:r>
    </w:p>
    <w:p>
      <w:pPr>
        <w:pStyle w:val="Heading2"/>
        <w:ind w:hanging="0" w:start="0"/>
        <w:jc w:val="start"/>
        <w:rPr>
          <w:rFonts w:ascii="Courier New" w:hAnsi="Courier New" w:eastAsia="Courier New" w:cs="Courier New"/>
        </w:rPr>
      </w:pPr>
      <w:r>
        <w:rPr>
          <w:rFonts w:eastAsia="Courier New" w:cs="Courier New" w:ascii="Courier New" w:hAnsi="Courier New"/>
        </w:rPr>
        <w:t>D.</w:t>
        <w:tab/>
        <w:t>Other Provisions</w:t>
      </w:r>
    </w:p>
    <w:p>
      <w:pPr>
        <w:pStyle w:val="Normal"/>
        <w:spacing w:lineRule="auto" w:line="360"/>
        <w:ind w:firstLine="720" w:end="0"/>
        <w:rPr/>
      </w:pPr>
      <w:r>
        <w:rPr/>
        <w:t>Section 7.2.3 provides for SoCalGas and SDG&amp;E to offer utility consolidated billing service to CTAs as soon as billing system modifications allow.  No specific deadline is provided.  SoCalGas and SDG&amp;E will follow a consultation and advice letter process to implement this provision, but the exact timing cannot yet be established and should be left to the two utilities’ reasonable discretion.</w:t>
      </w:r>
    </w:p>
    <w:p>
      <w:pPr>
        <w:pStyle w:val="Normal"/>
        <w:spacing w:lineRule="auto" w:line="360"/>
        <w:rPr/>
      </w:pPr>
      <w:r>
        <w:rPr/>
      </w:r>
    </w:p>
    <w:p>
      <w:pPr>
        <w:pStyle w:val="Normal"/>
        <w:spacing w:lineRule="auto" w:line="360"/>
        <w:rPr/>
      </w:pPr>
      <w:r>
        <w:rPr/>
      </w:r>
    </w:p>
    <w:p>
      <w:pPr>
        <w:pStyle w:val="Heading4"/>
        <w:spacing w:before="0" w:after="0"/>
        <w:ind w:hanging="0" w:start="0"/>
        <w:jc w:val="center"/>
        <w:rPr>
          <w:rFonts w:ascii="Courier New" w:hAnsi="Courier New" w:eastAsia="Courier New" w:cs="Courier New"/>
        </w:rPr>
      </w:pPr>
      <w:r>
        <w:rPr>
          <w:rFonts w:eastAsia="Courier New" w:cs="Courier New" w:ascii="Courier New" w:hAnsi="Courier New"/>
        </w:rPr>
        <w:t>CONCLUSION</w:t>
      </w:r>
    </w:p>
    <w:p>
      <w:pPr>
        <w:pStyle w:val="Normal"/>
        <w:spacing w:lineRule="auto" w:line="360"/>
        <w:rPr>
          <w:rFonts w:ascii="Courier New" w:hAnsi="Courier New" w:eastAsia="Courier New" w:cs="Courier New"/>
          <w:b/>
          <w:bCs/>
        </w:rPr>
      </w:pPr>
      <w:r>
        <w:rPr>
          <w:rFonts w:eastAsia="Courier New" w:cs="Courier New"/>
          <w:b/>
          <w:bCs/>
        </w:rPr>
      </w:r>
    </w:p>
    <w:p>
      <w:pPr>
        <w:pStyle w:val="Footer"/>
        <w:tabs>
          <w:tab w:val="clear" w:pos="4320"/>
          <w:tab w:val="clear" w:pos="8640"/>
        </w:tabs>
        <w:spacing w:lineRule="auto" w:line="360"/>
        <w:rPr/>
      </w:pPr>
      <w:r>
        <w:rPr/>
        <w:tab/>
        <w:t>The Comprehensive Settlement implements essentially all of the reforms that the Commission found in July of last year to be the most promising options for SoCalGas and SDG&amp;E.  It does so in a manner that promotes consistency with the regulatory and market structure of the gas industry already adopted by the Commission for northern California.  It has support from every segment of the gas industry in southern California.  It will deliver significant benefits for all gas consumers, including residential customers who choose fully bundled utility service.  At the same time, it will increase customer options and provide an incentive for increased competition in the core market, which to date has not seen the same degree of access to benefits from competition as the noncore market.</w:t>
      </w:r>
    </w:p>
    <w:p>
      <w:pPr>
        <w:pStyle w:val="Footer"/>
        <w:tabs>
          <w:tab w:val="clear" w:pos="4320"/>
          <w:tab w:val="clear" w:pos="8640"/>
        </w:tabs>
        <w:spacing w:lineRule="auto" w:line="360"/>
        <w:rPr/>
      </w:pPr>
      <w:r>
        <w:rPr/>
        <w:tab/>
        <w:t>The Interim Settlement is acceptable to SoCalGas and SDG&amp;E.  However, if the Commission adopts the Interim Settlement in lieu of the Comprehensive Settlement, the Commission will need to immediately institute additional proceedings to address promising options not addressed by the Interim Settlement and to address transmission, storage and balancing issues for the period beginning January 1, 2003.</w:t>
      </w:r>
    </w:p>
    <w:p>
      <w:pPr>
        <w:pStyle w:val="Footer"/>
        <w:tabs>
          <w:tab w:val="clear" w:pos="4320"/>
          <w:tab w:val="clear" w:pos="8640"/>
        </w:tabs>
        <w:spacing w:lineRule="auto" w:line="360"/>
        <w:rPr/>
      </w:pPr>
      <w:r>
        <w:rPr/>
        <w:tab/>
        <w:t xml:space="preserve">The Commission should reject the Post-Interim Settlement.  It improperly and unreasonably prevents the Commission for the next </w:t>
      </w:r>
      <w:r>
        <w:rPr>
          <w:u w:val="single"/>
        </w:rPr>
        <w:t>six</w:t>
      </w:r>
      <w:r>
        <w:rPr/>
        <w:t xml:space="preserve"> years from implementing reforms </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w:t>
      </w:r>
    </w:p>
    <w:p>
      <w:pPr>
        <w:pStyle w:val="Footer"/>
        <w:tabs>
          <w:tab w:val="clear" w:pos="4320"/>
          <w:tab w:val="clear" w:pos="8640"/>
        </w:tabs>
        <w:spacing w:lineRule="auto" w:line="360"/>
        <w:rPr/>
      </w:pPr>
      <w:r>
        <w:rPr/>
        <w:t>it previously concluded were promising now.  It contains provisions regarding ITCS and the Montebello storage field that are unreasonable and unlawful.</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ab/>
        <w:tab/>
        <w:tab/>
        <w:tab/>
        <w:tab/>
        <w:t>Respectfully submitted,</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ab/>
        <w:tab/>
        <w:tab/>
        <w:tab/>
        <w:tab/>
        <w:t>SOUTHERN CALIFORNIA GAS COMPANY</w:t>
      </w:r>
    </w:p>
    <w:p>
      <w:pPr>
        <w:pStyle w:val="Footer"/>
        <w:tabs>
          <w:tab w:val="clear" w:pos="4320"/>
          <w:tab w:val="clear" w:pos="8640"/>
        </w:tabs>
        <w:spacing w:lineRule="auto" w:line="360"/>
        <w:rPr/>
      </w:pPr>
      <w:r>
        <w:rPr/>
        <w:tab/>
        <w:tab/>
        <w:tab/>
        <w:tab/>
        <w:tab/>
        <w:t>SAN DIEGO GAS &amp; ELECTRIC COMPANY</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 xml:space="preserve">July 10, 2000      </w:t>
        <w:tab/>
        <w:tab/>
        <w:t>By:______________________________</w:t>
      </w:r>
    </w:p>
    <w:p>
      <w:pPr>
        <w:pStyle w:val="Footer"/>
        <w:tabs>
          <w:tab w:val="clear" w:pos="4320"/>
          <w:tab w:val="clear" w:pos="8640"/>
        </w:tabs>
        <w:spacing w:lineRule="auto" w:line="360"/>
        <w:rPr/>
      </w:pPr>
      <w:r>
        <w:rPr/>
        <w:tab/>
        <w:tab/>
        <w:tab/>
        <w:tab/>
        <w:tab/>
        <w:tab/>
        <w:t xml:space="preserve">  Glen J. Sullivan</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David B. Follett</w:t>
      </w:r>
    </w:p>
    <w:p>
      <w:pPr>
        <w:pStyle w:val="Footer"/>
        <w:tabs>
          <w:tab w:val="clear" w:pos="4320"/>
          <w:tab w:val="clear" w:pos="8640"/>
        </w:tabs>
        <w:rPr/>
      </w:pPr>
      <w:r>
        <w:rPr/>
        <w:tab/>
        <w:tab/>
        <w:tab/>
        <w:tab/>
        <w:tab/>
        <w:t>Glen J. Sullivan</w:t>
      </w:r>
    </w:p>
    <w:p>
      <w:pPr>
        <w:pStyle w:val="Footer"/>
        <w:tabs>
          <w:tab w:val="clear" w:pos="4320"/>
          <w:tab w:val="clear" w:pos="8640"/>
        </w:tabs>
        <w:rPr/>
      </w:pPr>
      <w:r>
        <w:rPr/>
        <w:tab/>
        <w:tab/>
        <w:tab/>
        <w:tab/>
        <w:tab/>
        <w:t>Sempra Energy Law Department</w:t>
      </w:r>
    </w:p>
    <w:p>
      <w:pPr>
        <w:pStyle w:val="Footer"/>
        <w:tabs>
          <w:tab w:val="clear" w:pos="4320"/>
          <w:tab w:val="clear" w:pos="8640"/>
        </w:tabs>
        <w:rPr/>
      </w:pPr>
      <w:r>
        <w:rPr/>
        <w:tab/>
        <w:tab/>
        <w:tab/>
        <w:tab/>
        <w:tab/>
        <w:t>101 Ash Street</w:t>
      </w:r>
    </w:p>
    <w:p>
      <w:pPr>
        <w:pStyle w:val="Footer"/>
        <w:tabs>
          <w:tab w:val="clear" w:pos="4320"/>
          <w:tab w:val="clear" w:pos="8640"/>
        </w:tabs>
        <w:rPr/>
      </w:pPr>
      <w:r>
        <w:rPr/>
        <w:tab/>
        <w:tab/>
        <w:tab/>
        <w:tab/>
        <w:tab/>
        <w:t>San Diego, California  92101</w:t>
      </w:r>
    </w:p>
    <w:p>
      <w:pPr>
        <w:pStyle w:val="Footer"/>
        <w:tabs>
          <w:tab w:val="clear" w:pos="4320"/>
          <w:tab w:val="clear" w:pos="8640"/>
        </w:tabs>
        <w:rPr/>
      </w:pPr>
      <w:r>
        <w:rPr/>
        <w:tab/>
        <w:tab/>
        <w:tab/>
        <w:tab/>
        <w:tab/>
        <w:t>Telephone:  (619) 699-5162</w:t>
      </w:r>
    </w:p>
    <w:p>
      <w:pPr>
        <w:pStyle w:val="Footer"/>
        <w:tabs>
          <w:tab w:val="clear" w:pos="4320"/>
          <w:tab w:val="clear" w:pos="8640"/>
        </w:tabs>
        <w:rPr/>
      </w:pPr>
      <w:r>
        <w:rPr/>
        <w:tab/>
        <w:tab/>
        <w:tab/>
        <w:tab/>
        <w:tab/>
        <w:t>Fax:  (619) 699-5027</w:t>
      </w:r>
    </w:p>
    <w:p>
      <w:pPr>
        <w:pStyle w:val="Footer"/>
        <w:tabs>
          <w:tab w:val="clear" w:pos="4320"/>
          <w:tab w:val="clear" w:pos="8640"/>
        </w:tabs>
        <w:rPr/>
      </w:pPr>
      <w:r>
        <w:rPr/>
        <w:tab/>
        <w:tab/>
        <w:tab/>
        <w:tab/>
        <w:tab/>
        <w:t xml:space="preserve">E-mail:  </w:t>
      </w:r>
      <w:r>
        <w:rPr>
          <w:rStyle w:val="Hyperlink"/>
        </w:rPr>
        <w:t>dfollett@sempra.com</w:t>
      </w:r>
      <w:r>
        <w:rPr/>
        <w:t xml:space="preserve"> and</w:t>
      </w:r>
    </w:p>
    <w:p>
      <w:pPr>
        <w:pStyle w:val="Footer"/>
        <w:tabs>
          <w:tab w:val="clear" w:pos="4320"/>
          <w:tab w:val="clear" w:pos="8640"/>
        </w:tabs>
        <w:rPr/>
      </w:pPr>
      <w:r>
        <w:rPr/>
        <w:tab/>
        <w:tab/>
        <w:tab/>
        <w:tab/>
        <w:tab/>
        <w:tab/>
        <w:t xml:space="preserve">    gsullivan@sempra.com</w:t>
      </w:r>
    </w:p>
    <w:p>
      <w:pPr>
        <w:pStyle w:val="Footer"/>
        <w:tabs>
          <w:tab w:val="clear" w:pos="4320"/>
          <w:tab w:val="clear" w:pos="8640"/>
        </w:tabs>
        <w:rPr/>
      </w:pPr>
      <w:r>
        <w:rPr/>
      </w:r>
    </w:p>
    <w:p>
      <w:pPr>
        <w:pStyle w:val="Footer"/>
        <w:tabs>
          <w:tab w:val="clear" w:pos="4320"/>
          <w:tab w:val="clear" w:pos="8640"/>
        </w:tabs>
        <w:rPr/>
      </w:pPr>
      <w:r>
        <w:rPr/>
        <w:tab/>
        <w:tab/>
        <w:tab/>
        <w:tab/>
        <w:tab/>
        <w:t>Attorneys for</w:t>
      </w:r>
    </w:p>
    <w:p>
      <w:pPr>
        <w:pStyle w:val="Footer"/>
        <w:tabs>
          <w:tab w:val="clear" w:pos="4320"/>
          <w:tab w:val="clear" w:pos="8640"/>
        </w:tabs>
        <w:rPr/>
      </w:pPr>
      <w:r>
        <w:rPr/>
        <w:tab/>
        <w:tab/>
        <w:tab/>
        <w:tab/>
        <w:tab/>
        <w:t xml:space="preserve">Southern California Gas Company </w:t>
      </w:r>
    </w:p>
    <w:p>
      <w:pPr>
        <w:pStyle w:val="Footer"/>
        <w:tabs>
          <w:tab w:val="clear" w:pos="4320"/>
          <w:tab w:val="clear" w:pos="8640"/>
        </w:tabs>
        <w:rPr/>
      </w:pPr>
      <w:r>
        <w:rPr/>
        <w:tab/>
        <w:tab/>
        <w:tab/>
        <w:tab/>
        <w:tab/>
        <w:t>And San Diego Gas &amp; Electric Co.</w:t>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Times New Roman">
    <w:charset w:val="01"/>
    <w:family w:val="roman"/>
    <w:pitch w:val="variable"/>
  </w:font>
  <w:font w:name="Book Antiqua">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486400" cy="34798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486400" cy="34798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486400" cy="347980"/>
              <wp:effectExtent l="0" t="0" r="0" b="0"/>
              <wp:wrapSquare wrapText="bothSides"/>
              <wp:docPr id="3" name="Frame3"/>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1">
              <wp:simplePos x="0" y="0"/>
              <wp:positionH relativeFrom="margin">
                <wp:align>center</wp:align>
              </wp:positionH>
              <wp:positionV relativeFrom="paragraph">
                <wp:posOffset>635</wp:posOffset>
              </wp:positionV>
              <wp:extent cx="5486400" cy="347980"/>
              <wp:effectExtent l="0" t="0" r="0" b="0"/>
              <wp:wrapSquare wrapText="bothSides"/>
              <wp:docPr id="4" name="Frame4"/>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133</w:t>
                    </w:r>
                    <w:r>
                      <w:rPr>
                        <w:rStyle w:val="PageNumber"/>
                      </w:rPr>
                      <w:fldChar w:fldCharType="end"/>
                    </w:r>
                  </w:p>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number is for residential and nonresidential core customers together.</w:t>
      </w:r>
    </w:p>
  </w:footnote>
  <w:footnote w:id="3">
    <w:p>
      <w:pPr>
        <w:pStyle w:val="FootnoteText"/>
        <w:rPr/>
      </w:pPr>
      <w:r>
        <w:rPr>
          <w:rStyle w:val="FootnoteCharacters"/>
        </w:rPr>
        <w:footnoteRef/>
      </w:r>
      <w:r>
        <w:rPr/>
        <w:t xml:space="preserve"> </w:t>
      </w:r>
      <w:r>
        <w:rPr/>
        <w:t>The Comprehensive Settlement does not create firm, tradable rights on any portion of SDG&amp;E’s gas transmission system.  The Promising Options decision found that such a system was not a promising option for the SDG&amp;E system at this time.  However, the Comprehensive Settlement does not prevent the Commission from establishing such a system for the SDG&amp;E system at any time the Commission may see fit to do so.</w:t>
      </w:r>
    </w:p>
  </w:footnote>
  <w:footnote w:id="4">
    <w:p>
      <w:pPr>
        <w:pStyle w:val="FootnoteText"/>
        <w:rPr/>
      </w:pPr>
      <w:r>
        <w:rPr>
          <w:rStyle w:val="FootnoteCharacters"/>
        </w:rPr>
        <w:footnoteRef/>
      </w:r>
      <w:r>
        <w:rPr/>
        <w:t xml:space="preserve"> </w:t>
      </w:r>
      <w:r>
        <w:rPr/>
        <w:t>The Kern River Gas Transmission pipeline and Mojave Pipelines are separate pipelines that then join together in California upstream of Wheeler Ridge.  At Wheeler Ridge, they are a single pipeline facility jointly owned by the two entities.</w:t>
      </w:r>
    </w:p>
  </w:footnote>
  <w:footnote w:id="5">
    <w:p>
      <w:pPr>
        <w:pStyle w:val="FootnoteText"/>
        <w:rPr/>
      </w:pPr>
      <w:r>
        <w:rPr>
          <w:rStyle w:val="FootnoteCharacters"/>
        </w:rPr>
        <w:footnoteRef/>
      </w:r>
      <w:r>
        <w:rPr/>
        <w:t xml:space="preserve"> </w:t>
      </w:r>
      <w:r>
        <w:rPr/>
        <w:t>The rate varied between paths based on the embedded cost of the particular path, but the PG&amp;E backbone rates were just as much based on embedded cost (vs. market value) as they are under the Comprehensive Settlement.</w:t>
      </w:r>
    </w:p>
  </w:footnote>
  <w:footnote w:id="6">
    <w:p>
      <w:pPr>
        <w:pStyle w:val="FootnoteText"/>
        <w:rPr/>
      </w:pPr>
      <w:r>
        <w:rPr>
          <w:rStyle w:val="FootnoteCharacters"/>
        </w:rPr>
        <w:footnoteRef/>
      </w:r>
      <w:r>
        <w:rPr/>
        <w:t xml:space="preserve"> </w:t>
      </w:r>
      <w:r>
        <w:rPr/>
        <w:t>This is a departure of the Comprehensive Settlement from the PG&amp;E Gas Accord in order to mitigate concerns that low load factor customers could be unreasonably impacted.  The PG&amp;E Gas Accord gave preference in the award of capacity to bids at the SFV rate design.</w:t>
      </w:r>
    </w:p>
  </w:footnote>
  <w:footnote w:id="7">
    <w:p>
      <w:pPr>
        <w:pStyle w:val="FootnoteText"/>
        <w:rPr/>
      </w:pPr>
      <w:r>
        <w:rPr>
          <w:rStyle w:val="FootnoteCharacters"/>
        </w:rPr>
        <w:footnoteRef/>
      </w:r>
      <w:r>
        <w:rPr/>
        <w:t xml:space="preserve"> </w:t>
      </w:r>
      <w:r>
        <w:rPr/>
        <w:t>Indeed, as pointed out by the Indicated Generators’ witness Beach at Ex.No.18, p.7, Ms. Yap assumed the UEG customers would contract for backbone capacity sufficient to operate at full rated output for every hour in a 24 hour period, even though they never consume this much gas (or operate at rated capacity for a full 24 hours), even on their peak day.</w:t>
      </w:r>
    </w:p>
  </w:footnote>
  <w:footnote w:id="8">
    <w:p>
      <w:pPr>
        <w:pStyle w:val="FootnoteText"/>
        <w:rPr/>
      </w:pPr>
      <w:r>
        <w:rPr>
          <w:rStyle w:val="FootnoteCharacters"/>
        </w:rPr>
        <w:footnoteRef/>
      </w:r>
      <w:r>
        <w:rPr/>
        <w:t xml:space="preserve"> </w:t>
      </w:r>
      <w:r>
        <w:rPr/>
        <w:t>SoCalGas does not agree that it has such power today because of competition from off-system storage and from other products that are good substitutes for storage, but other parties have taken different positions about SoCalGas’ storage market power.</w:t>
      </w:r>
    </w:p>
  </w:footnote>
  <w:footnote w:id="9">
    <w:p>
      <w:pPr>
        <w:pStyle w:val="FootnoteText"/>
        <w:rPr/>
      </w:pPr>
      <w:r>
        <w:rPr>
          <w:rStyle w:val="FootnoteCharacters"/>
        </w:rPr>
        <w:footnoteRef/>
      </w:r>
      <w:r>
        <w:rPr/>
        <w:t xml:space="preserve"> </w:t>
      </w:r>
      <w:r>
        <w:rPr/>
        <w:t>The PG&amp;E settlement does not reach beyond the 2002-2003 storage year so as not to prejudice the scheduled review of the entire Gas Accord.</w:t>
      </w:r>
    </w:p>
  </w:footnote>
  <w:footnote w:id="10">
    <w:p>
      <w:pPr>
        <w:pStyle w:val="FootnoteText"/>
        <w:rPr/>
      </w:pPr>
      <w:r>
        <w:rPr>
          <w:rStyle w:val="FootnoteCharacters"/>
        </w:rPr>
        <w:footnoteRef/>
      </w:r>
      <w:r>
        <w:rPr/>
        <w:t xml:space="preserve"> </w:t>
      </w:r>
      <w:r>
        <w:rPr/>
        <w:t>The 15% cap for SoCalGas is subject to Commission review and revision after April 2003.</w:t>
      </w:r>
    </w:p>
  </w:footnote>
  <w:footnote w:id="11">
    <w:p>
      <w:pPr>
        <w:pStyle w:val="FootnoteText"/>
        <w:rPr/>
      </w:pPr>
      <w:r>
        <w:rPr>
          <w:rStyle w:val="FootnoteCharacters"/>
        </w:rPr>
        <w:footnoteRef/>
      </w:r>
      <w:r>
        <w:rPr/>
        <w:t xml:space="preserve"> </w:t>
      </w:r>
      <w:r>
        <w:rPr/>
        <w:t>The Interim Settlement allows SoCalGas to recover the annual revenue requirement associated with up to $3.5 million in capital investment.  This equates to a revenue requirement of just under $900,000 per year.  Ms. Yap inaccurately calculated this annual revenue requirement at a lower figure.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585"/>
        </w:tabs>
        <w:ind w:start="585" w:hanging="585"/>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72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665"/>
        </w:tabs>
        <w:ind w:start="1665" w:hanging="166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020"/>
        </w:tabs>
        <w:ind w:start="1020" w:hanging="10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4"/>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s>
      <w:spacing w:lineRule="auto" w:line="360" w:before="0" w:after="120"/>
      <w:ind w:hanging="585" w:start="585"/>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spacing w:lineRule="auto" w:line="360" w:before="0" w:after="120"/>
      <w:jc w:val="center"/>
      <w:outlineLvl w:val="1"/>
    </w:pPr>
    <w:rPr>
      <w:rFonts w:ascii="Times New Roman" w:hAnsi="Times New Roman" w:eastAsia="Times New Roman" w:cs="Times New Roman"/>
      <w:b/>
      <w:bCs/>
    </w:rPr>
  </w:style>
  <w:style w:type="paragraph" w:styleId="Heading3">
    <w:name w:val="heading 3"/>
    <w:basedOn w:val="Normal"/>
    <w:next w:val="Normal"/>
    <w:qFormat/>
    <w:pPr>
      <w:keepNext w:val="true"/>
      <w:numPr>
        <w:ilvl w:val="2"/>
        <w:numId w:val="1"/>
      </w:numPr>
      <w:tabs>
        <w:tab w:val="left" w:pos="720" w:leader="none"/>
      </w:tabs>
      <w:spacing w:lineRule="auto" w:line="360" w:before="0" w:after="120"/>
      <w:ind w:hanging="0" w:start="720" w:end="0"/>
      <w:outlineLvl w:val="2"/>
    </w:pPr>
    <w:rPr>
      <w:rFonts w:ascii="Times New Roman" w:hAnsi="Times New Roman" w:eastAsia="Times New Roman" w:cs="Times New Roman"/>
    </w:rPr>
  </w:style>
  <w:style w:type="paragraph" w:styleId="Heading4">
    <w:name w:val="heading 4"/>
    <w:basedOn w:val="Normal"/>
    <w:next w:val="Normal"/>
    <w:qFormat/>
    <w:pPr>
      <w:keepNext w:val="true"/>
      <w:numPr>
        <w:ilvl w:val="3"/>
        <w:numId w:val="1"/>
      </w:numPr>
      <w:spacing w:lineRule="auto" w:line="360" w:before="0" w:after="120"/>
      <w:outlineLvl w:val="3"/>
    </w:pPr>
    <w:rPr>
      <w:rFonts w:ascii="Times New Roman" w:hAnsi="Times New Roman" w:eastAsia="Times New Roman" w:cs="Times New Roman"/>
      <w:b/>
      <w:bCs/>
    </w:rPr>
  </w:style>
  <w:style w:type="paragraph" w:styleId="Heading5">
    <w:name w:val="heading 5"/>
    <w:basedOn w:val="Normal"/>
    <w:next w:val="Normal"/>
    <w:qFormat/>
    <w:pPr>
      <w:keepNext w:val="true"/>
      <w:numPr>
        <w:ilvl w:val="4"/>
        <w:numId w:val="1"/>
      </w:numPr>
      <w:tabs>
        <w:tab w:val="clear" w:pos="720"/>
        <w:tab w:val="left" w:pos="735" w:leader="none"/>
      </w:tabs>
      <w:spacing w:lineRule="auto" w:line="360"/>
      <w:ind w:hanging="735" w:start="735" w:end="0"/>
      <w:outlineLvl w:val="4"/>
    </w:pPr>
    <w:rPr>
      <w:b/>
      <w:bCs/>
    </w:rPr>
  </w:style>
  <w:style w:type="paragraph" w:styleId="Heading6">
    <w:name w:val="heading 6"/>
    <w:basedOn w:val="Normal"/>
    <w:next w:val="Normal"/>
    <w:qFormat/>
    <w:pPr>
      <w:keepNext w:val="true"/>
      <w:numPr>
        <w:ilvl w:val="5"/>
        <w:numId w:val="1"/>
      </w:numPr>
      <w:tabs>
        <w:tab w:val="left" w:pos="720" w:leader="none"/>
      </w:tabs>
      <w:spacing w:lineRule="auto" w:line="360"/>
      <w:ind w:hanging="720" w:start="720" w:end="0"/>
      <w:outlineLvl w:val="5"/>
    </w:pPr>
    <w:rPr>
      <w:b/>
      <w:bCs/>
    </w:rPr>
  </w:style>
  <w:style w:type="paragraph" w:styleId="Heading7">
    <w:name w:val="heading 7"/>
    <w:basedOn w:val="Normal"/>
    <w:next w:val="Normal"/>
    <w:qFormat/>
    <w:pPr>
      <w:keepNext w:val="true"/>
      <w:numPr>
        <w:ilvl w:val="6"/>
        <w:numId w:val="1"/>
      </w:numPr>
      <w:tabs>
        <w:tab w:val="clear" w:pos="720"/>
        <w:tab w:val="left" w:pos="585" w:leader="none"/>
      </w:tabs>
      <w:spacing w:lineRule="auto" w:line="360"/>
      <w:ind w:hanging="585" w:start="585" w:end="0"/>
      <w:outlineLvl w:val="6"/>
    </w:pPr>
    <w:rPr>
      <w:b/>
      <w:bCs/>
    </w:rPr>
  </w:style>
  <w:style w:type="paragraph" w:styleId="Heading8">
    <w:name w:val="heading 8"/>
    <w:basedOn w:val="Normal"/>
    <w:next w:val="Normal"/>
    <w:qFormat/>
    <w:pPr>
      <w:keepNext w:val="true"/>
      <w:numPr>
        <w:ilvl w:val="7"/>
        <w:numId w:val="1"/>
      </w:numPr>
      <w:spacing w:lineRule="auto" w:line="360"/>
      <w:ind w:firstLine="720" w:start="0" w:end="0"/>
      <w:outlineLvl w:val="7"/>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exact" w:line="447"/>
    </w:pPr>
    <w:rPr>
      <w:rFonts w:ascii="Book Antiqua;Times New Roman" w:hAnsi="Book Antiqua;Times New Roman" w:eastAsia="Book Antiqua;Times New Roman" w:cs="Book Antiqua;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ind w:firstLine="720" w:start="0" w:end="0"/>
    </w:pPr>
    <w:rPr/>
  </w:style>
  <w:style w:type="paragraph" w:styleId="FootnoteText">
    <w:name w:val="footnote text"/>
    <w:basedOn w:val="Normal"/>
    <w:pPr/>
    <w:rPr>
      <w:sz w:val="20"/>
      <w:szCs w:val="20"/>
    </w:rPr>
  </w:style>
  <w:style w:type="paragraph" w:styleId="WW-BodyText2">
    <w:name w:val="WW-Body Text 2"/>
    <w:basedOn w:val="Normal"/>
    <w:qFormat/>
    <w:pPr>
      <w:spacing w:lineRule="auto" w:line="360" w:before="0" w:after="120"/>
    </w:pPr>
    <w:rPr>
      <w:rFonts w:ascii="Times New Roman" w:hAnsi="Times New Roman" w:eastAsia="Times New Roman" w:cs="Times New Roman"/>
    </w:rPr>
  </w:style>
  <w:style w:type="paragraph" w:styleId="BlockText">
    <w:name w:val="Block Text"/>
    <w:basedOn w:val="Normal"/>
    <w:qFormat/>
    <w:pPr>
      <w:spacing w:before="120" w:after="120"/>
      <w:ind w:hanging="0" w:start="720" w:end="1008"/>
    </w:pPr>
    <w:rPr>
      <w:rFonts w:ascii="Times New Roman" w:hAnsi="Times New Roman" w:eastAsia="Times New Roman" w:cs="Times New Roman"/>
    </w:rPr>
  </w:style>
  <w:style w:type="paragraph" w:styleId="BodyText3">
    <w:name w:val="Body Text 3"/>
    <w:basedOn w:val="Normal"/>
    <w:qFormat/>
    <w:pPr>
      <w:spacing w:lineRule="auto" w:line="360" w:before="0" w:after="120"/>
    </w:pPr>
    <w:rPr>
      <w:rFonts w:ascii="Times New Roman" w:hAnsi="Times New Roman" w:eastAsia="Times New Roman" w:cs="Times New Roman"/>
      <w:b/>
      <w:bCs/>
    </w:rPr>
  </w:style>
  <w:style w:type="paragraph" w:styleId="BodyTextIndent2">
    <w:name w:val="Body Text Indent 2"/>
    <w:basedOn w:val="Normal"/>
    <w:qFormat/>
    <w:pPr>
      <w:ind w:firstLine="590" w:start="0" w:end="0"/>
    </w:pPr>
    <w:rPr>
      <w:b/>
      <w:bCs/>
    </w:rPr>
  </w:style>
  <w:style w:type="paragraph" w:styleId="BodyTextIndent3">
    <w:name w:val="Body Text Indent 3"/>
    <w:basedOn w:val="Normal"/>
    <w:qFormat/>
    <w:pPr>
      <w:ind w:firstLine="720" w:start="0" w:end="0"/>
    </w:pPr>
    <w:rPr>
      <w:b/>
      <w:bCs/>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jc w:val="end"/>
    </w:pPr>
    <w:rPr>
      <w:rFonts w:ascii="Times New Roman" w:hAnsi="Times New Roman" w:eastAsia="Times New Roman" w:cs="Times New Roman"/>
      <w:b/>
      <w:bCs/>
      <w:u w:val="single"/>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footer" Target="footer7.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2000-07-02T17:01:00Z</dcterms:created>
  <dc:creator>Sempra Energy</dc:creator>
  <dc:description/>
  <dc:language>en-CA</dc:language>
  <cp:lastModifiedBy>SEMPRA ENERGY</cp:lastModifiedBy>
  <cp:lastPrinted>2000-07-10T14:16:00Z</cp:lastPrinted>
  <dcterms:modified xsi:type="dcterms:W3CDTF">2000-07-10T19:36:00Z</dcterms:modified>
  <cp:revision>54</cp:revision>
  <dc:subject/>
  <dc:title/>
</cp:coreProperties>
</file>