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ISDA</w:t>
      </w:r>
      <w:r>
        <w:rPr>
          <w:sz w:val="20"/>
        </w:rPr>
        <w:t>®</w:t>
      </w:r>
    </w:p>
    <w:p>
      <w:pPr>
        <w:pStyle w:val="Normal"/>
        <w:spacing w:before="120" w:after="0"/>
        <w:jc w:val="center"/>
        <w:rPr>
          <w:sz w:val="16"/>
        </w:rPr>
      </w:pPr>
      <w:r>
        <w:rPr>
          <w:sz w:val="16"/>
        </w:rPr>
        <w:t>International Swaps and Derivatives Association, Inc.</w:t>
      </w:r>
    </w:p>
    <w:p>
      <w:pPr>
        <w:pStyle w:val="Heading2"/>
        <w:spacing w:before="120" w:after="0"/>
        <w:ind w:hanging="0" w:start="0"/>
        <w:rPr>
          <w:sz w:val="44"/>
        </w:rPr>
      </w:pPr>
      <w:r>
        <w:rPr>
          <w:sz w:val="44"/>
        </w:rPr>
        <w:t>CREDIT SUPPORT ANNEX</w:t>
      </w:r>
    </w:p>
    <w:p>
      <w:pPr>
        <w:pStyle w:val="Normal"/>
        <w:spacing w:before="120" w:after="0"/>
        <w:jc w:val="center"/>
        <w:rPr>
          <w:sz w:val="20"/>
        </w:rPr>
      </w:pPr>
      <w:r>
        <w:rPr>
          <w:sz w:val="20"/>
        </w:rPr>
        <w:t>to the Schedule to the</w:t>
      </w:r>
    </w:p>
    <w:p>
      <w:pPr>
        <w:pStyle w:val="Normal"/>
        <w:spacing w:before="120" w:after="0"/>
        <w:jc w:val="center"/>
        <w:rPr>
          <w:b/>
          <w:smallCaps/>
        </w:rPr>
      </w:pPr>
      <w:r>
        <w:rPr>
          <w:b/>
          <w:smallCaps/>
        </w:rPr>
        <w:t>Master Agreement  (Multicurrency-cross border)</w:t>
      </w:r>
    </w:p>
    <w:p>
      <w:pPr>
        <w:pStyle w:val="Normal"/>
        <w:spacing w:lineRule="exact" w:line="120"/>
        <w:jc w:val="center"/>
        <w:rPr>
          <w:sz w:val="20"/>
        </w:rPr>
      </w:pPr>
      <w:r>
        <w:rPr>
          <w:sz w:val="20"/>
        </w:rPr>
        <w:t>…………………………………………………………………………</w:t>
      </w:r>
      <w:r>
        <w:rPr>
          <w:sz w:val="20"/>
        </w:rPr>
        <w:t>.</w:t>
      </w:r>
    </w:p>
    <w:p>
      <w:pPr>
        <w:pStyle w:val="Normal"/>
        <w:tabs>
          <w:tab w:val="clear" w:pos="720"/>
          <w:tab w:val="left" w:pos="4050" w:leader="none"/>
        </w:tabs>
        <w:spacing w:before="240" w:after="0"/>
        <w:jc w:val="both"/>
        <w:rPr>
          <w:b/>
          <w:smallCaps/>
          <w:sz w:val="20"/>
        </w:rPr>
      </w:pPr>
      <w:r>
        <w:rPr>
          <w:b/>
          <w:smallCaps/>
          <w:sz w:val="20"/>
        </w:rPr>
      </w:r>
    </w:p>
    <w:p>
      <w:pPr>
        <w:pStyle w:val="Normal"/>
        <w:spacing w:lineRule="exact" w:line="160"/>
        <w:jc w:val="center"/>
        <w:rPr>
          <w:sz w:val="20"/>
        </w:rPr>
      </w:pPr>
      <w:r>
        <w:rPr>
          <w:sz w:val="20"/>
        </w:rPr>
        <w:t>dated as of …………………</w:t>
      </w:r>
    </w:p>
    <w:p>
      <w:pPr>
        <w:pStyle w:val="Normal"/>
        <w:spacing w:before="240" w:after="0"/>
        <w:jc w:val="center"/>
        <w:rPr>
          <w:sz w:val="20"/>
        </w:rPr>
      </w:pPr>
      <w:r>
        <w:rPr>
          <w:sz w:val="20"/>
        </w:rPr>
        <w:t>between</w:t>
      </w:r>
    </w:p>
    <w:p>
      <w:pPr>
        <w:pStyle w:val="Normal"/>
        <w:tabs>
          <w:tab w:val="clear" w:pos="720"/>
          <w:tab w:val="left" w:pos="4950" w:leader="none"/>
        </w:tabs>
        <w:spacing w:before="240" w:after="0"/>
        <w:ind w:hanging="4950" w:start="4950" w:end="0"/>
        <w:jc w:val="both"/>
        <w:rPr>
          <w:b/>
          <w:smallCaps/>
        </w:rPr>
      </w:pPr>
      <w:r>
        <w:rPr>
          <w:b/>
          <w:smallCaps/>
        </w:rPr>
        <w:t>Enron North America Corp.</w:t>
        <w:tab/>
      </w:r>
    </w:p>
    <w:p>
      <w:pPr>
        <w:pStyle w:val="Normal"/>
        <w:spacing w:lineRule="exact" w:line="160"/>
        <w:jc w:val="center"/>
        <w:rPr/>
      </w:pPr>
      <w:r>
        <w:rPr/>
        <w:t>……………………………………………………</w:t>
      </w:r>
      <w:r>
        <w:rPr/>
        <w:t>. and …………………………………………………….</w:t>
      </w:r>
    </w:p>
    <w:p>
      <w:pPr>
        <w:pStyle w:val="BodyText2"/>
        <w:tabs>
          <w:tab w:val="clear" w:pos="720"/>
          <w:tab w:val="center" w:pos="2340" w:leader="none"/>
          <w:tab w:val="center" w:pos="7020" w:leader="none"/>
        </w:tabs>
        <w:spacing w:before="80" w:after="0"/>
        <w:rPr/>
      </w:pPr>
      <w:r>
        <w:rPr/>
        <w:tab/>
        <w:t>("Party A")</w:t>
        <w:tab/>
        <w:t>("Party B")</w:t>
      </w:r>
    </w:p>
    <w:p>
      <w:pPr>
        <w:pStyle w:val="BodyText"/>
        <w:spacing w:before="480" w:after="0"/>
        <w:rPr>
          <w:sz w:val="20"/>
        </w:rPr>
      </w:pPr>
      <w:r>
        <w:rPr>
          <w:sz w:val="20"/>
        </w:rPr>
        <w:t>This Annex supplements, forms part of, and is subject to, the above-referenced Agreement, is part of its Schedule and is a Credit Support Document under this Agreement with respect to each party.</w:t>
      </w:r>
    </w:p>
    <w:p>
      <w:pPr>
        <w:pStyle w:val="Normal"/>
        <w:spacing w:before="240" w:after="0"/>
        <w:jc w:val="both"/>
        <w:rPr>
          <w:sz w:val="20"/>
        </w:rPr>
      </w:pPr>
      <w:r>
        <w:rPr>
          <w:sz w:val="20"/>
        </w:rPr>
        <w:t>Accordingly, the parties agree as follows:—</w:t>
      </w:r>
    </w:p>
    <w:p>
      <w:pPr>
        <w:pStyle w:val="Heading3"/>
        <w:numPr>
          <w:ilvl w:val="0"/>
          <w:numId w:val="2"/>
        </w:numPr>
        <w:ind w:hanging="0" w:start="0"/>
        <w:rPr/>
      </w:pPr>
      <w:r>
        <w:rPr/>
        <w:t>Interpretation</w:t>
      </w:r>
    </w:p>
    <w:p>
      <w:pPr>
        <w:pStyle w:val="BodyText"/>
        <w:numPr>
          <w:ilvl w:val="0"/>
          <w:numId w:val="3"/>
        </w:numPr>
        <w:tabs>
          <w:tab w:val="clear" w:pos="720"/>
        </w:tabs>
        <w:spacing w:before="240" w:after="0"/>
        <w:ind w:hanging="0" w:start="0" w:end="0"/>
        <w:rPr>
          <w:sz w:val="20"/>
        </w:rPr>
      </w:pPr>
      <w:r>
        <w:rPr>
          <w:b/>
          <w:i/>
          <w:sz w:val="20"/>
        </w:rPr>
        <w:t>Definitions and Inconsistency</w:t>
      </w:r>
      <w:r>
        <w:rPr>
          <w:sz w:val="20"/>
        </w:rPr>
        <w:t>.  Capitalized terms not otherwise defined herein or elsewhere in this Agreement have the meanings specified pursuant to Paragraph 12, and all references in this Annex to Paragraphs are to Paragraphs of this Annex.  In the event of any inconsistency between this Annex and the other provisions of this Schedule, this Annex will prevail, and in the event of any inconsistency between Paragraph 13 and the other provisions of this Annex, Paragraph 13 will prevail.</w:t>
      </w:r>
    </w:p>
    <w:p>
      <w:pPr>
        <w:pStyle w:val="Normal"/>
        <w:numPr>
          <w:ilvl w:val="0"/>
          <w:numId w:val="3"/>
        </w:numPr>
        <w:tabs>
          <w:tab w:val="clear" w:pos="720"/>
        </w:tabs>
        <w:spacing w:before="240" w:after="0"/>
        <w:ind w:hanging="0" w:start="0" w:end="0"/>
        <w:jc w:val="both"/>
        <w:rPr>
          <w:sz w:val="20"/>
        </w:rPr>
      </w:pPr>
      <w:r>
        <w:rPr>
          <w:b/>
          <w:i/>
          <w:sz w:val="20"/>
        </w:rPr>
        <w:t>Secured Party and Pledgor</w:t>
      </w:r>
      <w:r>
        <w:rPr>
          <w:sz w:val="20"/>
        </w:rPr>
        <w:t xml:space="preserve">.  All references in this Annex to the "Secured Party" will be to either party when acting in that capacity and all corresponding references to the "Pledgor") will be to the other party when acting in that capacity; </w:t>
      </w:r>
      <w:r>
        <w:rPr>
          <w:i/>
          <w:sz w:val="20"/>
        </w:rPr>
        <w:t>provided</w:t>
      </w:r>
      <w:r>
        <w:rPr>
          <w:sz w:val="20"/>
        </w:rPr>
        <w:t xml:space="preserve">, </w:t>
      </w:r>
      <w:r>
        <w:rPr>
          <w:i/>
          <w:sz w:val="20"/>
        </w:rPr>
        <w:t>however</w:t>
      </w:r>
      <w:r>
        <w:rPr>
          <w:sz w:val="20"/>
        </w:rPr>
        <w:t>, that if Other Posted Support is held by a party to this Annex, all references herein to that party as the Secured Party with respect to that Other Posted Support will be to that party as the beneficiary thereof and will not subject that support or that party as the beneficiary thereof to provisions of law generally relating to security interests and secured parties.</w:t>
      </w:r>
    </w:p>
    <w:p>
      <w:pPr>
        <w:pStyle w:val="BodyText"/>
        <w:numPr>
          <w:ilvl w:val="0"/>
          <w:numId w:val="2"/>
        </w:numPr>
        <w:spacing w:before="240" w:after="0"/>
        <w:rPr>
          <w:b/>
          <w:sz w:val="20"/>
        </w:rPr>
      </w:pPr>
      <w:r>
        <w:rPr>
          <w:b/>
          <w:sz w:val="20"/>
        </w:rPr>
        <w:t>Security Interest.</w:t>
      </w:r>
    </w:p>
    <w:p>
      <w:pPr>
        <w:pStyle w:val="BodyText"/>
        <w:tabs>
          <w:tab w:val="clear" w:pos="720"/>
          <w:tab w:val="left" w:pos="1080" w:leader="none"/>
        </w:tabs>
        <w:spacing w:before="240" w:after="0"/>
        <w:rPr>
          <w:sz w:val="20"/>
        </w:rPr>
      </w:pPr>
      <w:r>
        <w:rPr>
          <w:sz w:val="20"/>
        </w:rPr>
        <w:t>Each party, as the Pledgor, hereby pledges to the other party, as the Secured Party, as security for its Obligations, and grants to the Secured Party a first priority continuing security interest in, lien on and right of Set-off against all Posted Collateral Transferred to or received by the Secured Party hereunder.  Upon the Transfer by the Secured Party to the Pledgor of Posted Collateral, the security interest and lien granted hereunder on that Posted Collateral will be released immediately and, to the extent possible, without any further action by either party.</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r>
      <w:rPr>
        <w:sz w:val="20"/>
      </w:rPr>
      <w:tab/>
    </w:r>
    <w:r>
      <w:rPr>
        <w:b/>
        <w:sz w:val="20"/>
      </w:rPr>
      <w:t>ISDA® 1994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Copyright © by International Swaps and Derivatives Association, Inc.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b/>
        <w:sz w:val="20"/>
      </w:rPr>
      <w:t>(Bilateral Form)</w:t>
    </w:r>
    <w:r>
      <w:rPr>
        <w:sz w:val="20"/>
      </w:rPr>
      <w:tab/>
      <w:t>(ISDA Agreements Subject to New York Law Only)</w:t>
    </w:r>
  </w:p>
  <w:p>
    <w:pPr>
      <w:pStyle w:val="Header"/>
      <w:tabs>
        <w:tab w:val="clear" w:pos="4320"/>
        <w:tab w:val="right" w:pos="8640" w:leader="none"/>
      </w:tabs>
      <w:rPr>
        <w:sz w:val="20"/>
      </w:rPr>
    </w:pPr>
    <w:r>
      <w:rPr>
        <w:sz w:val="20"/>
      </w:rPr>
    </w:r>
  </w:p>
  <w:p>
    <w:pPr>
      <w:pStyle w:val="Header"/>
      <w:tabs>
        <w:tab w:val="clear" w:pos="4320"/>
        <w:tab w:val="right" w:pos="8640" w:leader="none"/>
      </w:tabs>
      <w:jc w:val="center"/>
      <w:rPr>
        <w:b/>
        <w:smallCaps/>
        <w:sz w:val="20"/>
      </w:rPr>
    </w:pPr>
    <w:r>
      <w:rPr>
        <w:b/>
        <w:smallCaps/>
        <w:sz w:val="20"/>
      </w:rPr>
      <w:t>Annex 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Paragraph %1."/>
      <w:lvlJc w:val="start"/>
      <w:pPr>
        <w:tabs>
          <w:tab w:val="num" w:pos="1440"/>
        </w:tabs>
        <w:ind w:start="720" w:hanging="720"/>
      </w:pPr>
      <w:rPr/>
    </w:lvl>
  </w:abstractNum>
  <w:abstractNum w:abstractNumId="3">
    <w:lvl w:ilvl="0">
      <w:start w:val="1"/>
      <w:numFmt w:val="lowerLetter"/>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96"/>
    </w:rPr>
  </w:style>
  <w:style w:type="paragraph" w:styleId="Heading2">
    <w:name w:val="heading 2"/>
    <w:basedOn w:val="Normal"/>
    <w:next w:val="Normal"/>
    <w:qFormat/>
    <w:pPr>
      <w:keepNext w:val="true"/>
      <w:numPr>
        <w:ilvl w:val="1"/>
        <w:numId w:val="1"/>
      </w:numPr>
      <w:jc w:val="center"/>
      <w:outlineLvl w:val="1"/>
    </w:pPr>
    <w:rPr>
      <w:b/>
      <w:sz w:val="36"/>
    </w:rPr>
  </w:style>
  <w:style w:type="paragraph" w:styleId="Heading3">
    <w:name w:val="heading 3"/>
    <w:basedOn w:val="Normal"/>
    <w:next w:val="Normal"/>
    <w:qFormat/>
    <w:pPr>
      <w:keepNext w:val="true"/>
      <w:numPr>
        <w:ilvl w:val="0"/>
        <w:numId w:val="2"/>
      </w:numPr>
      <w:spacing w:before="240" w:after="0"/>
      <w:jc w:val="both"/>
      <w:outlineLvl w:val="2"/>
    </w:pPr>
    <w:rPr>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1999-12-07T20:21:00Z</dcterms:created>
  <dc:creator>Brenda Whitehead</dc:creator>
  <dc:description/>
  <dc:language>en-CA</dc:language>
  <cp:lastModifiedBy>susan s bailey</cp:lastModifiedBy>
  <cp:lastPrinted>1999-12-07T16:29:00Z</cp:lastPrinted>
  <dcterms:modified xsi:type="dcterms:W3CDTF">1999-12-07T20:21:00Z</dcterms:modified>
  <cp:revision>2</cp:revision>
  <dc:subject/>
  <dc:title>(Multicurrency-Cross Border)</dc:title>
</cp:coreProperties>
</file>