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18"/>
        </w:rPr>
      </w:pPr>
      <w:r>
        <w:rPr>
          <w:b/>
          <w:sz w:val="18"/>
        </w:rPr>
        <w:t>(Multicurrency-Cross Border)</w:t>
      </w:r>
    </w:p>
    <w:p>
      <w:pPr>
        <w:pStyle w:val="Heading1"/>
        <w:ind w:hanging="0" w:start="0"/>
        <w:rPr/>
      </w:pPr>
      <w:r>
        <w:rPr/>
        <w:t>ISDA</w:t>
      </w:r>
      <w:r>
        <w:rPr>
          <w:sz w:val="20"/>
        </w:rPr>
        <w:t>®</w:t>
      </w:r>
    </w:p>
    <w:p>
      <w:pPr>
        <w:pStyle w:val="Normal"/>
        <w:spacing w:before="120" w:after="0"/>
        <w:jc w:val="center"/>
        <w:rPr>
          <w:sz w:val="16"/>
        </w:rPr>
      </w:pPr>
      <w:r>
        <w:rPr>
          <w:sz w:val="16"/>
        </w:rPr>
        <w:t>International Swap Dealers Association, Inc.</w:t>
      </w:r>
    </w:p>
    <w:p>
      <w:pPr>
        <w:pStyle w:val="Heading2"/>
        <w:spacing w:before="120" w:after="0"/>
        <w:ind w:hanging="0" w:start="0"/>
        <w:rPr>
          <w:sz w:val="44"/>
        </w:rPr>
      </w:pPr>
      <w:r>
        <w:rPr>
          <w:sz w:val="44"/>
        </w:rPr>
        <w:t>MASTER AGREEMENT</w:t>
      </w:r>
    </w:p>
    <w:p>
      <w:pPr>
        <w:pStyle w:val="Normal"/>
        <w:tabs>
          <w:tab w:val="clear" w:pos="720"/>
          <w:tab w:val="left" w:pos="4410" w:leader="none"/>
        </w:tabs>
        <w:spacing w:before="120" w:after="0"/>
        <w:jc w:val="both"/>
        <w:rPr>
          <w:b/>
          <w:smallCaps/>
          <w:sz w:val="44"/>
        </w:rPr>
      </w:pPr>
      <w:r>
        <w:rPr>
          <w:b/>
          <w:smallCaps/>
          <w:sz w:val="44"/>
        </w:rPr>
      </w:r>
    </w:p>
    <w:p>
      <w:pPr>
        <w:pStyle w:val="Normal"/>
        <w:spacing w:lineRule="exact" w:line="160"/>
        <w:jc w:val="center"/>
        <w:rPr>
          <w:sz w:val="20"/>
        </w:rPr>
      </w:pPr>
      <w:r>
        <w:rPr>
          <w:sz w:val="20"/>
        </w:rPr>
        <w:t xml:space="preserve">Dated as of   </w:t>
      </w:r>
    </w:p>
    <w:p>
      <w:pPr>
        <w:pStyle w:val="BodyText"/>
        <w:tabs>
          <w:tab w:val="clear" w:pos="720"/>
          <w:tab w:val="left" w:pos="5040" w:leader="none"/>
        </w:tabs>
        <w:spacing w:before="240" w:after="0"/>
        <w:ind w:hanging="5040" w:start="5040" w:end="0"/>
        <w:rPr>
          <w:b/>
          <w:smallCaps/>
        </w:rPr>
      </w:pPr>
      <w:r>
        <w:rPr>
          <w:b/>
          <w:smallCaps/>
        </w:rPr>
        <w:t>Enron North America Corp.</w:t>
        <w:tab/>
        <w:t xml:space="preserve"> </w:t>
      </w:r>
    </w:p>
    <w:p>
      <w:pPr>
        <w:pStyle w:val="BodyText"/>
        <w:rPr>
          <w:sz w:val="20"/>
        </w:rPr>
      </w:pPr>
      <w:r>
        <w:rPr>
          <w:sz w:val="20"/>
        </w:rPr>
        <w:t>…………………………………………………………</w:t>
      </w:r>
      <w:r>
        <w:rPr>
          <w:sz w:val="20"/>
        </w:rPr>
        <w:t>.. and …………………………………………………………. have entered into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Normal"/>
        <w:spacing w:before="240" w:after="0"/>
        <w:jc w:val="both"/>
        <w:rPr>
          <w:sz w:val="20"/>
        </w:rPr>
      </w:pPr>
      <w:r>
        <w:rPr>
          <w:sz w:val="20"/>
        </w:rPr>
        <w:t>Accordingly, the parties agree as follows:—</w:t>
      </w:r>
    </w:p>
    <w:p>
      <w:pPr>
        <w:pStyle w:val="Normal"/>
        <w:numPr>
          <w:ilvl w:val="0"/>
          <w:numId w:val="2"/>
        </w:numPr>
        <w:spacing w:before="240" w:after="0"/>
        <w:jc w:val="both"/>
        <w:rPr>
          <w:b/>
          <w:sz w:val="20"/>
        </w:rPr>
      </w:pPr>
      <w:r>
        <w:rPr>
          <w:b/>
          <w:sz w:val="20"/>
        </w:rPr>
        <w:t>Interpretation</w:t>
      </w:r>
    </w:p>
    <w:p>
      <w:pPr>
        <w:pStyle w:val="BodyText"/>
        <w:numPr>
          <w:ilvl w:val="0"/>
          <w:numId w:val="3"/>
        </w:numPr>
        <w:tabs>
          <w:tab w:val="clear" w:pos="720"/>
        </w:tabs>
        <w:spacing w:before="240" w:after="0"/>
        <w:ind w:hanging="0" w:start="0" w:end="0"/>
        <w:rPr>
          <w:sz w:val="20"/>
        </w:rPr>
      </w:pPr>
      <w:r>
        <w:rPr>
          <w:b/>
          <w:i/>
          <w:sz w:val="20"/>
        </w:rPr>
        <w:t>Definitions</w:t>
      </w:r>
      <w:r>
        <w:rPr>
          <w:sz w:val="20"/>
        </w:rPr>
        <w:t>. The terms defined in Section 14 and in the Schedule will have the meanings therein specified for the purpose of this Master Agreement.</w:t>
      </w:r>
    </w:p>
    <w:p>
      <w:pPr>
        <w:pStyle w:val="Normal"/>
        <w:numPr>
          <w:ilvl w:val="0"/>
          <w:numId w:val="3"/>
        </w:numPr>
        <w:tabs>
          <w:tab w:val="clear" w:pos="720"/>
        </w:tabs>
        <w:spacing w:before="240" w:after="0"/>
        <w:ind w:hanging="0" w:start="0" w:end="0"/>
        <w:jc w:val="both"/>
        <w:rPr>
          <w:sz w:val="20"/>
        </w:rPr>
      </w:pPr>
      <w:r>
        <w:rPr>
          <w:b/>
          <w:i/>
          <w:sz w:val="20"/>
        </w:rPr>
        <w:t>Inconsistency</w:t>
      </w:r>
      <w:r>
        <w:rPr>
          <w:sz w:val="20"/>
        </w:rPr>
        <w:t>.  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Normal"/>
        <w:numPr>
          <w:ilvl w:val="0"/>
          <w:numId w:val="3"/>
        </w:numPr>
        <w:tabs>
          <w:tab w:val="clear" w:pos="720"/>
        </w:tabs>
        <w:spacing w:before="240" w:after="0"/>
        <w:ind w:hanging="0" w:start="0" w:end="0"/>
        <w:jc w:val="both"/>
        <w:rPr>
          <w:sz w:val="20"/>
        </w:rPr>
      </w:pPr>
      <w:r>
        <w:rPr>
          <w:b/>
          <w:i/>
          <w:sz w:val="20"/>
        </w:rPr>
        <w:t>Single Agreement</w:t>
      </w:r>
      <w:r>
        <w:rPr>
          <w:sz w:val="20"/>
        </w:rPr>
        <w:t>.  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BodyText"/>
        <w:numPr>
          <w:ilvl w:val="0"/>
          <w:numId w:val="2"/>
        </w:numPr>
        <w:spacing w:before="240" w:after="0"/>
        <w:rPr>
          <w:b/>
          <w:sz w:val="20"/>
        </w:rPr>
      </w:pPr>
      <w:r>
        <w:rPr>
          <w:b/>
          <w:sz w:val="20"/>
        </w:rPr>
        <w:t>Obligations.</w:t>
      </w:r>
    </w:p>
    <w:p>
      <w:pPr>
        <w:pStyle w:val="BodyText"/>
        <w:numPr>
          <w:ilvl w:val="0"/>
          <w:numId w:val="4"/>
        </w:numPr>
        <w:spacing w:before="240" w:after="0"/>
        <w:rPr>
          <w:sz w:val="20"/>
        </w:rPr>
      </w:pPr>
      <w:r>
        <w:rPr>
          <w:b/>
          <w:i/>
          <w:sz w:val="20"/>
        </w:rPr>
        <w:t>General Conditions</w:t>
      </w:r>
      <w:r>
        <w:rPr>
          <w:sz w:val="20"/>
        </w:rPr>
        <w:t>.</w:t>
      </w:r>
    </w:p>
    <w:p>
      <w:pPr>
        <w:pStyle w:val="BodyText"/>
        <w:numPr>
          <w:ilvl w:val="0"/>
          <w:numId w:val="5"/>
        </w:numPr>
        <w:tabs>
          <w:tab w:val="clear" w:pos="720"/>
          <w:tab w:val="left" w:pos="1080" w:leader="none"/>
        </w:tabs>
        <w:spacing w:before="240" w:after="0"/>
        <w:ind w:hanging="0" w:start="720" w:end="0"/>
        <w:rPr>
          <w:sz w:val="20"/>
        </w:rPr>
      </w:pPr>
      <w:r>
        <w:rPr>
          <w:sz w:val="20"/>
        </w:rPr>
        <w:t>Each party will make each payment or delivery specified in each Confirmation to be made by it, subject to the other provisions of this Agreement.</w:t>
      </w:r>
    </w:p>
    <w:p>
      <w:pPr>
        <w:pStyle w:val="Normal"/>
        <w:numPr>
          <w:ilvl w:val="0"/>
          <w:numId w:val="5"/>
        </w:numPr>
        <w:tabs>
          <w:tab w:val="clear" w:pos="720"/>
          <w:tab w:val="left" w:pos="1080" w:leader="none"/>
        </w:tabs>
        <w:spacing w:before="240" w:after="0"/>
        <w:ind w:hanging="0" w:start="720" w:end="0"/>
        <w:jc w:val="both"/>
        <w:rPr>
          <w:sz w:val="20"/>
        </w:rPr>
      </w:pPr>
      <w:r>
        <w:rPr>
          <w:sz w:val="20"/>
        </w:rPr>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numPr>
          <w:ilvl w:val="0"/>
          <w:numId w:val="5"/>
        </w:numPr>
        <w:tabs>
          <w:tab w:val="clear" w:pos="720"/>
          <w:tab w:val="left" w:pos="1080" w:leader="none"/>
        </w:tabs>
        <w:spacing w:before="240" w:after="0"/>
        <w:ind w:hanging="0" w:start="720" w:end="0"/>
        <w:jc w:val="both"/>
        <w:rPr>
          <w:sz w:val="20"/>
        </w:rPr>
      </w:pPr>
      <w:r>
        <w:rPr>
          <w:sz w:val="20"/>
        </w:rPr>
        <w:t>Each obligation of each party under Section 2(a)(i) is subject to (1) the condition precedent that no Event of Default or Potential Event of Default with respect to the other party has occurred and is continuing, (2) the conditions precedent that no Early Termination Date in respect of the relevant Transaction has occurred or been effectively designated and (3) each other applicable condition precedent specified in this Agreement.</w:t>
      </w:r>
      <w:r>
        <w:br w:type="page"/>
      </w:r>
    </w:p>
    <w:p>
      <w:pPr>
        <w:pStyle w:val="BodyText2"/>
        <w:spacing w:before="240" w:after="0"/>
        <w:rPr/>
      </w:pPr>
      <w:r>
        <w:rPr/>
        <w:t>value of that which was (or would have been) required to be delivered as of the originally scheduled date for delivery, in each case together with (to the extent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in the average of the Termination Currency Equivalents of the fair market values reasonably determined by both parties.</w:t>
      </w:r>
    </w:p>
    <w:p>
      <w:pPr>
        <w:pStyle w:val="Normal"/>
        <w:spacing w:before="240" w:after="0"/>
        <w:jc w:val="both"/>
        <w:rPr/>
      </w:pPr>
      <w:r>
        <w:rPr/>
        <w:t>IN WITNESS WHEREOF the parties have executed this document on the respective dates specified below with effect from the date specified on the first page of this document.</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410" w:leader="none"/>
              </w:tabs>
              <w:spacing w:before="240" w:after="0"/>
              <w:jc w:val="both"/>
              <w:rPr>
                <w:b/>
                <w:smallCaps/>
              </w:rPr>
            </w:pPr>
            <w:r>
              <w:rPr>
                <w:b/>
                <w:smallCaps/>
              </w:rPr>
              <w:t>Enron North America Corp.</w:t>
            </w:r>
          </w:p>
          <w:p>
            <w:pPr>
              <w:pStyle w:val="BodyText2"/>
              <w:tabs>
                <w:tab w:val="clear" w:pos="720"/>
                <w:tab w:val="left" w:pos="4410" w:leader="none"/>
              </w:tabs>
              <w:spacing w:lineRule="exact" w:line="80"/>
              <w:rPr/>
            </w:pPr>
            <w:r>
              <w:rPr/>
              <w:t>…………………………………………………………</w:t>
            </w:r>
            <w:r>
              <w:rPr/>
              <w:t>...</w:t>
            </w:r>
          </w:p>
          <w:p>
            <w:pPr>
              <w:pStyle w:val="Normal"/>
              <w:tabs>
                <w:tab w:val="clear" w:pos="720"/>
                <w:tab w:val="left" w:pos="4410" w:leader="none"/>
              </w:tabs>
              <w:jc w:val="both"/>
              <w:rPr>
                <w:sz w:val="20"/>
              </w:rPr>
            </w:pPr>
            <w:r>
              <w:rPr>
                <w:sz w:val="20"/>
              </w:rPr>
              <w:t xml:space="preserve">                              </w:t>
            </w:r>
            <w:r>
              <w:rPr>
                <w:sz w:val="20"/>
              </w:rPr>
              <w:t>(Name of Party)</w:t>
            </w:r>
          </w:p>
        </w:tc>
        <w:tc>
          <w:tcPr>
            <w:tcW w:w="4788" w:type="dxa"/>
            <w:tcBorders/>
          </w:tcPr>
          <w:p>
            <w:pPr>
              <w:pStyle w:val="Normal"/>
              <w:tabs>
                <w:tab w:val="clear" w:pos="720"/>
                <w:tab w:val="left" w:pos="4482" w:leader="none"/>
              </w:tabs>
              <w:spacing w:before="240" w:after="0"/>
              <w:jc w:val="both"/>
              <w:rPr>
                <w:b/>
                <w:smallCaps/>
              </w:rPr>
            </w:pPr>
            <w:r>
              <w:rPr>
                <w:b/>
                <w:smallCaps/>
              </w:rPr>
              <w:t xml:space="preserve"> </w:t>
            </w:r>
          </w:p>
          <w:p>
            <w:pPr>
              <w:pStyle w:val="BodyText2"/>
              <w:tabs>
                <w:tab w:val="clear" w:pos="720"/>
                <w:tab w:val="left" w:pos="4482" w:leader="none"/>
              </w:tabs>
              <w:spacing w:lineRule="exact" w:line="80"/>
              <w:rPr/>
            </w:pPr>
            <w:r>
              <w:rPr/>
              <w:t>…………………………………………………………</w:t>
            </w:r>
            <w:r>
              <w:rPr/>
              <w:t>...</w:t>
            </w:r>
          </w:p>
          <w:p>
            <w:pPr>
              <w:pStyle w:val="Normal"/>
              <w:tabs>
                <w:tab w:val="clear" w:pos="720"/>
                <w:tab w:val="left" w:pos="4482" w:leader="none"/>
              </w:tabs>
              <w:jc w:val="both"/>
              <w:rPr>
                <w:sz w:val="20"/>
              </w:rPr>
            </w:pPr>
            <w:r>
              <w:rPr>
                <w:sz w:val="20"/>
              </w:rPr>
              <w:t xml:space="preserve">                               </w:t>
            </w:r>
            <w:r>
              <w:rPr>
                <w:sz w:val="20"/>
              </w:rPr>
              <w:t>(Name of Party)</w:t>
            </w:r>
          </w:p>
          <w:p>
            <w:pPr>
              <w:pStyle w:val="Normal"/>
              <w:tabs>
                <w:tab w:val="clear" w:pos="720"/>
                <w:tab w:val="left" w:pos="4482" w:leader="none"/>
              </w:tabs>
              <w:jc w:val="both"/>
              <w:rPr>
                <w:sz w:val="20"/>
              </w:rPr>
            </w:pPr>
            <w:r>
              <w:rPr>
                <w:sz w:val="20"/>
              </w:rPr>
            </w:r>
          </w:p>
        </w:tc>
      </w:tr>
      <w:tr>
        <w:trPr/>
        <w:tc>
          <w:tcPr>
            <w:tcW w:w="4788" w:type="dxa"/>
            <w:tcBorders/>
          </w:tcPr>
          <w:p>
            <w:pPr>
              <w:pStyle w:val="Normal"/>
              <w:tabs>
                <w:tab w:val="clear" w:pos="720"/>
                <w:tab w:val="left" w:pos="4410" w:leader="none"/>
              </w:tabs>
              <w:spacing w:before="720" w:after="0"/>
              <w:jc w:val="both"/>
              <w:rPr>
                <w:sz w:val="20"/>
              </w:rPr>
            </w:pPr>
            <w:r>
              <w:rPr>
                <w:sz w:val="20"/>
              </w:rPr>
              <w:t>By:  …………………………………………………….</w:t>
            </w:r>
          </w:p>
          <w:p>
            <w:pPr>
              <w:pStyle w:val="Normal"/>
              <w:tabs>
                <w:tab w:val="clear" w:pos="720"/>
                <w:tab w:val="left" w:pos="4410" w:leader="none"/>
              </w:tabs>
              <w:ind w:start="630" w:end="0"/>
              <w:jc w:val="both"/>
              <w:rPr>
                <w:sz w:val="20"/>
              </w:rPr>
            </w:pPr>
            <w:r>
              <w:rPr>
                <w:sz w:val="20"/>
              </w:rPr>
              <w:t>Name:  …………………………………………</w:t>
            </w:r>
          </w:p>
          <w:p>
            <w:pPr>
              <w:pStyle w:val="Normal"/>
              <w:tabs>
                <w:tab w:val="clear" w:pos="720"/>
                <w:tab w:val="left" w:pos="4410" w:leader="none"/>
              </w:tabs>
              <w:ind w:start="630" w:end="0"/>
              <w:jc w:val="both"/>
              <w:rPr>
                <w:sz w:val="20"/>
              </w:rPr>
            </w:pPr>
            <w:r>
              <w:rPr>
                <w:sz w:val="20"/>
              </w:rPr>
              <w:t>Title:  …………………………………………..</w:t>
            </w:r>
          </w:p>
          <w:p>
            <w:pPr>
              <w:pStyle w:val="Normal"/>
              <w:tabs>
                <w:tab w:val="clear" w:pos="720"/>
                <w:tab w:val="left" w:pos="4410" w:leader="none"/>
              </w:tabs>
              <w:ind w:start="630" w:end="0"/>
              <w:jc w:val="both"/>
              <w:rPr>
                <w:sz w:val="20"/>
              </w:rPr>
            </w:pPr>
            <w:r>
              <w:rPr>
                <w:sz w:val="20"/>
              </w:rPr>
              <w:t>Date:  …………………………………………..</w:t>
            </w:r>
          </w:p>
          <w:p>
            <w:pPr>
              <w:pStyle w:val="Normal"/>
              <w:tabs>
                <w:tab w:val="clear" w:pos="720"/>
                <w:tab w:val="left" w:pos="4410" w:leader="none"/>
              </w:tabs>
              <w:ind w:start="630" w:end="0"/>
              <w:jc w:val="both"/>
              <w:rPr>
                <w:sz w:val="20"/>
                <w:u w:val="single"/>
              </w:rPr>
            </w:pPr>
            <w:r>
              <w:rPr>
                <w:sz w:val="20"/>
                <w:u w:val="single"/>
              </w:rPr>
            </w:r>
          </w:p>
        </w:tc>
        <w:tc>
          <w:tcPr>
            <w:tcW w:w="4788" w:type="dxa"/>
            <w:tcBorders/>
          </w:tcPr>
          <w:p>
            <w:pPr>
              <w:pStyle w:val="Normal"/>
              <w:tabs>
                <w:tab w:val="clear" w:pos="720"/>
                <w:tab w:val="left" w:pos="4410" w:leader="none"/>
              </w:tabs>
              <w:spacing w:before="720" w:after="0"/>
              <w:jc w:val="both"/>
              <w:rPr>
                <w:sz w:val="20"/>
              </w:rPr>
            </w:pPr>
            <w:r>
              <w:rPr>
                <w:sz w:val="20"/>
              </w:rPr>
              <w:t>By:  …………………………………………………….</w:t>
            </w:r>
          </w:p>
          <w:p>
            <w:pPr>
              <w:pStyle w:val="Normal"/>
              <w:tabs>
                <w:tab w:val="clear" w:pos="720"/>
                <w:tab w:val="left" w:pos="4410" w:leader="none"/>
              </w:tabs>
              <w:ind w:start="630" w:end="0"/>
              <w:jc w:val="both"/>
              <w:rPr>
                <w:sz w:val="20"/>
              </w:rPr>
            </w:pPr>
            <w:r>
              <w:rPr>
                <w:sz w:val="20"/>
              </w:rPr>
              <w:t>Name:  …………………………………………</w:t>
            </w:r>
          </w:p>
          <w:p>
            <w:pPr>
              <w:pStyle w:val="Normal"/>
              <w:tabs>
                <w:tab w:val="clear" w:pos="720"/>
                <w:tab w:val="left" w:pos="4410" w:leader="none"/>
              </w:tabs>
              <w:ind w:start="630" w:end="0"/>
              <w:jc w:val="both"/>
              <w:rPr>
                <w:sz w:val="20"/>
              </w:rPr>
            </w:pPr>
            <w:r>
              <w:rPr>
                <w:sz w:val="20"/>
              </w:rPr>
              <w:t>Title:  …………………………………………..</w:t>
            </w:r>
          </w:p>
          <w:p>
            <w:pPr>
              <w:pStyle w:val="Normal"/>
              <w:tabs>
                <w:tab w:val="clear" w:pos="720"/>
                <w:tab w:val="left" w:pos="4410" w:leader="none"/>
              </w:tabs>
              <w:ind w:start="630" w:end="0"/>
              <w:jc w:val="both"/>
              <w:rPr>
                <w:sz w:val="20"/>
              </w:rPr>
            </w:pPr>
            <w:r>
              <w:rPr>
                <w:sz w:val="20"/>
              </w:rPr>
              <w:t>Date:  …………………………………………..</w:t>
            </w:r>
          </w:p>
          <w:p>
            <w:pPr>
              <w:pStyle w:val="Normal"/>
              <w:tabs>
                <w:tab w:val="clear" w:pos="720"/>
                <w:tab w:val="left" w:pos="4392" w:leader="none"/>
              </w:tabs>
              <w:ind w:start="612" w:end="0"/>
              <w:jc w:val="both"/>
              <w:rPr>
                <w:sz w:val="20"/>
              </w:rPr>
            </w:pPr>
            <w:r>
              <w:rPr>
                <w:sz w:val="20"/>
              </w:rPr>
            </w:r>
          </w:p>
        </w:tc>
      </w:tr>
      <w:tr>
        <w:trPr/>
        <w:tc>
          <w:tcPr>
            <w:tcW w:w="4788" w:type="dxa"/>
            <w:tcBorders/>
          </w:tcPr>
          <w:p>
            <w:pPr>
              <w:pStyle w:val="Normal"/>
              <w:tabs>
                <w:tab w:val="clear" w:pos="720"/>
                <w:tab w:val="left" w:pos="4410" w:leader="none"/>
              </w:tabs>
              <w:snapToGrid w:val="false"/>
              <w:ind w:start="630" w:end="0"/>
              <w:jc w:val="both"/>
              <w:rPr>
                <w:sz w:val="20"/>
                <w:u w:val="single"/>
              </w:rPr>
            </w:pPr>
            <w:r>
              <w:rPr>
                <w:sz w:val="20"/>
                <w:u w:val="single"/>
              </w:rPr>
            </w:r>
          </w:p>
        </w:tc>
        <w:tc>
          <w:tcPr>
            <w:tcW w:w="4788" w:type="dxa"/>
            <w:tcBorders/>
          </w:tcPr>
          <w:p>
            <w:pPr>
              <w:pStyle w:val="Normal"/>
              <w:tabs>
                <w:tab w:val="clear" w:pos="720"/>
                <w:tab w:val="left" w:pos="4410" w:leader="none"/>
              </w:tabs>
              <w:snapToGrid w:val="false"/>
              <w:ind w:start="630" w:end="0"/>
              <w:jc w:val="both"/>
              <w:rPr>
                <w:sz w:val="20"/>
                <w:u w:val="single"/>
              </w:rPr>
            </w:pPr>
            <w:r>
              <w:rPr>
                <w:sz w:val="20"/>
                <w:u w:val="single"/>
              </w:rPr>
            </w:r>
          </w:p>
        </w:tc>
      </w:tr>
    </w:tbl>
    <w:p>
      <w:pPr>
        <w:pStyle w:val="Normal"/>
        <w:jc w:val="both"/>
        <w:rPr>
          <w:sz w:val="20"/>
        </w:rPr>
      </w:pPr>
      <w:r>
        <w:rPr>
          <w:sz w:val="20"/>
        </w:rPr>
      </w:r>
    </w:p>
    <w:p>
      <w:pPr>
        <w:pStyle w:val="Normal"/>
        <w:jc w:val="both"/>
        <w:rPr>
          <w:sz w:val="20"/>
        </w:rPr>
      </w:pPr>
      <w:r>
        <w:rPr>
          <w:sz w:val="20"/>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18</w:t>
      <w:tab/>
    </w:r>
    <w:r>
      <w:rPr>
        <w:b/>
        <w:sz w:val="20"/>
      </w:rPr>
      <w:t>ISDA® 1992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Copyright © by International Swap Dealers Association, Inc.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96"/>
    </w:rPr>
  </w:style>
  <w:style w:type="paragraph" w:styleId="Heading2">
    <w:name w:val="heading 2"/>
    <w:basedOn w:val="Normal"/>
    <w:next w:val="Normal"/>
    <w:qFormat/>
    <w:pPr>
      <w:keepNext w:val="true"/>
      <w:numPr>
        <w:ilvl w:val="1"/>
        <w:numId w:val="1"/>
      </w:numPr>
      <w:jc w:val="center"/>
      <w:outlineLvl w:val="1"/>
    </w:pPr>
    <w:rPr>
      <w:b/>
      <w:sz w:val="3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1999-12-07T20:24:00Z</dcterms:created>
  <dc:creator>Brenda Whitehead</dc:creator>
  <dc:description/>
  <dc:language>en-CA</dc:language>
  <cp:lastModifiedBy>susan s bailey</cp:lastModifiedBy>
  <cp:lastPrinted>1999-12-07T16:29:00Z</cp:lastPrinted>
  <dcterms:modified xsi:type="dcterms:W3CDTF">1999-12-07T20:24:00Z</dcterms:modified>
  <cp:revision>2</cp:revision>
  <dc:subject/>
  <dc:title>(Multicurrency-Cross Border)</dc:title>
</cp:coreProperties>
</file>