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4"/>
        </w:rPr>
        <w:t>Main accomplishments, 1</w:t>
      </w:r>
      <w:r>
        <w:rPr>
          <w:b/>
          <w:sz w:val="24"/>
          <w:vertAlign w:val="superscript"/>
        </w:rPr>
        <w:t>st</w:t>
      </w:r>
      <w:r>
        <w:rPr>
          <w:b/>
          <w:sz w:val="24"/>
        </w:rPr>
        <w:t xml:space="preserve"> half 2000</w:t>
      </w:r>
    </w:p>
    <w:p>
      <w:pPr>
        <w:pStyle w:val="Normal"/>
        <w:rPr>
          <w:b/>
          <w:sz w:val="24"/>
        </w:rPr>
      </w:pPr>
      <w:r>
        <w:rPr>
          <w:b/>
          <w:sz w:val="24"/>
        </w:rPr>
        <w:t>Peter R. Styles, Vice President, European Government Affairs, Brussels</w:t>
      </w:r>
    </w:p>
    <w:p>
      <w:pPr>
        <w:pStyle w:val="Normal"/>
        <w:rPr>
          <w:b/>
          <w:sz w:val="24"/>
        </w:rPr>
      </w:pPr>
      <w:r>
        <w:rPr>
          <w:b/>
          <w:sz w:val="24"/>
        </w:rPr>
      </w:r>
    </w:p>
    <w:p>
      <w:pPr>
        <w:pStyle w:val="Normal"/>
        <w:numPr>
          <w:ilvl w:val="0"/>
          <w:numId w:val="1"/>
        </w:numPr>
        <w:rPr>
          <w:sz w:val="24"/>
        </w:rPr>
      </w:pPr>
      <w:r>
        <w:rPr>
          <w:sz w:val="24"/>
          <w:u w:val="single"/>
        </w:rPr>
        <w:t>Internal Energy Market of the European Union</w:t>
      </w:r>
    </w:p>
    <w:p>
      <w:pPr>
        <w:pStyle w:val="Normal"/>
        <w:numPr>
          <w:ilvl w:val="0"/>
          <w:numId w:val="2"/>
        </w:numPr>
        <w:rPr>
          <w:sz w:val="24"/>
        </w:rPr>
      </w:pPr>
      <w:r>
        <w:rPr>
          <w:sz w:val="24"/>
        </w:rPr>
        <w:t>Acceptance at the Florence Electricity Regulatory Forum in March of principles for cross border transmission tariffication favourable to development of Enron continental power trading biz.: Non-transaction related, non-discriminatory between market participants, non-inhibiting to trade in the EU internal market and cost reflective. TSOs’ proposal of export related supplementary tariff of 2 euros per MWh rejected.</w:t>
      </w:r>
    </w:p>
    <w:p>
      <w:pPr>
        <w:pStyle w:val="Normal"/>
        <w:numPr>
          <w:ilvl w:val="0"/>
          <w:numId w:val="2"/>
        </w:numPr>
        <w:rPr>
          <w:sz w:val="24"/>
        </w:rPr>
      </w:pPr>
      <w:r>
        <w:rPr>
          <w:sz w:val="24"/>
        </w:rPr>
        <w:t>Progress at the same Forum towards recognition of fair and objective rules governing allocation of constrained transmission capacity at international borders within Europe; adoption by EU Commission of our idea for EU wide guidelines on this subject.</w:t>
      </w:r>
    </w:p>
    <w:p>
      <w:pPr>
        <w:pStyle w:val="Normal"/>
        <w:numPr>
          <w:ilvl w:val="0"/>
          <w:numId w:val="2"/>
        </w:numPr>
        <w:rPr>
          <w:sz w:val="24"/>
        </w:rPr>
      </w:pPr>
      <w:r>
        <w:rPr>
          <w:sz w:val="24"/>
        </w:rPr>
        <w:t>Securing study mandate for Brattle Group to perform investigation for EU Commission into appropriate gas transport tariffs for continental Europe, and widespread acclamation of the findings at the Madrid Gas Regulatory Forum in May.</w:t>
      </w:r>
    </w:p>
    <w:p>
      <w:pPr>
        <w:pStyle w:val="Normal"/>
        <w:rPr>
          <w:sz w:val="24"/>
        </w:rPr>
      </w:pPr>
      <w:r>
        <w:rPr>
          <w:sz w:val="24"/>
        </w:rPr>
      </w:r>
    </w:p>
    <w:p>
      <w:pPr>
        <w:pStyle w:val="Normal"/>
        <w:numPr>
          <w:ilvl w:val="0"/>
          <w:numId w:val="1"/>
        </w:numPr>
        <w:rPr>
          <w:sz w:val="24"/>
          <w:u w:val="single"/>
        </w:rPr>
      </w:pPr>
      <w:r>
        <w:rPr>
          <w:sz w:val="24"/>
          <w:u w:val="single"/>
        </w:rPr>
        <w:t>EU and German anti-trust proceedings</w:t>
      </w:r>
    </w:p>
    <w:p>
      <w:pPr>
        <w:pStyle w:val="BodyTextIndent"/>
        <w:numPr>
          <w:ilvl w:val="0"/>
          <w:numId w:val="2"/>
        </w:numPr>
        <w:rPr/>
      </w:pPr>
      <w:r>
        <w:rPr/>
        <w:t>Remedy in Veba/ Viag merger review imposing open access regime at German-Danish power transmission interconnection point from 1 January 2001 and abolishing proposed internal German trading zone transmission tariff.</w:t>
      </w:r>
    </w:p>
    <w:p>
      <w:pPr>
        <w:pStyle w:val="Normal"/>
        <w:numPr>
          <w:ilvl w:val="0"/>
          <w:numId w:val="2"/>
        </w:numPr>
        <w:rPr>
          <w:sz w:val="24"/>
        </w:rPr>
      </w:pPr>
      <w:r>
        <w:rPr>
          <w:sz w:val="24"/>
        </w:rPr>
        <w:t>Remedy in RWE/ VEW merger review mandating a balancing power mechanism in North Rhine Westphalia.</w:t>
      </w:r>
    </w:p>
    <w:p>
      <w:pPr>
        <w:pStyle w:val="Normal"/>
        <w:numPr>
          <w:ilvl w:val="0"/>
          <w:numId w:val="2"/>
        </w:numPr>
        <w:rPr>
          <w:sz w:val="24"/>
        </w:rPr>
      </w:pPr>
      <w:r>
        <w:rPr>
          <w:sz w:val="24"/>
        </w:rPr>
        <w:t xml:space="preserve">Disposal by RWE to Veba of its remaining shares in holding company of Ruhrgas, thereby achieving elimination of cross-holdings between Thyssengas and Ruhrgas, as we demanded in Exxon/ Mobil merger review.  </w:t>
      </w:r>
    </w:p>
    <w:p>
      <w:pPr>
        <w:pStyle w:val="Normal"/>
        <w:numPr>
          <w:ilvl w:val="0"/>
          <w:numId w:val="2"/>
        </w:numPr>
        <w:rPr>
          <w:sz w:val="24"/>
        </w:rPr>
      </w:pPr>
      <w:r>
        <w:rPr>
          <w:sz w:val="24"/>
        </w:rPr>
        <w:t>Opening of investigations by DG Competition of EU Commission into German NTPA regime (VV2, January, incomplete), Italian gas import contract terms (non-resale terms, March, incomplete), and long term power offtake/ capacity reservation contracts affecting constrained Dutch, Italian and Franco-Spanish borders (legitimacy of capacity allocation, June, just started.)</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bullet"/>
      <w:lvlText w:val="-"/>
      <w:lvlJc w:val="start"/>
      <w:pPr>
        <w:tabs>
          <w:tab w:val="num" w:pos="720"/>
        </w:tabs>
        <w:ind w:start="720" w:hanging="360"/>
      </w:pPr>
      <w:rPr>
        <w:rFonts w:ascii="Liberation Serif" w:hAnsi="Liberation Serif" w:cs="Liberation Serif"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2000-07-13T12:29:00Z</dcterms:created>
  <dc:creator>pstyles</dc:creator>
  <dc:description/>
  <dc:language>en-CA</dc:language>
  <cp:lastModifiedBy>pstyles</cp:lastModifiedBy>
  <dcterms:modified xsi:type="dcterms:W3CDTF">2000-07-13T13:21:00Z</dcterms:modified>
  <cp:revision>2</cp:revision>
  <dc:subject/>
  <dc:title>Main accomplishments, 1st half 2000</dc:title>
</cp:coreProperties>
</file>