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 xml:space="preserve">                                    </w:t>
      </w:r>
      <w:r>
        <w:rPr/>
        <w:tab/>
        <w:tab/>
        <w:tab/>
        <w:t xml:space="preserve">      Exhibit Number </w:t>
        <w:tab/>
        <w:t xml:space="preserve">  :  </w:t>
      </w:r>
      <w:r>
        <w:rPr>
          <w:u w:val="single"/>
        </w:rPr>
        <w:t>4</w:t>
      </w:r>
      <w:r>
        <w:rPr/>
        <w:t xml:space="preserve">                    </w:t>
      </w:r>
    </w:p>
    <w:p>
      <w:pPr>
        <w:pStyle w:val="Heading"/>
        <w:jc w:val="start"/>
        <w:rPr/>
      </w:pPr>
      <w:r>
        <w:rPr/>
        <w:tab/>
        <w:tab/>
        <w:tab/>
        <w:tab/>
        <w:tab/>
        <w:tab/>
        <w:t xml:space="preserve">      Commissioner       :  </w:t>
      </w:r>
      <w:r>
        <w:rPr>
          <w:u w:val="single"/>
        </w:rPr>
        <w:t>Richard A. Bilas</w:t>
      </w:r>
      <w:r>
        <w:rPr/>
        <w:t xml:space="preserve"> </w:t>
      </w:r>
    </w:p>
    <w:p>
      <w:pPr>
        <w:pStyle w:val="Heading"/>
        <w:jc w:val="start"/>
        <w:rPr/>
      </w:pPr>
      <w:r>
        <w:rPr/>
        <w:tab/>
        <w:tab/>
        <w:tab/>
        <w:tab/>
        <w:tab/>
        <w:tab/>
        <w:t xml:space="preserve">      Admin. Law Judge: </w:t>
      </w:r>
      <w:r>
        <w:rPr>
          <w:u w:val="single"/>
        </w:rPr>
        <w:t>Andrea L. Biren</w:t>
      </w:r>
    </w:p>
    <w:p>
      <w:pPr>
        <w:pStyle w:val="Heading"/>
        <w:rPr>
          <w:u w:val="single"/>
        </w:rPr>
      </w:pPr>
      <w:r>
        <w:rPr>
          <w:u w:val="single"/>
        </w:rPr>
      </w:r>
    </w:p>
    <w:p>
      <w:pPr>
        <w:pStyle w:val="Heading"/>
        <w:rPr/>
      </w:pPr>
      <w:r>
        <w:rPr/>
      </w:r>
    </w:p>
    <w:p>
      <w:pPr>
        <w:pStyle w:val="Heading"/>
        <w:rPr/>
      </w:pPr>
      <w:r>
        <w:rPr/>
      </w:r>
    </w:p>
    <w:p>
      <w:pPr>
        <w:pStyle w:val="Heading"/>
        <w:rPr/>
      </w:pPr>
      <w:r>
        <w:rPr/>
        <w:t>BEFORE THE PUBLIC UTILITIES COMMISSION OF THE STATE OF CALIFORNIA</w:t>
      </w:r>
    </w:p>
    <w:p>
      <w:pPr>
        <w:pStyle w:val="Normal"/>
        <w:tabs>
          <w:tab w:val="clear" w:pos="720"/>
          <w:tab w:val="left" w:pos="4410" w:leader="none"/>
        </w:tabs>
        <w:spacing w:lineRule="exact" w:line="240"/>
        <w:rPr>
          <w:b/>
          <w:sz w:val="24"/>
        </w:rPr>
      </w:pPr>
      <w:r>
        <w:rPr>
          <w:b/>
          <w:sz w:val="24"/>
        </w:rPr>
      </w:r>
    </w:p>
    <w:p>
      <w:pPr>
        <w:pStyle w:val="Normal"/>
        <w:tabs>
          <w:tab w:val="clear" w:pos="720"/>
          <w:tab w:val="left" w:pos="4410" w:leader="none"/>
        </w:tabs>
        <w:spacing w:lineRule="exact" w:line="240"/>
        <w:rPr>
          <w:b/>
          <w:sz w:val="24"/>
        </w:rPr>
      </w:pPr>
      <w:r>
        <w:rPr>
          <w:b/>
          <w:sz w:val="24"/>
        </w:rPr>
      </w:r>
    </w:p>
    <w:p>
      <w:pPr>
        <w:pStyle w:val="Normal"/>
        <w:tabs>
          <w:tab w:val="clear" w:pos="720"/>
          <w:tab w:val="left" w:pos="4410" w:leader="none"/>
        </w:tabs>
        <w:spacing w:lineRule="exact" w:line="240"/>
        <w:rPr>
          <w:b/>
          <w:sz w:val="24"/>
        </w:rPr>
      </w:pPr>
      <w:r>
        <w:rPr>
          <w:b/>
          <w:sz w:val="24"/>
        </w:rPr>
      </w:r>
    </w:p>
    <w:tbl>
      <w:tblPr>
        <w:tblW w:w="9576" w:type="dxa"/>
        <w:jc w:val="start"/>
        <w:tblInd w:w="0" w:type="dxa"/>
        <w:tblLayout w:type="fixed"/>
        <w:tblCellMar>
          <w:top w:w="0" w:type="dxa"/>
          <w:start w:w="108" w:type="dxa"/>
          <w:bottom w:w="0" w:type="dxa"/>
          <w:end w:w="108" w:type="dxa"/>
        </w:tblCellMar>
      </w:tblPr>
      <w:tblGrid>
        <w:gridCol w:w="5778"/>
        <w:gridCol w:w="270"/>
        <w:gridCol w:w="3528"/>
      </w:tblGrid>
      <w:tr>
        <w:trPr/>
        <w:tc>
          <w:tcPr>
            <w:tcW w:w="5778" w:type="dxa"/>
            <w:tcBorders>
              <w:bottom w:val="single" w:sz="6" w:space="0" w:color="000000"/>
              <w:end w:val="single" w:sz="6" w:space="0" w:color="000000"/>
            </w:tcBorders>
          </w:tcPr>
          <w:p>
            <w:pPr>
              <w:pStyle w:val="Normal"/>
              <w:tabs>
                <w:tab w:val="clear" w:pos="720"/>
                <w:tab w:val="left" w:pos="4410" w:leader="none"/>
              </w:tabs>
              <w:spacing w:lineRule="exact" w:line="240"/>
              <w:rPr>
                <w:sz w:val="24"/>
              </w:rPr>
            </w:pPr>
            <w:r>
              <w:rPr>
                <w:sz w:val="24"/>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tabs>
                <w:tab w:val="clear" w:pos="720"/>
                <w:tab w:val="left" w:pos="4410" w:leader="none"/>
              </w:tabs>
              <w:spacing w:lineRule="exact" w:line="240"/>
              <w:rPr>
                <w:sz w:val="24"/>
              </w:rPr>
            </w:pPr>
            <w:r>
              <w:rPr>
                <w:sz w:val="24"/>
              </w:rPr>
            </w:r>
          </w:p>
        </w:tc>
        <w:tc>
          <w:tcPr>
            <w:tcW w:w="270" w:type="dxa"/>
            <w:tcBorders/>
          </w:tcPr>
          <w:p>
            <w:pPr>
              <w:pStyle w:val="Normal"/>
              <w:tabs>
                <w:tab w:val="clear" w:pos="720"/>
                <w:tab w:val="left" w:pos="4410" w:leader="none"/>
              </w:tabs>
              <w:snapToGrid w:val="false"/>
              <w:spacing w:lineRule="exact" w:line="240"/>
              <w:rPr>
                <w:sz w:val="24"/>
              </w:rPr>
            </w:pPr>
            <w:r>
              <w:rPr>
                <w:sz w:val="24"/>
              </w:rPr>
            </w:r>
          </w:p>
        </w:tc>
        <w:tc>
          <w:tcPr>
            <w:tcW w:w="3528" w:type="dxa"/>
            <w:tcBorders/>
          </w:tcPr>
          <w:p>
            <w:pPr>
              <w:pStyle w:val="Normal"/>
              <w:tabs>
                <w:tab w:val="clear" w:pos="720"/>
                <w:tab w:val="left" w:pos="4410" w:leader="none"/>
              </w:tabs>
              <w:snapToGrid w:val="false"/>
              <w:spacing w:lineRule="exact" w:line="240"/>
              <w:rPr>
                <w:sz w:val="24"/>
              </w:rPr>
            </w:pPr>
            <w:r>
              <w:rPr>
                <w:sz w:val="24"/>
              </w:rPr>
            </w:r>
          </w:p>
          <w:p>
            <w:pPr>
              <w:pStyle w:val="Normal"/>
              <w:tabs>
                <w:tab w:val="clear" w:pos="720"/>
                <w:tab w:val="left" w:pos="4410" w:leader="none"/>
              </w:tabs>
              <w:spacing w:lineRule="exact" w:line="240"/>
              <w:rPr>
                <w:sz w:val="24"/>
              </w:rPr>
            </w:pPr>
            <w:r>
              <w:rPr>
                <w:sz w:val="24"/>
              </w:rPr>
            </w:r>
          </w:p>
          <w:p>
            <w:pPr>
              <w:pStyle w:val="Normal"/>
              <w:tabs>
                <w:tab w:val="clear" w:pos="720"/>
                <w:tab w:val="left" w:pos="4410" w:leader="none"/>
              </w:tabs>
              <w:spacing w:lineRule="exact" w:line="240"/>
              <w:rPr>
                <w:sz w:val="24"/>
              </w:rPr>
            </w:pPr>
            <w:r>
              <w:rPr>
                <w:sz w:val="24"/>
              </w:rPr>
              <w:t>I.99-07-003</w:t>
            </w:r>
          </w:p>
          <w:p>
            <w:pPr>
              <w:pStyle w:val="Normal"/>
              <w:tabs>
                <w:tab w:val="clear" w:pos="720"/>
                <w:tab w:val="left" w:pos="4410" w:leader="none"/>
              </w:tabs>
              <w:spacing w:lineRule="exact" w:line="240"/>
              <w:rPr>
                <w:sz w:val="24"/>
              </w:rPr>
            </w:pPr>
            <w:r>
              <w:rPr>
                <w:sz w:val="24"/>
              </w:rPr>
            </w:r>
          </w:p>
        </w:tc>
      </w:tr>
    </w:tbl>
    <w:p>
      <w:pPr>
        <w:pStyle w:val="Normal"/>
        <w:spacing w:lineRule="exact" w:line="240"/>
        <w:jc w:val="center"/>
        <w:rPr>
          <w:b/>
          <w:sz w:val="24"/>
        </w:rPr>
      </w:pPr>
      <w:r>
        <w:rPr>
          <w:b/>
          <w:sz w:val="24"/>
        </w:rPr>
      </w:r>
    </w:p>
    <w:p>
      <w:pPr>
        <w:pStyle w:val="Normal"/>
        <w:spacing w:lineRule="exact" w:line="240"/>
        <w:jc w:val="center"/>
        <w:rPr>
          <w:b/>
          <w:sz w:val="24"/>
        </w:rPr>
      </w:pPr>
      <w:r>
        <w:rPr>
          <w:b/>
          <w:sz w:val="24"/>
        </w:rPr>
      </w:r>
    </w:p>
    <w:p>
      <w:pPr>
        <w:pStyle w:val="Normal"/>
        <w:spacing w:lineRule="exact" w:line="240"/>
        <w:jc w:val="center"/>
        <w:rPr>
          <w:b/>
          <w:sz w:val="24"/>
        </w:rPr>
      </w:pPr>
      <w:r>
        <w:rPr>
          <w:b/>
          <w:sz w:val="24"/>
        </w:rPr>
      </w:r>
    </w:p>
    <w:p>
      <w:pPr>
        <w:pStyle w:val="Normal"/>
        <w:spacing w:lineRule="exact" w:line="240"/>
        <w:jc w:val="center"/>
        <w:rPr>
          <w:b/>
          <w:sz w:val="24"/>
        </w:rPr>
      </w:pPr>
      <w:r>
        <w:rPr>
          <w:b/>
          <w:sz w:val="24"/>
        </w:rPr>
      </w:r>
    </w:p>
    <w:p>
      <w:pPr>
        <w:pStyle w:val="Normal"/>
        <w:spacing w:lineRule="exact" w:line="240"/>
        <w:jc w:val="center"/>
        <w:rPr>
          <w:b/>
          <w:sz w:val="24"/>
        </w:rPr>
      </w:pPr>
      <w:r>
        <w:rPr>
          <w:b/>
          <w:sz w:val="24"/>
        </w:rPr>
      </w:r>
    </w:p>
    <w:p>
      <w:pPr>
        <w:pStyle w:val="Normal"/>
        <w:spacing w:lineRule="exact" w:line="240"/>
        <w:jc w:val="center"/>
        <w:rPr>
          <w:b/>
          <w:sz w:val="24"/>
        </w:rPr>
      </w:pPr>
      <w:r>
        <w:rPr>
          <w:b/>
          <w:sz w:val="24"/>
        </w:rPr>
      </w:r>
    </w:p>
    <w:p>
      <w:pPr>
        <w:pStyle w:val="Normal"/>
        <w:spacing w:lineRule="exact" w:line="240"/>
        <w:jc w:val="center"/>
        <w:rPr>
          <w:b/>
          <w:sz w:val="24"/>
        </w:rPr>
      </w:pPr>
      <w:r>
        <w:rPr>
          <w:b/>
          <w:sz w:val="24"/>
        </w:rPr>
      </w:r>
    </w:p>
    <w:p>
      <w:pPr>
        <w:pStyle w:val="Normal"/>
        <w:spacing w:lineRule="exact" w:line="240"/>
        <w:jc w:val="center"/>
        <w:rPr>
          <w:b/>
          <w:sz w:val="24"/>
        </w:rPr>
      </w:pPr>
      <w:r>
        <w:rPr>
          <w:b/>
          <w:sz w:val="24"/>
        </w:rPr>
      </w:r>
    </w:p>
    <w:p>
      <w:pPr>
        <w:pStyle w:val="Heading1"/>
        <w:ind w:hanging="0" w:start="0"/>
        <w:rPr/>
      </w:pPr>
      <w:r>
        <w:rPr/>
        <w:t xml:space="preserve">PREPARED DIRECT TESTIMONY </w:t>
      </w:r>
    </w:p>
    <w:p>
      <w:pPr>
        <w:pStyle w:val="Heading1"/>
        <w:ind w:hanging="0" w:start="0"/>
        <w:rPr/>
      </w:pPr>
      <w:r>
        <w:rPr/>
        <w:t xml:space="preserve">OF ROBERT MARK POCTA </w:t>
      </w:r>
    </w:p>
    <w:p>
      <w:pPr>
        <w:pStyle w:val="Heading1"/>
        <w:ind w:hanging="0" w:start="0"/>
        <w:rPr/>
      </w:pPr>
      <w:r>
        <w:rPr/>
        <w:t xml:space="preserve">ON BEHALF OF </w:t>
      </w:r>
    </w:p>
    <w:p>
      <w:pPr>
        <w:pStyle w:val="Heading1"/>
        <w:ind w:hanging="0" w:start="0"/>
        <w:rPr/>
      </w:pPr>
      <w:r>
        <w:rPr/>
        <w:t xml:space="preserve"> </w:t>
      </w:r>
      <w:r>
        <w:rPr/>
        <w:t>THE OFFICE OF RATEPAYER ADVOCATES</w:t>
      </w:r>
    </w:p>
    <w:p>
      <w:pPr>
        <w:pStyle w:val="Normal"/>
        <w:spacing w:before="120" w:after="0"/>
        <w:jc w:val="center"/>
        <w:rPr>
          <w:b/>
          <w:sz w:val="24"/>
        </w:rPr>
      </w:pPr>
      <w:r>
        <w:rPr>
          <w:b/>
          <w:sz w:val="24"/>
        </w:rPr>
        <w:t xml:space="preserve">IN SUPPORT OF THE </w:t>
      </w:r>
    </w:p>
    <w:p>
      <w:pPr>
        <w:pStyle w:val="Normal"/>
        <w:spacing w:before="120" w:after="0"/>
        <w:jc w:val="center"/>
        <w:rPr>
          <w:b/>
          <w:sz w:val="24"/>
        </w:rPr>
      </w:pPr>
      <w:r>
        <w:rPr>
          <w:b/>
          <w:sz w:val="24"/>
        </w:rPr>
        <w:t>COMPREHENSIVE GAS OII SETTLEMENT AGREEMENT FOR</w:t>
      </w:r>
    </w:p>
    <w:p>
      <w:pPr>
        <w:pStyle w:val="Heading1"/>
        <w:ind w:hanging="0" w:start="0"/>
        <w:rPr/>
      </w:pPr>
      <w:r>
        <w:rPr/>
        <w:t xml:space="preserve">SOUTHERN CALIFORNIA GAS COMPANY </w:t>
      </w:r>
    </w:p>
    <w:p>
      <w:pPr>
        <w:pStyle w:val="Normal"/>
        <w:spacing w:before="120" w:after="0"/>
        <w:jc w:val="center"/>
        <w:rPr>
          <w:b/>
          <w:sz w:val="24"/>
        </w:rPr>
      </w:pPr>
      <w:r>
        <w:rPr>
          <w:b/>
          <w:sz w:val="24"/>
        </w:rPr>
        <w:t>AND SAN DIEGO GAS &amp; ELECTRIC COMPANY</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Heading1"/>
        <w:spacing w:before="0" w:after="0"/>
        <w:ind w:hanging="0" w:start="0"/>
        <w:rPr/>
      </w:pPr>
      <w:r>
        <w:rPr/>
        <w:t>San Francisco, CA</w:t>
      </w:r>
    </w:p>
    <w:p>
      <w:pPr>
        <w:pStyle w:val="Heading3"/>
        <w:ind w:hanging="0" w:start="0"/>
        <w:jc w:val="center"/>
        <w:rPr/>
      </w:pPr>
      <w:r>
        <w:rPr/>
        <w:t>May 5, 2000</w:t>
      </w:r>
    </w:p>
    <w:p>
      <w:pPr>
        <w:sectPr>
          <w:footerReference w:type="default" r:id="rId2"/>
          <w:footerReference w:type="first" r:id="rId3"/>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spacing w:lineRule="auto" w:line="360"/>
        <w:rPr>
          <w:b/>
          <w:sz w:val="24"/>
        </w:rPr>
      </w:pPr>
      <w:r>
        <w:rPr>
          <w:b/>
          <w:sz w:val="24"/>
        </w:rPr>
      </w:r>
    </w:p>
    <w:p>
      <w:pPr>
        <w:pStyle w:val="Normal"/>
        <w:spacing w:lineRule="exact" w:line="480"/>
        <w:rPr/>
      </w:pPr>
      <w:r>
        <w:rPr>
          <w:b/>
          <w:sz w:val="24"/>
        </w:rPr>
        <w:tab/>
      </w:r>
      <w:r>
        <w:rPr>
          <w:sz w:val="24"/>
        </w:rPr>
        <w:t>My name is R. Mark Pocta.  I am a program and project supervisor in the Market Development Branch of the Office of Ratepayer Advocates (ORA).  My business address is 505 Van Ness Avenue, San Francisco, California 94102.  My experience and qualifications are set forth at the end of this testimony.</w:t>
      </w:r>
    </w:p>
    <w:p>
      <w:pPr>
        <w:pStyle w:val="Normal"/>
        <w:rPr>
          <w:sz w:val="24"/>
        </w:rPr>
      </w:pPr>
      <w:r>
        <w:rPr>
          <w:sz w:val="24"/>
        </w:rPr>
      </w:r>
    </w:p>
    <w:p>
      <w:pPr>
        <w:pStyle w:val="Normal"/>
        <w:rPr>
          <w:sz w:val="24"/>
        </w:rPr>
      </w:pPr>
      <w:r>
        <w:rPr>
          <w:sz w:val="24"/>
        </w:rPr>
      </w:r>
    </w:p>
    <w:p>
      <w:pPr>
        <w:pStyle w:val="BodyText"/>
        <w:spacing w:lineRule="auto" w:line="360"/>
        <w:ind w:hanging="0" w:end="0"/>
        <w:rPr>
          <w:b/>
          <w:sz w:val="28"/>
        </w:rPr>
      </w:pPr>
      <w:r>
        <w:rPr>
          <w:b/>
          <w:sz w:val="28"/>
        </w:rPr>
        <w:t xml:space="preserve">I.  INTRODUCTION </w:t>
      </w:r>
    </w:p>
    <w:p>
      <w:pPr>
        <w:pStyle w:val="BodyText"/>
        <w:rPr/>
      </w:pPr>
      <w:r>
        <w:rPr/>
        <w:t xml:space="preserve">In Decision (D.) 99-07-015, the California Public Utilities Commission (Commission) identified a number of promising options for continued restructuring of the California natural gas industry.  ORA was an active participant in the proceeding underlying D.99-07-015 and is also an active participant in the current investigation, I.99-07-003.  On April 17, 2000, a number of parties filed a Comprehensive Settlement Agreement pertaining to the Southern California Gas Company (SoCalGas) and San Diego Gas &amp; Electric Company (SDG&amp;E), which addressed all of the most promising options and other issues raised in the Commission investigation that would otherwise be litigated.  ORA was a signatory to the Comprehensive Settlement Agreement.  </w:t>
      </w:r>
    </w:p>
    <w:p>
      <w:pPr>
        <w:pStyle w:val="BodyText"/>
        <w:rPr/>
      </w:pPr>
      <w:r>
        <w:rPr/>
        <w:t>The Comprehensive Settlement Agreement makes the following changes to SoCalGas’ natural gas regulatory structure:</w:t>
      </w:r>
    </w:p>
    <w:p>
      <w:pPr>
        <w:pStyle w:val="BodyText"/>
        <w:numPr>
          <w:ilvl w:val="0"/>
          <w:numId w:val="2"/>
        </w:numPr>
        <w:spacing w:lineRule="auto" w:line="240" w:before="240" w:after="0"/>
        <w:rPr/>
      </w:pPr>
      <w:r>
        <w:rPr/>
        <w:t>Creates firm, tradable intrastate transmission rights on the SoCalGas system.  (Section II.1.1.)</w:t>
      </w:r>
    </w:p>
    <w:p>
      <w:pPr>
        <w:pStyle w:val="BodyText"/>
        <w:numPr>
          <w:ilvl w:val="0"/>
          <w:numId w:val="2"/>
        </w:numPr>
        <w:spacing w:lineRule="auto" w:line="240" w:before="240" w:after="0"/>
        <w:rPr/>
      </w:pPr>
      <w:r>
        <w:rPr/>
        <w:t>Establishes a secondary market for intrastate transmission capacity.  (Section II.1.2.)</w:t>
      </w:r>
    </w:p>
    <w:p>
      <w:pPr>
        <w:pStyle w:val="BodyText"/>
        <w:numPr>
          <w:ilvl w:val="0"/>
          <w:numId w:val="2"/>
        </w:numPr>
        <w:spacing w:lineRule="auto" w:line="240" w:before="240" w:after="0"/>
        <w:rPr/>
      </w:pPr>
      <w:r>
        <w:rPr/>
        <w:t>Places the utility at-risk for the recovery of backbone transmission costs.  (Section II. 1.3.)</w:t>
      </w:r>
    </w:p>
    <w:p>
      <w:pPr>
        <w:pStyle w:val="BodyText"/>
        <w:numPr>
          <w:ilvl w:val="0"/>
          <w:numId w:val="2"/>
        </w:numPr>
        <w:spacing w:lineRule="auto" w:line="240" w:before="240" w:after="0"/>
        <w:rPr/>
      </w:pPr>
      <w:r>
        <w:rPr/>
        <w:t>Establishes Hector Road as a delivery point on the SoCalGas system.  (Section II. 1.4.)</w:t>
      </w:r>
    </w:p>
    <w:p>
      <w:pPr>
        <w:pStyle w:val="BodyText"/>
        <w:numPr>
          <w:ilvl w:val="0"/>
          <w:numId w:val="2"/>
        </w:numPr>
        <w:spacing w:lineRule="auto" w:line="240" w:before="240" w:after="0"/>
        <w:rPr/>
      </w:pPr>
      <w:r>
        <w:rPr/>
        <w:t>Creates firm, tradable storage rights.  (Section II.2.1.)</w:t>
      </w:r>
    </w:p>
    <w:p>
      <w:pPr>
        <w:pStyle w:val="BodyText"/>
        <w:numPr>
          <w:ilvl w:val="0"/>
          <w:numId w:val="2"/>
        </w:numPr>
        <w:spacing w:lineRule="auto" w:line="240" w:before="240" w:after="0"/>
        <w:rPr/>
      </w:pPr>
      <w:r>
        <w:rPr/>
        <w:t>Establishes a secondary market for intrastate storage capacity.  (Section II.2.2.)</w:t>
      </w:r>
    </w:p>
    <w:p>
      <w:pPr>
        <w:pStyle w:val="BodyText"/>
        <w:numPr>
          <w:ilvl w:val="0"/>
          <w:numId w:val="2"/>
        </w:numPr>
        <w:spacing w:lineRule="auto" w:line="240" w:before="240" w:after="0"/>
        <w:rPr/>
      </w:pPr>
      <w:r>
        <w:rPr/>
        <w:t>Places the utility at-risk for the recovery of unbundled storage costs.  (Section II. 2.3.)</w:t>
      </w:r>
    </w:p>
    <w:p>
      <w:pPr>
        <w:pStyle w:val="BodyText"/>
        <w:numPr>
          <w:ilvl w:val="0"/>
          <w:numId w:val="2"/>
        </w:numPr>
        <w:spacing w:lineRule="auto" w:line="240" w:before="240" w:after="0"/>
        <w:rPr/>
      </w:pPr>
      <w:r>
        <w:rPr/>
        <w:t>Provides for the core and noncore classes to be balanced separately.  (Section II.3.1.)</w:t>
      </w:r>
    </w:p>
    <w:p>
      <w:pPr>
        <w:pStyle w:val="BodyText"/>
        <w:numPr>
          <w:ilvl w:val="0"/>
          <w:numId w:val="2"/>
        </w:numPr>
        <w:spacing w:lineRule="auto" w:line="240" w:before="240" w:after="0"/>
        <w:rPr/>
      </w:pPr>
      <w:r>
        <w:rPr/>
        <w:t>Provides cost and rate separation for balancing services [self-balancing option].  (Section II.3.2.)</w:t>
      </w:r>
    </w:p>
    <w:p>
      <w:pPr>
        <w:pStyle w:val="BodyText"/>
        <w:numPr>
          <w:ilvl w:val="0"/>
          <w:numId w:val="2"/>
        </w:numPr>
        <w:spacing w:lineRule="auto" w:line="240" w:before="240" w:after="0"/>
        <w:rPr/>
      </w:pPr>
      <w:r>
        <w:rPr/>
        <w:t>Provides for anonymous monthly imbalance trading.  (Section II.3.3.2.)</w:t>
      </w:r>
    </w:p>
    <w:p>
      <w:pPr>
        <w:pStyle w:val="BodyText"/>
        <w:numPr>
          <w:ilvl w:val="0"/>
          <w:numId w:val="2"/>
        </w:numPr>
        <w:spacing w:lineRule="auto" w:line="240" w:before="240" w:after="0"/>
        <w:rPr/>
      </w:pPr>
      <w:r>
        <w:rPr/>
        <w:t>Provides for trading OFO day imbalance rights.  (Section II.3.3.3.)</w:t>
      </w:r>
    </w:p>
    <w:p>
      <w:pPr>
        <w:pStyle w:val="BodyText"/>
        <w:numPr>
          <w:ilvl w:val="0"/>
          <w:numId w:val="2"/>
        </w:numPr>
        <w:spacing w:lineRule="auto" w:line="240" w:before="240" w:after="0"/>
        <w:rPr/>
      </w:pPr>
      <w:r>
        <w:rPr/>
        <w:t>Sets forth hub services provisions.  (Section II.4.1.)</w:t>
      </w:r>
    </w:p>
    <w:p>
      <w:pPr>
        <w:pStyle w:val="BodyText"/>
        <w:numPr>
          <w:ilvl w:val="0"/>
          <w:numId w:val="2"/>
        </w:numPr>
        <w:spacing w:lineRule="auto" w:line="240" w:before="240" w:after="0"/>
        <w:rPr/>
      </w:pPr>
      <w:r>
        <w:rPr/>
        <w:t>Reduces the minimum size requirement and eliminates the core market share restriction for the CAT program.  (Section II.5.2.3.)</w:t>
      </w:r>
    </w:p>
    <w:p>
      <w:pPr>
        <w:pStyle w:val="BodyText"/>
        <w:numPr>
          <w:ilvl w:val="0"/>
          <w:numId w:val="2"/>
        </w:numPr>
        <w:spacing w:lineRule="auto" w:line="240" w:before="240" w:after="0"/>
        <w:rPr/>
      </w:pPr>
      <w:r>
        <w:rPr/>
        <w:t>Unbundles utility interstate capacity costs for core customers.  (Section II.5.3.)</w:t>
      </w:r>
    </w:p>
    <w:p>
      <w:pPr>
        <w:pStyle w:val="BodyText"/>
        <w:numPr>
          <w:ilvl w:val="0"/>
          <w:numId w:val="2"/>
        </w:numPr>
        <w:spacing w:lineRule="auto" w:line="240" w:before="240" w:after="0"/>
        <w:rPr/>
      </w:pPr>
      <w:r>
        <w:rPr/>
        <w:t>Sets forth an equitable allocation of stranded interstate pipeline costs.  (Section II.5.3.3.)</w:t>
      </w:r>
    </w:p>
    <w:p>
      <w:pPr>
        <w:pStyle w:val="BodyText"/>
        <w:numPr>
          <w:ilvl w:val="0"/>
          <w:numId w:val="2"/>
        </w:numPr>
        <w:spacing w:lineRule="auto" w:line="240" w:before="240" w:after="0"/>
        <w:rPr/>
      </w:pPr>
      <w:r>
        <w:rPr/>
        <w:t>Unbundles utility storage costs for core customers served by CTAs.  (Section II.5.4.)</w:t>
      </w:r>
    </w:p>
    <w:p>
      <w:pPr>
        <w:pStyle w:val="BodyText"/>
        <w:numPr>
          <w:ilvl w:val="0"/>
          <w:numId w:val="2"/>
        </w:numPr>
        <w:spacing w:lineRule="auto" w:line="240" w:before="240" w:after="0"/>
        <w:rPr/>
      </w:pPr>
      <w:r>
        <w:rPr/>
        <w:t>Eliminates core subscription service.  (Section II.5.5.)</w:t>
      </w:r>
    </w:p>
    <w:p>
      <w:pPr>
        <w:pStyle w:val="BodyText"/>
        <w:numPr>
          <w:ilvl w:val="0"/>
          <w:numId w:val="2"/>
        </w:numPr>
        <w:spacing w:lineRule="auto" w:line="240" w:before="240" w:after="0"/>
        <w:rPr/>
      </w:pPr>
      <w:r>
        <w:rPr/>
        <w:t>Increases the core brokerage fee.  (Section II.5.6.)</w:t>
      </w:r>
    </w:p>
    <w:p>
      <w:pPr>
        <w:pStyle w:val="BodyText"/>
        <w:numPr>
          <w:ilvl w:val="0"/>
          <w:numId w:val="2"/>
        </w:numPr>
        <w:spacing w:lineRule="auto" w:line="240" w:before="240" w:after="0"/>
        <w:rPr/>
      </w:pPr>
      <w:r>
        <w:rPr/>
        <w:t>Establishes a secondary market electronic trading system.  (Section II.6.3.)</w:t>
      </w:r>
    </w:p>
    <w:p>
      <w:pPr>
        <w:pStyle w:val="BodyText"/>
        <w:numPr>
          <w:ilvl w:val="0"/>
          <w:numId w:val="2"/>
        </w:numPr>
        <w:spacing w:lineRule="auto" w:line="240" w:before="240" w:after="0"/>
        <w:rPr/>
      </w:pPr>
      <w:r>
        <w:rPr/>
        <w:t>Provides competitive metering technologies.  (Section II.7.1.)</w:t>
      </w:r>
    </w:p>
    <w:p>
      <w:pPr>
        <w:pStyle w:val="BodyText"/>
        <w:numPr>
          <w:ilvl w:val="0"/>
          <w:numId w:val="2"/>
        </w:numPr>
        <w:spacing w:lineRule="auto" w:line="240" w:before="240" w:after="0"/>
        <w:rPr/>
      </w:pPr>
      <w:r>
        <w:rPr/>
        <w:t>Provides billing credits for CTA consolidated billing.  (Section II.7.2.)</w:t>
      </w:r>
    </w:p>
    <w:p>
      <w:pPr>
        <w:pStyle w:val="BodyText"/>
        <w:spacing w:before="240" w:after="0"/>
        <w:rPr/>
      </w:pPr>
      <w:r>
        <w:rPr/>
        <w:t>These changes will provide SoCalGas (and SDG&amp;E) customers with numerous new service choices, and the opportunity to reduce costs by avoiding services that they do not need.  The primary change is that customers will have an unbundled backbone transmission service option similar to the PG&amp;E system.  The costs associated with interstate capacity, intrastate backbone transmission and storage will be unbundled for core transportation customers.  The utilities’ retail core procurement (Gas Acquisition) department will continue to reserve interstate capacity, intrastate backbone transmission, and storage to meet the requirements of retail core procurement customers.  The costs associated with intrastate backbone transmission will be unbundled for noncore customers.  Noncore customers will be able to acquire intrastate backbone transmission capacity through the open season or to procure gas from marketers at the city-gate.  The Comprehensive Settlement Agreement provides a natural gas industry structure on the SoCalGas system that is generally consistent with the market structure in northern California on PG&amp;E.</w:t>
      </w:r>
    </w:p>
    <w:p>
      <w:pPr>
        <w:pStyle w:val="BodyText"/>
        <w:spacing w:before="240" w:after="0"/>
        <w:rPr/>
      </w:pPr>
      <w:r>
        <w:rPr/>
        <w:t>In summary, the Comprehensive Settlement Agreement is in the public interest for the following reasons:</w:t>
      </w:r>
    </w:p>
    <w:p>
      <w:pPr>
        <w:pStyle w:val="BodyText"/>
        <w:numPr>
          <w:ilvl w:val="0"/>
          <w:numId w:val="3"/>
        </w:numPr>
        <w:spacing w:before="240" w:after="0"/>
        <w:rPr/>
      </w:pPr>
      <w:r>
        <w:rPr/>
        <w:t>The Settlement Parties represent a wide spectrum of gas market interests, including end-use customers.</w:t>
      </w:r>
    </w:p>
    <w:p>
      <w:pPr>
        <w:pStyle w:val="BodyText"/>
        <w:numPr>
          <w:ilvl w:val="0"/>
          <w:numId w:val="3"/>
        </w:numPr>
        <w:spacing w:before="240" w:after="0"/>
        <w:rPr/>
      </w:pPr>
      <w:r>
        <w:rPr/>
        <w:t>All customer classes are treated in a fair and equitable manner.</w:t>
      </w:r>
    </w:p>
    <w:p>
      <w:pPr>
        <w:pStyle w:val="BodyText"/>
        <w:numPr>
          <w:ilvl w:val="0"/>
          <w:numId w:val="3"/>
        </w:numPr>
        <w:spacing w:before="240" w:after="0"/>
        <w:rPr/>
      </w:pPr>
      <w:r>
        <w:rPr/>
        <w:t xml:space="preserve">The cost allocation impacts to all customer classes compared to current rates are minimal.  </w:t>
      </w:r>
    </w:p>
    <w:p>
      <w:pPr>
        <w:pStyle w:val="BodyText"/>
        <w:numPr>
          <w:ilvl w:val="0"/>
          <w:numId w:val="3"/>
        </w:numPr>
        <w:spacing w:before="240" w:after="0"/>
        <w:rPr/>
      </w:pPr>
      <w:r>
        <w:rPr/>
        <w:t xml:space="preserve">It expands the number of customer choices in natural gas markets.  </w:t>
      </w:r>
    </w:p>
    <w:p>
      <w:pPr>
        <w:pStyle w:val="BodyText"/>
        <w:numPr>
          <w:ilvl w:val="0"/>
          <w:numId w:val="3"/>
        </w:numPr>
        <w:spacing w:before="240" w:after="0"/>
        <w:rPr/>
      </w:pPr>
      <w:r>
        <w:rPr/>
        <w:t xml:space="preserve">It will encourage competition and innovation in the California natural gas market, particularly with respect to backbone transmission and storage services.  </w:t>
      </w:r>
    </w:p>
    <w:p>
      <w:pPr>
        <w:pStyle w:val="BodyText"/>
        <w:numPr>
          <w:ilvl w:val="0"/>
          <w:numId w:val="3"/>
        </w:numPr>
        <w:spacing w:before="240" w:after="0"/>
        <w:rPr/>
      </w:pPr>
      <w:r>
        <w:rPr/>
        <w:t>It provides a comprehensive response to, and is consistent with, the promising options set forth in Commission D. 99-07-015.</w:t>
      </w:r>
    </w:p>
    <w:p>
      <w:pPr>
        <w:pStyle w:val="BodyText"/>
        <w:numPr>
          <w:ilvl w:val="0"/>
          <w:numId w:val="3"/>
        </w:numPr>
        <w:spacing w:before="240" w:after="0"/>
        <w:rPr/>
      </w:pPr>
      <w:r>
        <w:rPr/>
        <w:t xml:space="preserve">It promotes statewide consistency in the California natural gas market by proposing a natural gas market structure for SoCalGas that is comparable to the market structure implemented by the Commission on the PG&amp;E system.  </w:t>
      </w:r>
    </w:p>
    <w:p>
      <w:pPr>
        <w:pStyle w:val="BodyText"/>
        <w:numPr>
          <w:ilvl w:val="0"/>
          <w:numId w:val="3"/>
        </w:numPr>
        <w:spacing w:before="240" w:after="0"/>
        <w:rPr/>
      </w:pPr>
      <w:r>
        <w:rPr/>
        <w:t>The amount of transmission and storage revenue requirement that is unbundled is fair and equitable to all customer classes.</w:t>
      </w:r>
    </w:p>
    <w:p>
      <w:pPr>
        <w:pStyle w:val="BodyText"/>
        <w:numPr>
          <w:ilvl w:val="0"/>
          <w:numId w:val="3"/>
        </w:numPr>
        <w:spacing w:before="240" w:after="0"/>
        <w:rPr/>
      </w:pPr>
      <w:r>
        <w:rPr/>
        <w:t xml:space="preserve">It will enhance and encourage competition for storage services consistent with Legislative findings set forth in AB 2744.  (1992 California Statutes, Chapter 1337.)   </w:t>
      </w:r>
    </w:p>
    <w:p>
      <w:pPr>
        <w:pStyle w:val="BodyText"/>
        <w:numPr>
          <w:ilvl w:val="0"/>
          <w:numId w:val="3"/>
        </w:numPr>
        <w:spacing w:before="240" w:after="0"/>
        <w:rPr/>
      </w:pPr>
      <w:r>
        <w:rPr/>
        <w:t>It will eliminate the Noncore Storage Balancing Account (NSBA) and ultimately place SoCalGas at-risk for recovery of its unbundled storage costs.</w:t>
      </w:r>
    </w:p>
    <w:p>
      <w:pPr>
        <w:pStyle w:val="BodyText"/>
        <w:numPr>
          <w:ilvl w:val="0"/>
          <w:numId w:val="3"/>
        </w:numPr>
        <w:spacing w:before="240" w:after="0"/>
        <w:rPr/>
      </w:pPr>
      <w:r>
        <w:rPr/>
        <w:t xml:space="preserve">It will put SoCalGas at-risk for recovery of the costs associated with its backbone transmission system.  </w:t>
      </w:r>
    </w:p>
    <w:p>
      <w:pPr>
        <w:pStyle w:val="BodyText"/>
        <w:numPr>
          <w:ilvl w:val="0"/>
          <w:numId w:val="3"/>
        </w:numPr>
        <w:spacing w:before="240" w:after="0"/>
        <w:rPr/>
      </w:pPr>
      <w:r>
        <w:rPr/>
        <w:t xml:space="preserve">It will provide the opportunity for greater competition in the core market through the unbundling of interstate capacity, storage, and intrastate transmission for core transportation customers. </w:t>
      </w:r>
    </w:p>
    <w:p>
      <w:pPr>
        <w:pStyle w:val="BodyText"/>
        <w:numPr>
          <w:ilvl w:val="0"/>
          <w:numId w:val="3"/>
        </w:numPr>
        <w:spacing w:before="240" w:after="0"/>
        <w:rPr/>
      </w:pPr>
      <w:r>
        <w:rPr/>
        <w:t xml:space="preserve">The core market will not be responsible for Interstate Transition Cost Surcharge (ITCS) costs beginning in 2002, and will no longer be responsible for any stranded storage costs beginning April 1, 2003. </w:t>
      </w:r>
    </w:p>
    <w:p>
      <w:pPr>
        <w:pStyle w:val="BodyText"/>
        <w:numPr>
          <w:ilvl w:val="0"/>
          <w:numId w:val="3"/>
        </w:numPr>
        <w:spacing w:before="240" w:after="0"/>
        <w:rPr/>
      </w:pPr>
      <w:r>
        <w:rPr/>
        <w:t xml:space="preserve">It assures that retail core procurement customers have firm interstate and intrastate access to low cost Southwest gas supply basins. </w:t>
      </w:r>
    </w:p>
    <w:p>
      <w:pPr>
        <w:pStyle w:val="BodyText"/>
        <w:numPr>
          <w:ilvl w:val="0"/>
          <w:numId w:val="3"/>
        </w:numPr>
        <w:spacing w:before="240" w:after="0"/>
        <w:rPr/>
      </w:pPr>
      <w:r>
        <w:rPr/>
        <w:t>It will maintain high standards for system safety and reliability.</w:t>
      </w:r>
    </w:p>
    <w:p>
      <w:pPr>
        <w:pStyle w:val="BodyText"/>
        <w:numPr>
          <w:ilvl w:val="0"/>
          <w:numId w:val="3"/>
        </w:numPr>
        <w:spacing w:before="240" w:after="0"/>
        <w:rPr/>
      </w:pPr>
      <w:r>
        <w:rPr/>
        <w:t>It will provide some customers with increased choices in metering and types of information that they can obtain from gas meters.</w:t>
      </w:r>
    </w:p>
    <w:p>
      <w:pPr>
        <w:pStyle w:val="BodyText"/>
        <w:tabs>
          <w:tab w:val="clear" w:pos="720"/>
          <w:tab w:val="left" w:pos="9540" w:leader="none"/>
        </w:tabs>
        <w:spacing w:lineRule="auto" w:line="360" w:before="0" w:after="120"/>
        <w:rPr/>
      </w:pPr>
      <w:r>
        <w:rPr/>
      </w:r>
    </w:p>
    <w:p>
      <w:pPr>
        <w:pStyle w:val="BodyText"/>
        <w:rPr/>
      </w:pPr>
      <w:r>
        <w:rPr/>
        <w:t xml:space="preserve">For all these foregoing reason and the reasons described in more detail below, ORA recommends that the Commission adopt the Comprehensive Settlement Agreement.   </w:t>
      </w:r>
      <w:r>
        <w:br w:type="page"/>
      </w:r>
    </w:p>
    <w:p>
      <w:pPr>
        <w:pStyle w:val="BodyText"/>
        <w:ind w:hanging="0" w:end="0"/>
        <w:rPr>
          <w:b/>
          <w:sz w:val="28"/>
        </w:rPr>
      </w:pPr>
      <w:r>
        <w:rPr>
          <w:b/>
          <w:sz w:val="28"/>
        </w:rPr>
        <w:t xml:space="preserve">II.  DISCUSSION </w:t>
      </w:r>
    </w:p>
    <w:p>
      <w:pPr>
        <w:pStyle w:val="BodyText"/>
        <w:rPr>
          <w:b/>
          <w:u w:val="single"/>
        </w:rPr>
      </w:pPr>
      <w:r>
        <w:rPr>
          <w:b/>
          <w:u w:val="single"/>
        </w:rPr>
        <w:t xml:space="preserve">A.  INTERSTATE CAPACITY UNBUNDLING </w:t>
      </w:r>
    </w:p>
    <w:p>
      <w:pPr>
        <w:pStyle w:val="BodyText"/>
        <w:rPr/>
      </w:pPr>
      <w:r>
        <w:rPr/>
        <w:t>In D. 99-07-015, the Commission recommended unbundling the interstate capacity costs held by SoCalGas on behalf of core customers as soon as possible to remove an obstacle to competition. (</w:t>
      </w:r>
      <w:r>
        <w:rPr>
          <w:u w:val="single"/>
        </w:rPr>
        <w:t>Id</w:t>
      </w:r>
      <w:r>
        <w:rPr/>
        <w:t>, pp. 44,127.)  The Comprehensive Settlement accomplishes this important objective by immediately unbundling core interstate capacity costs upon the effective date of the Settlement.  The details of this interstate capacity unbundling proposal are described in Section II, 5.3 of the Comprehensive Settlement.  In immediately unbundling these costs, the settlement resolves one of most contentious issues over the past several years regarding how to allocate stranded interstate capacity costs in a manner that is equitable to core and noncore customer classes.</w:t>
      </w:r>
    </w:p>
    <w:p>
      <w:pPr>
        <w:pStyle w:val="BodyText"/>
        <w:rPr/>
      </w:pPr>
      <w:r>
        <w:rPr/>
        <w:t>The original capacity brokering decision unbundled only interstate capacity costs from noncore customers rates, and directed SoCalGas to broker interstate capacity held in excess of the core’s requirement (in excess of the core interstate reservation).  The Commission elected to allocate the stranded costs associated with this excess capacity on an equal cents per therm basis to both core and noncore customers subject to a cap on the core allocation equal to 10% of the core’s interstate capacity reservation costs.  ORA (and TURN) have repeatedly argued, to no avail, that this allocation of stranded interstate costs to the core was inequitable.  This was because, from the core customer’s perspective, the core was responsible for paying the cost of the core capacity reservation at the full as-billed rate, in addition to paying the stranded ITCS costs associated with noncore capacity brokering.  Unbundling the core’s interstate capacity costs raises an equally vexing issue. How should the stranded costs associated with capacity formerly allocated to the CTA (Core Transport Agent) marketers (and ultimately, core transportation customers) be recovered?  The comprehensive settlement resolves both of these issues in an equitable fashion.</w:t>
      </w:r>
    </w:p>
    <w:p>
      <w:pPr>
        <w:pStyle w:val="BodyText"/>
        <w:rPr/>
      </w:pPr>
      <w:r>
        <w:rPr/>
        <w:t xml:space="preserve">For the years 2000 and 2001, the stranded costs associated with unbundling </w:t>
      </w:r>
      <w:r>
        <w:rPr>
          <w:u w:val="single"/>
        </w:rPr>
        <w:t>core</w:t>
      </w:r>
      <w:r>
        <w:rPr/>
        <w:t xml:space="preserve"> interstate capacity costs would be allocated on a 50/50 basis to core and noncore customers subject to a noncore cap of $2 million in 2000 and $5 million for 2001.  Any costs above the cap will be allocated exclusively to core transportation (CTA) customers in those years.  Allocating a portion of the stranded core capacity costs to noncore customers is equitable considering that the core has been responsible for stranded costs associated with the noncore capacity brokering program for many years and will continue to remain responsible for a portion of these stranded costs through 2001.  This methodology is also consistent with the Commission’s finding in D.95-07-048 that core customers should not be denied competitive options simply because noncore customers may have to bear some of the associated costs. (p. 13)  (</w:t>
      </w:r>
      <w:r>
        <w:rPr>
          <w:u w:val="single"/>
        </w:rPr>
        <w:t>Id</w:t>
      </w:r>
      <w:r>
        <w:rPr/>
        <w:t>)</w:t>
      </w:r>
    </w:p>
    <w:p>
      <w:pPr>
        <w:pStyle w:val="BodyText"/>
        <w:rPr/>
      </w:pPr>
      <w:r>
        <w:rPr/>
        <w:t>Effective January 1, 2002, core and noncore customers become responsible for their own stranded costs.  On that date, the core’s responsibility for stranded costs associated with interstate capacity in excess of the core interstate capacity reservation (noncore stranded costs or traditional ITCS costs) up to the 10% cap ends.  This will eliminate the allocation of ITCS costs to all core customers and result in an annual rate decrease to core customers up to a maximum of $11.9 million in 2002.</w:t>
      </w:r>
      <w:r>
        <w:rPr>
          <w:rStyle w:val="FootnoteCharacters"/>
          <w:rStyle w:val="FootnoteReference"/>
        </w:rPr>
        <w:footnoteReference w:id="2"/>
      </w:r>
      <w:r>
        <w:rPr/>
        <w:t xml:space="preserve">  (This transitional date is consistent with the Joint Recommendation approved by the Commission in the SoCalGas/SDG&amp;E BCAP, D.00-04-060.  (Appendix A, p. 2))  On the same date that the noncore becomes responsible for all stranded noncore capacity, the core becomes responsible for all stranded costs associated with the unbundling of core interstate capacity.  The stranded costs associated with the release of the first 7% of the total interstate capacity held for the core will be allocated to all core customers on an equal cents per therm basis.  The stranded costs associated with interstate capacity above the 7% threshold will be allocated to residential and commercial customers according to the CTA market share.  (e.g. If commercial customers represent 70% of the CTA load, they will be allocated 70% of the stranded costs above the 7% threshold.)  The combined impact of these proposals on retail core procurement customers is, in the most likely circumstances, a net rate decrease.    </w:t>
      </w:r>
    </w:p>
    <w:p>
      <w:pPr>
        <w:pStyle w:val="BodyText"/>
        <w:rPr/>
      </w:pPr>
      <w:r>
        <w:rPr/>
        <w:t xml:space="preserve">The Comprehensive Settlement establishes an initial reservation of the 1044 MMcfd of </w:t>
      </w:r>
      <w:r>
        <w:rPr>
          <w:u w:val="single"/>
        </w:rPr>
        <w:t>interstate</w:t>
      </w:r>
      <w:r>
        <w:rPr/>
        <w:t xml:space="preserve"> capacity for the entire core market as follows: 300 MMfcd on Transwestern at North Needles; 300 MMcfd on El Paso at Topock; and 444 on El Paso at Blythe.  (Section II, 5.3.3.1.)  All interstate capacity released as a result of core interstate unbundling will first be capacity on El Paso at Blythe.  This will assure that the retail core retain firm access to the entire 300 MMcfd of interstate capacity at El Paso – Topock and 300 MMcfd at Transwestern – Needles.  These receipt points have historically had the most value since they can be utilized to access low cost gas supply from the San Juan basin.  For example, in the most recent period of April 1, 1998 through March 31, 1999 of SoCalGas’ Gas Cost Incentive Mechanism (GCIM), the cost of gas supply from the San Juan basin averaged approximately $0.085/dth less than supply from the Permian basin for the annual period.</w:t>
      </w:r>
      <w:r>
        <w:rPr>
          <w:rStyle w:val="FootnoteCharacters"/>
          <w:rStyle w:val="FootnoteReference"/>
        </w:rPr>
        <w:footnoteReference w:id="3"/>
      </w:r>
      <w:r>
        <w:rPr/>
        <w:t xml:space="preserve">  In the month of July 1998, San Juan gas supply was a full $0.315/dth lower than Permian supply.  The ability to access firm capacity at the El Paso – Topock receipt point will ultimately benefit core procurement customers in the form of lower priced gas supply reflected in the monthly gas procurement price.  This preset reservation of 300 MMcfd of interstate capacity on El Paso – Topock assures that retail core customers will have access to (and the ability to nominate) this capacity,    notwithstanding the ultimate resolution at the FERC of SoCalGas’ access to the total 540 MMcfd of capacity held at Topock.       </w:t>
      </w:r>
    </w:p>
    <w:p>
      <w:pPr>
        <w:pStyle w:val="BodyText"/>
        <w:rPr/>
      </w:pPr>
      <w:r>
        <w:rPr/>
        <w:t xml:space="preserve">The resolution of the interstate capacity cost issue is simple and fair to core and noncore customer classes. Until the core is relieved of its responsibility for noncore stranded costs, the noncore assumes responsibility for a portion of the core’s stranded costs.  Effective January 1, 2002 core and noncore customer classes will assume responsibility for their own stranded costs through the term of the settlement which coincides with the termination of the El Paso interstate capacity contract.  The retail core procurement customers will retain access to valuable firm interstate capacity at the El Paso – Topock receipt point.   </w:t>
      </w:r>
    </w:p>
    <w:p>
      <w:pPr>
        <w:pStyle w:val="BodyText"/>
        <w:rPr>
          <w:b/>
        </w:rPr>
      </w:pPr>
      <w:r>
        <w:rPr>
          <w:b/>
        </w:rPr>
      </w:r>
    </w:p>
    <w:p>
      <w:pPr>
        <w:pStyle w:val="BodyText"/>
        <w:numPr>
          <w:ilvl w:val="0"/>
          <w:numId w:val="4"/>
        </w:numPr>
        <w:spacing w:lineRule="auto" w:line="360"/>
        <w:rPr>
          <w:b/>
          <w:u w:val="single"/>
        </w:rPr>
      </w:pPr>
      <w:r>
        <w:rPr>
          <w:b/>
          <w:u w:val="single"/>
        </w:rPr>
        <w:t xml:space="preserve">INTRASTATE TRANSMISSION UNBUNDLING </w:t>
      </w:r>
    </w:p>
    <w:p>
      <w:pPr>
        <w:pStyle w:val="BodyText"/>
        <w:rPr/>
      </w:pPr>
      <w:r>
        <w:rPr/>
        <w:t>In D.99-07-015, the Commission found that “The creation of firm, tradable intrastate transmission rights offers the hope of improving efficiency through value-based pricing, as well as providing individual shippers with greater certainty as to their ability to move certain quantities of gas through the pipeline system” and that the creation of tradable intrastate transmission rights was worthy of closer examination.  The Comprehensive Settlement proposes to unbundle intrastate transmission capacity from SoCalGas’ bundled rates effective October 1, 2001.  The details regarding the intrastate transmission unbundling proposal are described in Section II.1 of the Comprehensive Settlement.</w:t>
      </w:r>
    </w:p>
    <w:p>
      <w:pPr>
        <w:pStyle w:val="BodyText"/>
        <w:rPr/>
      </w:pPr>
      <w:r>
        <w:rPr/>
        <w:t xml:space="preserve">Intrastate transmission is divided into two components—backbone and local transmission.  For backbone transmission, SoCalGas’ Gas Acquisition department would reserve an appropriate level of intrastate backbone capacity to serve the retail core procurement requirements. The core transportation customers/agents, noncore customers and/or shippers would then bid for their backbone needs at specific receipt points pursuant to the methodology set forth in the settlement.  Under the settlement, SoCalGas would be at risk for its backbone transmission costs starting October 1, 2001.  Local transmission costs would be allocated in a more traditional way using cold year throughput.  Risk for local transmission would continue to be determined in BCAPs.  </w:t>
      </w:r>
    </w:p>
    <w:p>
      <w:pPr>
        <w:pStyle w:val="BodyText"/>
        <w:rPr/>
      </w:pPr>
      <w:r>
        <w:rPr/>
        <w:t xml:space="preserve">The methodology employed to implement this policy is to unbundle $138.0 million in total transmission costs from bundled base margin.  The total embedded level of unbundled transmission costs incorporates that portion of base margin (or revenue requirement) associated with transmission operation and maintenance (O&amp;M) costs, capital-related transmission costs (depreciation, return, and taxes), a 7.5% allocation of Administrative and General (A&amp;G) costs, payroll related taxes and general plant, and related franchise and uncollectible costs.  The total unbundled transmission costs of $138.0 million are broken down into $73.7 million in backbone transmission costs and $64.3 million in local transmission costs.  </w:t>
      </w:r>
    </w:p>
    <w:p>
      <w:pPr>
        <w:pStyle w:val="BodyText"/>
        <w:rPr/>
      </w:pPr>
      <w:r>
        <w:rPr/>
        <w:t xml:space="preserve">The backbone transmission rate was developed by utilizing the backbone transmission cost of $73.7 million and applying a system load factor of 79% which is slightly higher than the gas throughput and fuel use adopted in the recent SoCalGas BCAP decision (D.00-04-060).  The backbone transmission rates on the SoCalGas system will be designed using both a Straight Fixed Variable (SFV) and Modified Fixed Variable (MFV) rate design methods.  There will be a slight premium for MFV rates.  All customers will have the option of electing either SFV or MFV rate design.  An MFV rate structure is typically more attractive to lower load factor customers, while an SFV rate design can be more economic for higher load factor customers.  SoCalGas will be entirely at-risk for recovery of its backbone transmission costs. </w:t>
      </w:r>
    </w:p>
    <w:p>
      <w:pPr>
        <w:pStyle w:val="BodyText"/>
        <w:rPr/>
      </w:pPr>
      <w:r>
        <w:rPr/>
        <w:t xml:space="preserve">The terms of the settlement benefit ratepayers in the following ways: 1) the settlement puts SoCalGas under more risk for backbone transmission than was recently adopted in SoCalGas’ recent BCAP (D.00-04-060); 2) the retail core backbone reservation is based on the core cold year requirements with an assumption that SoCalGas will provide procurement service to 90% or more of the core market (core cold year adjusted downward by an assumed 10% core transportation market); 3) the backbone reservation for retail core procurement customers can be adjusted annually to account for any increase in core transportation, thereby minimizing stranded costs; 4) the settlement allows core and noncore customers some rate design flexibility for backbone transmission, for example the retail core can opt to pay for backbone transmission capacity under an MFV rate design; 5) the retail core procurement department obtains an allocation of 290 MMcfd of highly-valued firm receipt point capacity (out of a total of 540 MMcfd) at Topock; and 6) a fair level of transmission costs were unbundled from base margin with a reasonable load factor applied to develop the unbundled rates.  </w:t>
      </w:r>
    </w:p>
    <w:p>
      <w:pPr>
        <w:pStyle w:val="BodyText"/>
        <w:rPr/>
      </w:pPr>
      <w:r>
        <w:rPr/>
        <w:t xml:space="preserve">Currently, SoCalGas is under 25% risk for noncore throughput, and under 0% risk for core throughput.  Placing SoCalGas under 100% risk for backbone transmission costs will result in greater rate certainty for all ratepayers in the future.  Unsubscribed backbone transmission costs will not wind up in a balancing account that would be added to customers rates in a cost allocation proceeding.  In order to determine backbone rates, a load factor based largely on the adopted BCAP throughput was utilized.  Given the uncertainty in electric generation throughput, the load factor used to develop rates is not conservative and can be considered a stretch to achieve on a consistent basis.   </w:t>
      </w:r>
    </w:p>
    <w:p>
      <w:pPr>
        <w:pStyle w:val="BodyText"/>
        <w:rPr/>
      </w:pPr>
      <w:r>
        <w:rPr/>
        <w:t xml:space="preserve">The retail core is allocated an </w:t>
      </w:r>
      <w:r>
        <w:rPr>
          <w:u w:val="single"/>
        </w:rPr>
        <w:t>intrastate</w:t>
      </w:r>
      <w:r>
        <w:rPr/>
        <w:t xml:space="preserve"> backbone capacity reservation of 1000 MMcfd.  Within this reservation, it receives a fair share of desirable receipt point capacity at the Topock receipt point.  The 1000 MMcfd intrastate reservation assumes a level of up to 10% core transportation.</w:t>
      </w:r>
      <w:r>
        <w:rPr>
          <w:rStyle w:val="FootnoteCharacters"/>
          <w:rStyle w:val="FootnoteReference"/>
        </w:rPr>
        <w:footnoteReference w:id="4"/>
      </w:r>
      <w:r>
        <w:rPr/>
        <w:t xml:space="preserve">    This benefits the retail core by providing capacity at valuable receipt points to match its interstate reservation and the ability to use the capacity efficiently, meet any cold year requirements (in conjunction with storage) but with some flexibility to procure city-gate gas.  </w:t>
      </w:r>
    </w:p>
    <w:p>
      <w:pPr>
        <w:pStyle w:val="BodyText"/>
        <w:rPr/>
      </w:pPr>
      <w:r>
        <w:rPr/>
        <w:t xml:space="preserve">A less onerous MFV rate design (from most customer’s perspective) was negotiated which would allow customers to pay with a 50% demand charge component and a 50% volumetric rate.  The option to take capacity under an MFV rate design will enhance retail core alternatives, allow the capacity to be more easily brokered when unneeded, and lower gas costs.  This provision helps insure that core customers do not pay excessive backbone reservation costs in any year that is warmer than a cold year.  It will also provide a better opportunity for the retail core to more easily broker the capacity in the secondary market when it is not needed.  Other customer classes will have similar benefits because they will not need to pay for all capacity costs in the event it is unneeded.   </w:t>
      </w:r>
    </w:p>
    <w:p>
      <w:pPr>
        <w:pStyle w:val="BodyText"/>
        <w:rPr/>
      </w:pPr>
      <w:r>
        <w:rPr/>
        <w:t xml:space="preserve">The settlement provides the retail core with 290 MMcfd of capacity at the Topock receipt point.  This is a highly valuable receipt point on the SoCalGas system, and the retail core will have access to 53.7% of the firm capacity at that point.  This will assure that the retail core has access to the lowest cost Southwest gas supplies to serve its requirements.  The core will benefit from this provision through lower gas procurement costs.  As previously stated, in the most recent period of April 1, 1998 through March 31, 1999 of the SoCalGas GCIM, the cost of gas supply from the San Juan basin averaged approximately $0.085/dth less than supply from the Permian basin.  </w:t>
      </w:r>
    </w:p>
    <w:p>
      <w:pPr>
        <w:pStyle w:val="BodyText"/>
        <w:rPr/>
      </w:pPr>
      <w:r>
        <w:rPr/>
        <w:t>One way to consider the benefits of the core reservation of capacity at the Topock receipt point is to assume that if the core had a pro rata allocation of Topock capacity it would amount to about 200 MMcfd.  The 290 MMcfd Topock reservation is 90 MMcfd above the 200 MMcfd figure.  If the alternative to this 90 MMcfd of capacity at Topock was a receipt point that could access only Permian supply, then the benefit could be quantified to equal about $2.8 million annually.</w:t>
      </w:r>
      <w:r>
        <w:rPr>
          <w:rStyle w:val="FootnoteCharacters"/>
          <w:rStyle w:val="FootnoteReference"/>
        </w:rPr>
        <w:footnoteReference w:id="5"/>
      </w:r>
      <w:r>
        <w:rPr/>
        <w:t xml:space="preserve">  This is only an assumption, but is one method in which to quantify the value to retail core customers associated with the Topock reservation. </w:t>
      </w:r>
    </w:p>
    <w:p>
      <w:pPr>
        <w:pStyle w:val="BodyText"/>
        <w:rPr/>
      </w:pPr>
      <w:r>
        <w:rPr/>
        <w:t xml:space="preserve">Another benefit of the settlement is that it assures that retail core customers are not saddled with any stranded backbone costs.  As core marketers serve more core load, the retail core will be able to reduce its backbone capacity reservation.  Specifically, the Gas Acquisition department is able to modify its backbone capacity reservation on an annual basis in order to adjust its requirements to account for increased throughput in core transportation.  (Section II, 1.1.3.5.1.)  Enabling the core to reduce excess reliability capacity results in both potential cost savings and flexibility to efficiently serve the retail core.  </w:t>
      </w:r>
    </w:p>
    <w:p>
      <w:pPr>
        <w:pStyle w:val="BodyText"/>
        <w:rPr/>
      </w:pPr>
      <w:r>
        <w:rPr/>
        <w:t xml:space="preserve">The $138.0 million of embedded transmission-related costs that are proposed to be unbundled from base margin represents a fair and equitable amount.  If this issue was litigated, it would undoubtedly be highly contentious.  Many parties would likely propose to unbundle a much lower figure than the $138.0 million amount set forth in the Settlement.  This is because a lower figure would tend to benefit noncore customers, marketers, and the utility.  A lower unbundled transmission figure would result in a lower allocation of total utility costs to noncore customers, and a higher allocation to core customers.  It would result in a lower backbone transmission rate which marketers would find attractive and would result in lower risk for the utility.  The $138.0 million figure for unbundled embedded transmission costs assures that there is no significant cost allocation impact on core customers from the transmission unbundling proposed in the Comprehensive Settlement.  </w:t>
      </w:r>
    </w:p>
    <w:p>
      <w:pPr>
        <w:pStyle w:val="BodyText"/>
        <w:rPr/>
      </w:pPr>
      <w:r>
        <w:rPr/>
      </w:r>
    </w:p>
    <w:p>
      <w:pPr>
        <w:pStyle w:val="BodyText"/>
        <w:rPr>
          <w:b/>
          <w:u w:val="single"/>
        </w:rPr>
      </w:pPr>
      <w:r>
        <w:rPr>
          <w:b/>
          <w:u w:val="single"/>
        </w:rPr>
        <w:t>C.  UNBUNDLING OF STORAGE COSTS</w:t>
      </w:r>
    </w:p>
    <w:p>
      <w:pPr>
        <w:pStyle w:val="BodyText"/>
        <w:rPr/>
      </w:pPr>
      <w:r>
        <w:rPr/>
        <w:t>In D.93-02-013, the Commission ordered the unbundling of storage costs for SoCalGas’ noncore customers.  Core costs remained bundled and subject to 100% balancing account protection through the core fixed cost account (CFCA).  The stranded costs resulting from the unbundling of storage for noncore customers were treated as transition costs and recovered from both core and noncore customers on an equal cents per therm basis.</w:t>
      </w:r>
      <w:r>
        <w:rPr>
          <w:rStyle w:val="FootnoteCharacters"/>
          <w:rStyle w:val="FootnoteReference"/>
        </w:rPr>
        <w:footnoteReference w:id="6"/>
      </w:r>
      <w:r>
        <w:rPr/>
        <w:t xml:space="preserve">  Under this regime, core customers were required to pay for a storage reservation to meet their balancing and core year requirements, while also paying the transition costs associated with noncore storage unbundling.  This “transitional” regime remained in place for about seven years.  In the recent SoCalGas/SDG&amp;E BCAP, ORA recommended eliminating the balancing account provisions and placing SoCalGas 100% at risk for these costs.  This recommendation was based largely on the fact that giving SoCalGas balancing account protection placed it at unfair advantage over independent storage providers who are fully at risk and was inconsistent with AB 2744 (1992 California Statutes, Chapter 1337) which urged the Commission to encourage the development of a competitive storage market.  Also, the duration of the transition period was excessive.  Negotiations during the BCAP led to the development of a Joint Recommendation  (JR) which struck a middle ground by placing SoCalGas 50% at risk for a fixed amount of storage ($21 million).  (JR Section VII.)  Under the terms of the JR, this provision was to remain in effect until December 31, 2002.  (JR Section I.)  The JR was approved by the Commission in D.00-04-060.</w:t>
      </w:r>
    </w:p>
    <w:p>
      <w:pPr>
        <w:pStyle w:val="BodyText"/>
        <w:rPr/>
      </w:pPr>
      <w:r>
        <w:rPr/>
        <w:t xml:space="preserve">Contemporaneous with the processing of the SoCalGas BCAP, the Commission issued its decision on the “most promising options” for restructuring the natural gas industry, D.99-07-015.  In D.99-07-015, the Commission requested that parties consider the costs and benefits related to creating a market for tradable storage rights in southern California.  The Comprehensive Settlement proposes to unbundle embedded storage costs entirely from base margin; create firm, tradable storage rights; and place SoCalGas increasingly at risk for recovery of its storage-related revenue requirement.  The proposal, set forth in Section II.2 of the Comprehensive Settlement, is consistent with D.99-07-015.   </w:t>
      </w:r>
    </w:p>
    <w:p>
      <w:pPr>
        <w:pStyle w:val="BodyText"/>
        <w:rPr/>
      </w:pPr>
      <w:r>
        <w:rPr/>
        <w:t>The Comprehensive Settlement takes the unbundling of storage costs and risk allocation several additional steps beyond the current policy adopted in the recent BCAP D.00-04-060.  First, the amount of storage available to the unbundled storage program is increased.  (Section II, 2.1.3.)  Second, storage costs are unbundled and allocated to core and noncore balancing on an embedded cost basis rather than on the basis of long run marginal costs (LRMC).</w:t>
      </w:r>
      <w:r>
        <w:rPr>
          <w:rStyle w:val="FootnoteCharacters"/>
          <w:rStyle w:val="FootnoteReference"/>
        </w:rPr>
        <w:footnoteReference w:id="7"/>
      </w:r>
      <w:r>
        <w:rPr/>
        <w:t xml:space="preserve">   Third, CTA’s have an option to reject storage service and have such costs unbundled (Section II, 5.4.3) and SoCalGas is placed at risk for the storage allocations rejected by CTAs through the unbundled storage program.  (Section II, 5.4.4.7.)  Finally, the settlement provides for a two-year transition period (April 2001 – April 2003) during which the level of risk set forth in the JR is increased.  Effective April 1, 2003 SoCalGas will be 100% at risk for unbundled storage costs.</w:t>
      </w:r>
    </w:p>
    <w:p>
      <w:pPr>
        <w:pStyle w:val="BodyText"/>
        <w:rPr/>
      </w:pPr>
      <w:r>
        <w:rPr/>
        <w:t>The Comprehensive Settlement unbundles $74.9 million in total embedded storage costs (excluding Montebello) from base margin.</w:t>
      </w:r>
      <w:r>
        <w:rPr>
          <w:rStyle w:val="FootnoteCharacters"/>
          <w:rStyle w:val="FootnoteReference"/>
        </w:rPr>
        <w:footnoteReference w:id="8"/>
      </w:r>
      <w:r>
        <w:rPr/>
        <w:t xml:space="preserve">  The total embedded level of unbundled storage costs incorporates the portion of base margin (or revenue requirement) associated with storage operation and maintenance (O&amp;M) costs, capital-related storage costs (depreciation, return, and taxes), a 3.6% allocation of Administrative and General (A&amp;G) costs, payroll related taxes and general plant, and related franchise and uncollectible costs.  The settlement proposes to allocate $34.15 million to core customers for the fixed core storage reservation and $12.87 million to the noncore for default bundled balancing service.  SoCalGas would be at-risk for the balance of the storage costs, any storage capacity ultimately rejected by CTAs in the core unbundled storage program, variable storage costs, and bundled balancing costs not used by self-balancing customers.  This will amount to $25 million or more of annual storage costs that SoCalGas will ultimately be at-risk for recovering.</w:t>
      </w:r>
    </w:p>
    <w:p>
      <w:pPr>
        <w:pStyle w:val="BodyText"/>
        <w:rPr/>
      </w:pPr>
      <w:r>
        <w:rPr/>
        <w:t xml:space="preserve">The Comprehensive Settlement places an increasing level of risk on SoCalGas for recovery of its storage-related revenue requirement.  For the period April 1, 2001 through March 31, 2002, SoCalGas will be at-risk for 50% of any stranded storage costs associated with unbundled storage, which is comparable to the current risk adopted in the BCAP.  For the period April 1, 2002 through March 31, 2003, SoCalGas’ risk increases to 75% of the stranded costs associated with unbundled storage.  For the period commencing April 1, 2003 through the term of the Settlement, SoCalGas will be at-risk for 100% of its unbundled storage costs.  </w:t>
      </w:r>
    </w:p>
    <w:p>
      <w:pPr>
        <w:pStyle w:val="BodyText"/>
        <w:rPr/>
      </w:pPr>
      <w:r>
        <w:rPr/>
        <w:t xml:space="preserve">These provisions of the Comprehensive Settlement benefit core customers in two ways.  From a cost allocation perspective, the core’s (and noncore’s) exposure to stranded storage costs is reduced under the settlement.  Effective April 1, 2002, the allocation of stranded storage costs to customers established by the BCAP Joint Recommendation and adopted by Commission D.00-04-060 is reduced from 50% to 25%, and it is entirely eliminated effective April 1, 2003.  The actual benefit to the core is difficult to quantify because of the uncertainty over the future level of stranded storage costs.  However, based on the current BCAP, SoCalGas has been generating approximately $10 million annually in storage revenues.  Under the current BCAP sharing, at least $5 million in stranded costs would be allocated to customers through the NSBA (excluding the scaling impact).  When SoCalGas is 100% at-risk for its stranded storage costs, all customers will realize a minimum of $5 million in annual savings.  This will amount to savings of about $1.8 million to core customers and $3.2 million to noncore customers.  Additionally, when Montebello is sold by SoCalGas and the revenue requirement is ultimately removed from base margin it will generate a rate decrease for customers.    </w:t>
      </w:r>
    </w:p>
    <w:p>
      <w:pPr>
        <w:pStyle w:val="BodyText"/>
        <w:rPr/>
      </w:pPr>
      <w:r>
        <w:rPr/>
        <w:t xml:space="preserve">The core also stands to benefit over the long term through realization of the Commission’s goal of increased competition in the core procurement market as a result of unbundling of storage as well as balancing services and transmission.  The unbundling of storage for core transportation customers provides marketers another tool (and opportunity) to more efficiently serve their core customers and potentially increase core market share by offering a more attractive product or service.  To the extent that core marketers can avoid a total allocation of storage costs and serve customers in a more cost-effective and efficient manner, then those specific core customers will stand to benefit.  However, this benefit will not come at a cost to the remaining core customers, since no stranded storage costs will be allocated to core customers after April 1, 2003.  </w:t>
      </w:r>
    </w:p>
    <w:p>
      <w:pPr>
        <w:pStyle w:val="BodyText"/>
        <w:rPr/>
      </w:pPr>
      <w:r>
        <w:rPr/>
      </w:r>
    </w:p>
    <w:p>
      <w:pPr>
        <w:pStyle w:val="BodyText"/>
        <w:numPr>
          <w:ilvl w:val="0"/>
          <w:numId w:val="4"/>
        </w:numPr>
        <w:rPr>
          <w:b/>
          <w:u w:val="single"/>
        </w:rPr>
      </w:pPr>
      <w:r>
        <w:rPr>
          <w:b/>
          <w:u w:val="single"/>
        </w:rPr>
        <w:t xml:space="preserve">BALANCING </w:t>
      </w:r>
    </w:p>
    <w:p>
      <w:pPr>
        <w:pStyle w:val="BodyText"/>
        <w:rPr/>
      </w:pPr>
      <w:r>
        <w:rPr/>
        <w:t>In D.99-07-015, the Commission directed SoCalGas to prepare a proposal for removing core assets from the system balancing function and to consider the costs and benefits of a daily balancing option.  Under the Comprehensive Settlement, core and noncore classes would be balanced separately.  The settlement would also offer customers a self-balancing option.  These settlement provisions, set forth in Section II.3, are consistent with the Commission’s promising options as expressed in its gas industry restructuring decision.</w:t>
      </w:r>
    </w:p>
    <w:p>
      <w:pPr>
        <w:pStyle w:val="BodyText"/>
        <w:rPr/>
      </w:pPr>
      <w:r>
        <w:rPr/>
        <w:t xml:space="preserve">Effective April 1, 2001, the core and noncore classes will be balanced separately.  The storage assets used for core and noncore balancing are separately defined by the terms of the settlement.  The core customer class will utilize its firm storage assets to meet its balancing requirements.  This approach allows the core to efficiently utilize its firm storage reservation to meet its balancing requirements.  The core will not have to pay for additional balancing as part of its backbone transportation rate.  CTA’s will have an option to choose self-balancing service pursuant to the conditions set forth in the settlement.  The noncore customer class will also have the option of choosing the default balancing service embedded in rates or electing a daily self-balancing option.  SoCalGas will allocate storage assets of 250 MMcfd of injection, 250 MMcfd of withdrawal and 5.3 Bcf of inventory to the embedded default balancing service.  The default noncore imbalance service allows customers, or their balancing entities, a monthly imbalance tolerance of +/- 10%.  If a customer elects the self-balancing option, they must comply with the terms and conditions established in the settlement and will receive a credit associated with the bundled balancing costs.  </w:t>
      </w:r>
    </w:p>
    <w:p>
      <w:pPr>
        <w:pStyle w:val="BodyText"/>
        <w:ind w:hanging="0" w:start="720" w:end="0"/>
        <w:rPr/>
      </w:pPr>
      <w:r>
        <w:rPr/>
      </w:r>
    </w:p>
    <w:p>
      <w:pPr>
        <w:pStyle w:val="BodyText"/>
        <w:numPr>
          <w:ilvl w:val="0"/>
          <w:numId w:val="4"/>
        </w:numPr>
        <w:rPr>
          <w:b/>
          <w:u w:val="single"/>
        </w:rPr>
      </w:pPr>
      <w:r>
        <w:rPr>
          <w:b/>
          <w:u w:val="single"/>
        </w:rPr>
        <w:t>HUB SERVICES</w:t>
      </w:r>
    </w:p>
    <w:p>
      <w:pPr>
        <w:pStyle w:val="BodyText"/>
        <w:rPr/>
      </w:pPr>
      <w:r>
        <w:rPr/>
        <w:t xml:space="preserve">In D.99-07-015, the Commission wanted to consider the separation of hub services from the procurement function to eliminate the possibility of conflict of interest affecting the two functions.  The Comprehensive Settlement provides that SoCalGas’ Core Acquisition Department would continue to offer hub services utilizing core assets associated with firm interstate capacity, firm backbone transmission capacity and firm storage capacity reservation.  It will only utilize core assets to provide hub services.  </w:t>
      </w:r>
    </w:p>
    <w:p>
      <w:pPr>
        <w:pStyle w:val="BodyText"/>
        <w:rPr/>
      </w:pPr>
      <w:r>
        <w:rPr/>
        <w:t>The ability to provide hub services allows the core to efficiently utilize core assets and assures the lowest possible cost of gas to retail core procurement customers.  The revenues generated through hub services are allocated through the Purchased Gas Account (PGA) to core customers in the form of lower gas procurement costs.</w:t>
      </w:r>
      <w:r>
        <w:rPr>
          <w:rStyle w:val="FootnoteCharacters"/>
          <w:rStyle w:val="FootnoteReference"/>
        </w:rPr>
        <w:footnoteReference w:id="9"/>
      </w:r>
      <w:r>
        <w:rPr/>
        <w:t xml:space="preserve">  In the last GCIM record period of April 1, 1998 through March 31, 1999, SoCalGas generated approximately $7.1 million in hub revenues by providing hub services.</w:t>
      </w:r>
      <w:r>
        <w:rPr>
          <w:rStyle w:val="FootnoteCharacters"/>
          <w:rStyle w:val="FootnoteReference"/>
        </w:rPr>
        <w:footnoteReference w:id="10"/>
      </w:r>
      <w:r>
        <w:rPr/>
        <w:t xml:space="preserve">  If the Commission were to eliminate the ability of the Gas Acquisition department to provide hub services, it would increase core procurement rates by foregoing the opportunity to generate hub revenues which lower core procurement costs by up to $7.1 million annually.  The ability to offer hub services and generate hub revenues is a benefit to core procurement customers which the Comprehensive Settlement will retain.</w:t>
      </w:r>
    </w:p>
    <w:p>
      <w:pPr>
        <w:pStyle w:val="BodyText"/>
        <w:rPr/>
      </w:pPr>
      <w:r>
        <w:rPr/>
        <w:t xml:space="preserve">The Comprehensive Settlement would also allow SoCalGas’ Gas Operation Department to offer hub services by utilizing unbundled storage capacities.  This service would be similar to services offered by PG&amp;E’s California Gas Transportation Market Center services.  The Gas Operation Department hub services would essentially compete with the Gas Acquisition departments’ hub services.  Other marketers and entities could also provide competitive hub-type services by subscribing to firm storage, interstate and intrastate capacity.  </w:t>
      </w:r>
    </w:p>
    <w:p>
      <w:pPr>
        <w:pStyle w:val="BodyText"/>
        <w:rPr/>
      </w:pPr>
      <w:r>
        <w:rPr/>
      </w:r>
    </w:p>
    <w:p>
      <w:pPr>
        <w:pStyle w:val="BodyText"/>
        <w:numPr>
          <w:ilvl w:val="0"/>
          <w:numId w:val="4"/>
        </w:numPr>
        <w:rPr>
          <w:b/>
          <w:u w:val="single"/>
        </w:rPr>
      </w:pPr>
      <w:r>
        <w:rPr>
          <w:b/>
          <w:u w:val="single"/>
        </w:rPr>
        <w:t>REVENUE CYCLE SERVICES</w:t>
      </w:r>
    </w:p>
    <w:p>
      <w:pPr>
        <w:pStyle w:val="BodyText"/>
        <w:rPr/>
      </w:pPr>
      <w:r>
        <w:rPr/>
        <w:t xml:space="preserve">In D.99-07-015, the Commission concluded that it was not a promising option to encourage the cost or rate separation of meter reading or servicing, but that it viewed the competitive provision of meters to be a promising option.  The Comprehensive Settlement contains provisions for competitive metering technologies in Section II., 7.1.  Both SoCalGas and SDG&amp;E would conduct pilot meter and add-on device ownership programs through 2002.  The pilot program would allow a limited number of customers to own their own meters or an add-on device to the meter that allows the customer to access specific meter data.  The utilities will prepare a report to assess these pilot programs.  The ability for customers to own their own meters will provide individual customers an opportunity to assess the economics of meter ownership and alternative meter technologies.  Although participation in the pilot program is limited, it will provide an initial foundation to determine interest in meter ownership by customers.  It will also provide information to the Commission for future consideration regarding this program.  </w:t>
      </w:r>
    </w:p>
    <w:p>
      <w:pPr>
        <w:pStyle w:val="BodyText"/>
        <w:rPr/>
      </w:pPr>
      <w:r>
        <w:rPr/>
        <w:t xml:space="preserve">In D.99-07-015, the Commission concluded that it may be appropriate for the natural gas utilities to provide billing options similar to those currently offered on the electric side.  There are currently some differences between billing requirements pertaining to the electric industry as compared to the gas industry.  One difference is that if a CTA performs consolidated billing (the CTA bills for all gas service both gas procurement and distribution service), the utilities (in this case SoCalGas and SDG&amp;E) are required to send the customer an information only bill.  The settlement would eliminate this requirement for those CTAs that perform consolidated billing for their customers.  This is contingent on the CTAs identifying the monthly utility transportation charges and rates on their bill, and providing the required bill inserts with each bill.  The customers of a CTA which performs consolidated billing would receive a billing credit associated with the avoided billing cost.  For SoCalGas, the credit would be $0.78 for residential customers and $1.16 for non-residential customers.  </w:t>
      </w:r>
    </w:p>
    <w:p>
      <w:pPr>
        <w:pStyle w:val="BodyText"/>
        <w:rPr/>
      </w:pPr>
      <w:r>
        <w:rPr/>
        <w:t xml:space="preserve">The settlement provision for billing credits for SoCalGas is consistent with the policy of providing billing credits to Electric Service Providers (ESPs) in the electric industry.  This policy will assure that CTAs and their customers do not pay the costs associated with utility service which they do not utilize.  If a CTA performs a billing service for its customers, then its customers should not be paying for such costs in bundled rates.  The policy of providing CTAs with billing credits assures that their customers are served more efficiently and cost-effectively.  It can be used as a tool by CTAs for increasing core market share.  The proposal also removes a market barrier and allows ESPs (that are also CTAs) the ability to provide customers with both electric and natural gas service at a more cost-effective price.  </w:t>
      </w:r>
    </w:p>
    <w:p>
      <w:pPr>
        <w:pStyle w:val="BodyText"/>
        <w:rPr/>
      </w:pPr>
      <w:r>
        <w:rPr/>
      </w:r>
    </w:p>
    <w:p>
      <w:pPr>
        <w:pStyle w:val="BodyText"/>
        <w:rPr/>
      </w:pPr>
      <w:r>
        <w:rPr/>
      </w:r>
    </w:p>
    <w:p>
      <w:pPr>
        <w:pStyle w:val="BodyText"/>
        <w:rPr/>
      </w:pPr>
      <w:r>
        <w:rPr/>
      </w:r>
      <w:r>
        <w:br w:type="page"/>
      </w:r>
    </w:p>
    <w:p>
      <w:pPr>
        <w:pStyle w:val="Normal"/>
        <w:jc w:val="center"/>
        <w:rPr/>
      </w:pPr>
      <w:r>
        <w:rPr/>
        <w:t xml:space="preserve">ATTACHMENT A </w:t>
      </w:r>
    </w:p>
    <w:p>
      <w:pPr>
        <w:pStyle w:val="Normal"/>
        <w:jc w:val="center"/>
        <w:rPr/>
      </w:pPr>
      <w:r>
        <w:rPr/>
      </w:r>
    </w:p>
    <w:p>
      <w:pPr>
        <w:pStyle w:val="Normal"/>
        <w:jc w:val="center"/>
        <w:rPr>
          <w:rFonts w:ascii="Arial" w:hAnsi="Arial" w:cs="Arial"/>
          <w:b/>
          <w:sz w:val="28"/>
        </w:rPr>
      </w:pPr>
      <w:r>
        <w:rPr>
          <w:rFonts w:cs="Arial" w:ascii="Arial" w:hAnsi="Arial"/>
          <w:b/>
          <w:sz w:val="28"/>
        </w:rPr>
        <w:t>QUALIFICATIONS AND PREPARED TESTIMONY</w:t>
      </w:r>
    </w:p>
    <w:p>
      <w:pPr>
        <w:pStyle w:val="Normal"/>
        <w:jc w:val="center"/>
        <w:rPr>
          <w:rFonts w:ascii="Arial" w:hAnsi="Arial" w:cs="Arial"/>
          <w:b/>
          <w:sz w:val="28"/>
        </w:rPr>
      </w:pPr>
      <w:r>
        <w:rPr>
          <w:rFonts w:cs="Arial" w:ascii="Arial" w:hAnsi="Arial"/>
          <w:b/>
          <w:sz w:val="28"/>
        </w:rPr>
        <w:t>OF</w:t>
      </w:r>
    </w:p>
    <w:p>
      <w:pPr>
        <w:pStyle w:val="Normal"/>
        <w:jc w:val="center"/>
        <w:rPr>
          <w:rFonts w:ascii="Arial" w:hAnsi="Arial" w:cs="Arial"/>
          <w:b/>
          <w:sz w:val="28"/>
        </w:rPr>
      </w:pPr>
      <w:r>
        <w:rPr>
          <w:rFonts w:cs="Arial" w:ascii="Arial" w:hAnsi="Arial"/>
          <w:b/>
          <w:sz w:val="28"/>
        </w:rPr>
        <w:t>ROBERT MARK POCTA</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t>Q.1.</w:t>
        <w:tab/>
        <w:t>Please state your name and address.</w:t>
      </w:r>
    </w:p>
    <w:p>
      <w:pPr>
        <w:pStyle w:val="Normal"/>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A.1.</w:t>
        <w:tab/>
        <w:t>My name is Robert Mark Pocta.  My business address is 505 Van Ness Avenue, San Francisco, California, 94102.</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Q.2.</w:t>
        <w:tab/>
        <w:t>By whom are you employed and in what capacity?</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A.2.</w:t>
        <w:tab/>
        <w:t>I am employed by the California Public Utilities Commission in the Market Development Branch of the Office of Ratepayer Advocates (ORA) as a Program and Project Supervisor.</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Q.3.</w:t>
        <w:tab/>
        <w:t>Please provide a brief description of your educational background and professional experience.</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A.3.</w:t>
        <w:tab/>
        <w:t>I graduated from Purdue University in May 1979, with a Bachelor of Science degree in Civil Engineering.  In 1982, I became registered as a Professional Civil Engineer in the State of California.</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b/>
        <w:t>I was employed by the California Department of Transportation from June 1979 to October 1980.  In November 1980, I transferred to the Commission and worked in the Water Branch of the Public Staff Division until December 1984.  My responsibilities included preparing estimates of revenues, expenses, taxes and rate base in numerous rate case applications of Class A water utilities.  From January 1985 to August 1986, I worked in the Energy Operational Costs Branch on a number of energy-related rate applications.</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b/>
        <w:t>I began to work in the Fuels Branch in September 1986 and since then have been both a witness on various technical and policy issues and project manager in proceedings dealing with natural gas industry restructuring, natural gas policy, utility mergers, cost allocation, reasonableness reviews, capacity brokering, need for new interstate pipelines, natural gas vehicles, incentive regulation, and natural gas procurement.  I have testified as an expert witness many times before the Commission in various proceedings and have testified before the California Energy Commission.  I have also submitted prepared testimony and appeared as an expert witness on behalf of the Commission at the Federal Energy Regulatory Commission in proceedings involving interstate gas pipeline companies.</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b/>
        <w:t xml:space="preserve">My current administrative responsibilities include planning, organizing and directing the activities of the Pricing and Protocols Section in the Market Development Branch of ORA.  I am ORA’s project manager in the current Natural Gas Strategy Rulemaking.  I have represented ORA in various settlement negotiations, including the Pacific Gas and Electric Company’s Gas Accord, and in past years on the Southern California Gas Company’s (SoCalGas) “Global Settlement” and Gas Cost Incentive Mechanism (GCIM).  I have also coordinated ORA’s efforts in discussions with SoCalGas, San Diego Gas and Electric Company (SDG&amp;E) and Pacific Gas &amp; Electric Company (PG&amp;E) on the development of incentives for their gas procurement and storage costs and operations.  </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Q.4.</w:t>
        <w:tab/>
        <w:t xml:space="preserve">What is the area of your responsibility in this proceeding? </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A.4</w:t>
        <w:tab/>
        <w:t xml:space="preserve">I have served as ORA’s project manager in the Gas Strategy proceedings and am responsible for the preparation of this report which describes the reasons why ORA recommends that the Commission adopt the Comprehensive Settlement filed in this proceeding. </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Q.5</w:t>
        <w:tab/>
        <w:t>Does this conclude your prepared direct testimony?</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A.5</w:t>
        <w:tab/>
        <w:t>Yes, it does.</w:t>
      </w:r>
    </w:p>
    <w:p>
      <w:pPr>
        <w:pStyle w:val="Normal"/>
        <w:ind w:hanging="720" w:start="720" w:end="0"/>
        <w:rPr>
          <w:rFonts w:ascii="Arial" w:hAnsi="Arial" w:cs="Arial"/>
          <w:sz w:val="24"/>
        </w:rPr>
      </w:pPr>
      <w:r>
        <w:rPr>
          <w:rFonts w:cs="Arial" w:ascii="Arial" w:hAnsi="Arial"/>
          <w:sz w:val="24"/>
        </w:rPr>
      </w:r>
    </w:p>
    <w:p>
      <w:pPr>
        <w:pStyle w:val="Normal"/>
        <w:spacing w:lineRule="auto" w:line="360"/>
        <w:ind w:firstLine="720" w:end="0"/>
        <w:rPr>
          <w:rFonts w:ascii="Arial" w:hAnsi="Arial" w:cs="Arial"/>
          <w:sz w:val="24"/>
        </w:rPr>
      </w:pPr>
      <w:r>
        <w:rPr>
          <w:rFonts w:cs="Arial" w:ascii="Arial" w:hAnsi="Arial"/>
          <w:sz w:val="24"/>
        </w:rPr>
      </w:r>
    </w:p>
    <w:p>
      <w:pPr>
        <w:pStyle w:val="BodyText"/>
        <w:ind w:hanging="0" w:start="720" w:end="0"/>
        <w:rPr>
          <w:rFonts w:ascii="Arial" w:hAnsi="Arial" w:cs="Arial"/>
          <w:sz w:val="24"/>
        </w:rPr>
      </w:pPr>
      <w:r>
        <w:rPr>
          <w:rFonts w:cs="Arial" w:ascii="Arial" w:hAnsi="Arial"/>
          <w:sz w:val="24"/>
        </w:rPr>
      </w:r>
    </w:p>
    <w:p>
      <w:pPr>
        <w:pStyle w:val="BodyText"/>
        <w:ind w:hanging="0" w:start="720" w:end="0"/>
        <w:rPr/>
      </w:pPr>
      <w:r>
        <w:rPr/>
      </w:r>
    </w:p>
    <w:p>
      <w:pPr>
        <w:pStyle w:val="BodyText"/>
        <w:rPr/>
      </w:pPr>
      <w:r>
        <w:rPr/>
      </w:r>
    </w:p>
    <w:sectPr>
      <w:footerReference w:type="default" r:id="rId4"/>
      <w:footerReference w:type="first" r:id="rId5"/>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276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recent SoCalGas/SDG&amp;E BCAP decision (D. 00-04-060) adopts a forecast of $118.9 million in core interstate reservation costs for 2000, and the core ITCS cap would be equal to 10% of that figure or $11.9 million. While the $11.9 million is a maximum saving, the savings could be less than that figure.  The ultimate savings are dependent on many market factors.</w:t>
      </w:r>
    </w:p>
  </w:footnote>
  <w:footnote w:id="3">
    <w:p>
      <w:pPr>
        <w:pStyle w:val="FootnoteText"/>
        <w:rPr/>
      </w:pPr>
      <w:r>
        <w:rPr>
          <w:rStyle w:val="FootnoteCharacters"/>
        </w:rPr>
        <w:footnoteRef/>
      </w:r>
      <w:r>
        <w:rPr/>
        <w:t xml:space="preserve"> </w:t>
      </w:r>
      <w:r>
        <w:rPr/>
        <w:t>Monitoring and Evaluation Report of ORA on SoCalGas’ GCIM A.99-06-027 issued September 30, 1999.</w:t>
      </w:r>
    </w:p>
  </w:footnote>
  <w:footnote w:id="4">
    <w:p>
      <w:pPr>
        <w:pStyle w:val="FootnoteText"/>
        <w:rPr/>
      </w:pPr>
      <w:r>
        <w:rPr>
          <w:rStyle w:val="FootnoteCharacters"/>
        </w:rPr>
        <w:footnoteRef/>
      </w:r>
      <w:r>
        <w:rPr/>
        <w:t xml:space="preserve"> </w:t>
      </w:r>
      <w:r>
        <w:rPr/>
        <w:t xml:space="preserve">The current </w:t>
      </w:r>
      <w:r>
        <w:rPr>
          <w:u w:val="single"/>
        </w:rPr>
        <w:t>interstate</w:t>
      </w:r>
      <w:r>
        <w:rPr/>
        <w:t xml:space="preserve"> reservation is 1044 MMcfd plus 70 MMcfd of California gas which equates to total core reservation of 1114 MMcfd.  A ten percent downward adjustment equates to about 1000 MMcfd.</w:t>
      </w:r>
    </w:p>
  </w:footnote>
  <w:footnote w:id="5">
    <w:p>
      <w:pPr>
        <w:pStyle w:val="FootnoteText"/>
        <w:rPr/>
      </w:pPr>
      <w:r>
        <w:rPr>
          <w:rStyle w:val="FootnoteCharacters"/>
        </w:rPr>
        <w:footnoteRef/>
      </w:r>
      <w:r>
        <w:rPr/>
        <w:t xml:space="preserve"> </w:t>
      </w:r>
      <w:r>
        <w:rPr/>
        <w:t>90 MMcfd * 1.016 dth/Mcf * $0.085/dth * 365= $2.8 million.</w:t>
      </w:r>
    </w:p>
  </w:footnote>
  <w:footnote w:id="6">
    <w:p>
      <w:pPr>
        <w:pStyle w:val="FootnoteText"/>
        <w:rPr/>
      </w:pPr>
      <w:r>
        <w:rPr>
          <w:rStyle w:val="FootnoteCharacters"/>
        </w:rPr>
        <w:footnoteRef/>
      </w:r>
      <w:r>
        <w:rPr/>
        <w:t xml:space="preserve"> </w:t>
      </w:r>
      <w:r>
        <w:rPr/>
        <w:t>SoCalGas was subject to a minimum level of risk.  It was at risk for 25% of the difference between forecasted and actual revenues associated for noncore storage service subscriptions.  It was also 100% at risk for facility expansions to meet obligations under the new storage service contracts.</w:t>
      </w:r>
    </w:p>
  </w:footnote>
  <w:footnote w:id="7">
    <w:p>
      <w:pPr>
        <w:pStyle w:val="FootnoteText"/>
        <w:rPr/>
      </w:pPr>
      <w:r>
        <w:rPr>
          <w:rStyle w:val="FootnoteCharacters"/>
        </w:rPr>
        <w:footnoteRef/>
      </w:r>
      <w:r>
        <w:rPr/>
        <w:t xml:space="preserve"> </w:t>
      </w:r>
      <w:r>
        <w:rPr/>
        <w:t xml:space="preserve">The total embedded cost of storage, excluding Montebello is $74.9 million, comprised of $71.6 million in fixed costs and $3.3 million variable costs.  The cost for the fixed core storage reservation is $34.15 million (including a oil revenue credit of $1.25 million).   </w:t>
      </w:r>
    </w:p>
  </w:footnote>
  <w:footnote w:id="8">
    <w:p>
      <w:pPr>
        <w:pStyle w:val="FootnoteText"/>
        <w:rPr/>
      </w:pPr>
      <w:r>
        <w:rPr>
          <w:rStyle w:val="FootnoteCharacters"/>
        </w:rPr>
        <w:footnoteRef/>
      </w:r>
      <w:r>
        <w:rPr/>
        <w:t xml:space="preserve"> </w:t>
      </w:r>
      <w:r>
        <w:rPr/>
        <w:t xml:space="preserve">There is also $2.5 million in storage-related oil revenue unbundled from base margin and $1.25 million of that amount is credited when developing the cost for the core storage reservation. </w:t>
      </w:r>
    </w:p>
  </w:footnote>
  <w:footnote w:id="9">
    <w:p>
      <w:pPr>
        <w:pStyle w:val="FootnoteText"/>
        <w:rPr/>
      </w:pPr>
      <w:r>
        <w:rPr>
          <w:rStyle w:val="FootnoteCharacters"/>
        </w:rPr>
        <w:footnoteRef/>
      </w:r>
      <w:r>
        <w:rPr/>
        <w:t xml:space="preserve"> </w:t>
      </w:r>
      <w:r>
        <w:rPr/>
        <w:t xml:space="preserve">The hub revenues are included in the GCIM and the allocation to customers is net of any GCIM reward which is generated and retained by the utility.  However, GCIM benefits are calculated based on the total gas cost savings generated below a benchmark price plus 0.5% and are not exclusively related to hub services.  </w:t>
      </w:r>
    </w:p>
  </w:footnote>
  <w:footnote w:id="10">
    <w:p>
      <w:pPr>
        <w:pStyle w:val="FootnoteText"/>
        <w:rPr/>
      </w:pPr>
      <w:r>
        <w:rPr>
          <w:rStyle w:val="FootnoteCharacters"/>
        </w:rPr>
        <w:footnoteRef/>
      </w:r>
      <w:r>
        <w:rPr/>
        <w:t xml:space="preserve"> </w:t>
      </w:r>
      <w:r>
        <w:rPr/>
        <w:t>Monitoring and Evaluation Report of ORA on SoCalGas’ GCIM A.99-06-027 issued September 30, 1999.</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2"/>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120" w:after="0"/>
      <w:jc w:val="center"/>
      <w:outlineLvl w:val="0"/>
    </w:pPr>
    <w:rPr>
      <w:b/>
      <w:sz w:val="24"/>
    </w:rPr>
  </w:style>
  <w:style w:type="paragraph" w:styleId="Heading2">
    <w:name w:val="heading 2"/>
    <w:basedOn w:val="Normal"/>
    <w:next w:val="Normal"/>
    <w:qFormat/>
    <w:pPr>
      <w:keepNext w:val="true"/>
      <w:numPr>
        <w:ilvl w:val="1"/>
        <w:numId w:val="1"/>
      </w:numPr>
      <w:spacing w:lineRule="exact" w:line="240"/>
      <w:ind w:hanging="0" w:start="4680" w:end="0"/>
      <w:outlineLvl w:val="1"/>
    </w:pPr>
    <w:rPr>
      <w:sz w:val="24"/>
    </w:rPr>
  </w:style>
  <w:style w:type="paragraph" w:styleId="Heading3">
    <w:name w:val="heading 3"/>
    <w:basedOn w:val="Normal"/>
    <w:next w:val="Normal"/>
    <w:qFormat/>
    <w:pPr>
      <w:keepNext w:val="true"/>
      <w:numPr>
        <w:ilvl w:val="2"/>
        <w:numId w:val="1"/>
      </w:numPr>
      <w:spacing w:lineRule="auto" w:line="360"/>
      <w:outlineLvl w:val="2"/>
    </w:pPr>
    <w:rPr>
      <w:b/>
      <w:sz w:val="24"/>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lineRule="exact" w:line="240"/>
      <w:jc w:val="center"/>
    </w:pPr>
    <w:rPr>
      <w:b/>
      <w:sz w:val="24"/>
    </w:rPr>
  </w:style>
  <w:style w:type="paragraph" w:styleId="BodyText">
    <w:name w:val="Body Text"/>
    <w:basedOn w:val="Normal"/>
    <w:pPr>
      <w:spacing w:lineRule="exact" w:line="480"/>
      <w:ind w:firstLine="72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ind w:hanging="0" w:start="1440" w:end="0"/>
    </w:pPr>
    <w:rPr>
      <w:sz w:val="28"/>
    </w:rPr>
  </w:style>
  <w:style w:type="paragraph" w:styleId="BodyTextIndent2">
    <w:name w:val="Body Text Indent 2"/>
    <w:basedOn w:val="Normal"/>
    <w:qFormat/>
    <w:pPr>
      <w:spacing w:lineRule="auto" w:line="360"/>
      <w:ind w:firstLine="720" w:start="0" w:end="0"/>
    </w:pPr>
    <w:rPr>
      <w:sz w:val="26"/>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2000-05-05T18:37:00Z</dcterms:created>
  <dc:creator>Robert M Pocta</dc:creator>
  <dc:description/>
  <dc:language>en-CA</dc:language>
  <cp:lastModifiedBy>Angie Marinda</cp:lastModifiedBy>
  <cp:lastPrinted>2000-05-05T11:23:00Z</cp:lastPrinted>
  <dcterms:modified xsi:type="dcterms:W3CDTF">2000-05-05T18:37:00Z</dcterms:modified>
  <cp:revision>2</cp:revision>
  <dc:subject/>
  <dc:title>BEFORE THE PUBLIC UTILITIES COMMISSION OF THE STATE OF CALIFORNIA</dc:title>
</cp:coreProperties>
</file>