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 xml:space="preserve">Date Approval Sheet completed:  </w:t>
            </w:r>
            <w:r>
              <w:rPr>
                <w:b/>
                <w:bCs/>
              </w:rPr>
              <w:t>[         ]</w:t>
            </w:r>
            <w:r>
              <w:rPr/>
              <w:t>, 2000</w:t>
            </w:r>
          </w:p>
          <w:p>
            <w:pPr>
              <w:pStyle w:val="Normal"/>
              <w:tabs>
                <w:tab w:val="clear" w:pos="720"/>
                <w:tab w:val="left" w:pos="1530" w:leader="none"/>
              </w:tabs>
              <w:spacing w:before="0" w:after="120"/>
              <w:rPr/>
            </w:pPr>
            <w:r>
              <w:rPr/>
              <w:t xml:space="preserve">Enron person completing this form:  </w:t>
            </w:r>
            <w:r>
              <w:rPr>
                <w:b/>
                <w:bCs/>
              </w:rPr>
              <w:t>[        ]</w:t>
            </w:r>
          </w:p>
          <w:p>
            <w:pPr>
              <w:pStyle w:val="Normal"/>
              <w:tabs>
                <w:tab w:val="clear" w:pos="720"/>
                <w:tab w:val="left" w:pos="1530" w:leader="none"/>
              </w:tabs>
              <w:spacing w:before="0" w:after="120"/>
              <w:rPr/>
            </w:pPr>
            <w:r>
              <w:rPr/>
              <w:t xml:space="preserve">Expected trade date:  </w:t>
            </w:r>
            <w:r>
              <w:rPr>
                <w:b/>
                <w:bCs/>
              </w:rPr>
              <w:t>[          ]</w:t>
            </w:r>
            <w:r>
              <w:rPr/>
              <w:t>, 2000</w:t>
            </w:r>
          </w:p>
          <w:p>
            <w:pPr>
              <w:pStyle w:val="Normal"/>
              <w:spacing w:before="0" w:after="120"/>
              <w:rPr/>
            </w:pPr>
            <w:r>
              <w:rPr/>
              <w:t xml:space="preserve">Business Unit(s):  </w:t>
            </w:r>
            <w:r>
              <w:rPr>
                <w:b/>
                <w:bCs/>
              </w:rPr>
              <w:t>[                       ]</w:t>
            </w:r>
          </w:p>
          <w:p>
            <w:pPr>
              <w:pStyle w:val="Normal"/>
              <w:ind w:firstLine="90" w:start="-198" w:end="-738"/>
              <w:rPr>
                <w:b/>
                <w:bCs/>
              </w:rPr>
            </w:pPr>
            <w:r>
              <w:rPr>
                <w:b/>
                <w:bCs/>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p>
      <w:pPr>
        <w:pStyle w:val="Normal"/>
        <w:rPr>
          <w:b/>
          <w:bCs/>
        </w:rPr>
      </w:pPr>
      <w:r>
        <w:rPr>
          <w:b/>
          <w:bCs/>
        </w:rPr>
        <w:t xml:space="preserve">[This description should include (1) a description of the subject entity and business and (2) a specific description of the underlying investment and the interest therein that is the subject of the derivative.  Number (2) must be adequate to form the identification of the underlying asset in the derivative documentation.] </w:t>
      </w:r>
    </w:p>
    <w:p>
      <w:pPr>
        <w:pStyle w:val="Normal"/>
        <w:rPr>
          <w:b/>
          <w:bCs/>
        </w:rPr>
      </w:pPr>
      <w:r>
        <w:rPr>
          <w:b/>
          <w:bCs/>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b/>
        </w:rPr>
      </w:pPr>
      <w:r>
        <w:rPr>
          <w:b/>
        </w:rPr>
        <w:t xml:space="preserve">LEGAL NAME REPRESENTED BY STOCK OR OTHER TYPE OF INVESTMENT:  </w:t>
      </w:r>
    </w:p>
    <w:p>
      <w:pPr>
        <w:pStyle w:val="Normal"/>
        <w:pBdr>
          <w:top w:val="single" w:sz="12" w:space="1" w:color="000000"/>
          <w:bottom w:val="single" w:sz="12" w:space="1" w:color="000000"/>
        </w:pBdr>
        <w:rPr/>
      </w:pPr>
      <w:r>
        <w:rPr/>
        <w:t xml:space="preserve"> </w:t>
      </w:r>
    </w:p>
    <w:p>
      <w:pPr>
        <w:pStyle w:val="Normal"/>
        <w:pBdr>
          <w:top w:val="single" w:sz="12" w:space="1" w:color="000000"/>
          <w:bottom w:val="single" w:sz="12" w:space="1" w:color="000000"/>
        </w:pBdr>
        <w:rPr>
          <w:b/>
        </w:rPr>
      </w:pPr>
      <w:r>
        <w:rPr>
          <w:b/>
        </w:rPr>
        <w:t>TYPE AND DESCRIPTION OF INVESTMENT:  [provide specific type, such as warrant, common stock, preferred stock, convertible preferred stock, debt, limited partnership interest, LLC membership interest, together with the specific description of the asset such as stock certificate identification, warrant identification etc.]</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b/>
        </w:rPr>
      </w:pPr>
      <w:r>
        <w:rPr>
          <w:b/>
        </w:rPr>
        <w:t xml:space="preserve">TICKER SYMBOL IF APPLICABLE: </w:t>
      </w:r>
    </w:p>
    <w:p>
      <w:pPr>
        <w:pStyle w:val="Normal"/>
        <w:pBdr>
          <w:top w:val="single" w:sz="12" w:space="1" w:color="000000"/>
          <w:bottom w:val="single" w:sz="12" w:space="1" w:color="000000"/>
        </w:pBdr>
        <w:rPr>
          <w:b/>
        </w:rPr>
      </w:pPr>
      <w:r>
        <w:rPr>
          <w:b/>
        </w:rPr>
        <w:t xml:space="preserve">TRADING EXCHANGE IF APPLICABLE: </w:t>
      </w:r>
    </w:p>
    <w:p>
      <w:pPr>
        <w:pStyle w:val="Normal"/>
        <w:pBdr>
          <w:top w:val="single" w:sz="12" w:space="1" w:color="000000"/>
          <w:bottom w:val="single" w:sz="12" w:space="1" w:color="000000"/>
        </w:pBdr>
        <w:rPr>
          <w:b/>
          <w:bCs/>
        </w:rPr>
      </w:pPr>
      <w:r>
        <w:rPr>
          <w:b/>
          <w:bCs/>
        </w:rPr>
      </w:r>
    </w:p>
    <w:p>
      <w:pPr>
        <w:pStyle w:val="Normal"/>
        <w:pBdr>
          <w:top w:val="single" w:sz="12" w:space="1" w:color="000000"/>
          <w:bottom w:val="single" w:sz="12" w:space="1" w:color="000000"/>
        </w:pBdr>
        <w:rPr>
          <w:b/>
        </w:rPr>
      </w:pPr>
      <w:r>
        <w:rPr>
          <w:b/>
        </w:rPr>
        <w:t>STRIKE/INITIAL PRICE:  [state the unit price if applicable]</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 xml:space="preserve">NO. OF SHARES, WARRANTS, OR OTHER UNIT TYPE OWNED (IF PARTNERSHIP OR MEMBERSHIP OR SIMILAR, STATE THE INTEREST OWNERSHIP IN THE SPECIAL PURPOSE ENTITY) AS THE </w:t>
      </w:r>
      <w:r>
        <w:rPr>
          <w:b/>
          <w:u w:val="single"/>
        </w:rPr>
        <w:t>NET INTEREST</w:t>
      </w:r>
      <w:r>
        <w:rPr>
          <w:b/>
        </w:rPr>
        <w:t xml:space="preserve"> OF THE  BUSINESS UNIT(S):</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b/>
          <w:bCs/>
        </w:rPr>
      </w:pPr>
      <w:r>
        <w:rPr>
          <w:b/>
          <w:bCs/>
        </w:rPr>
        <w:t>INITIAL NOTIONAL VALUE:  [this may be number of units x strike/initial price, or an absolute dollar amount, as in the case of a partnership interest]</w:t>
      </w:r>
    </w:p>
    <w:p>
      <w:pPr>
        <w:pStyle w:val="Normal"/>
        <w:pBdr>
          <w:top w:val="single" w:sz="12" w:space="1" w:color="000000"/>
          <w:bottom w:val="single" w:sz="12" w:space="1" w:color="000000"/>
        </w:pBdr>
        <w:rPr>
          <w:b/>
          <w:bCs/>
        </w:rPr>
      </w:pPr>
      <w:r>
        <w:rPr>
          <w:b/>
          <w:bCs/>
        </w:rPr>
      </w:r>
    </w:p>
    <w:p>
      <w:pPr>
        <w:pStyle w:val="BodyTextIndent"/>
        <w:tabs>
          <w:tab w:val="clear" w:pos="4320"/>
          <w:tab w:val="clear" w:pos="4590"/>
          <w:tab w:val="left" w:pos="4500" w:leader="none"/>
        </w:tabs>
        <w:ind w:hanging="0" w:start="0" w:end="0"/>
        <w:jc w:val="both"/>
        <w:rPr/>
      </w:pPr>
      <w:r>
        <w:rPr>
          <w:b/>
          <w:bCs/>
        </w:rPr>
        <w:t xml:space="preserve">VALUATION LANGUAGE FOR DERIVATIVE:  [provide the language regarding the methodology to be utilized to value underlying assets during term of derivative if other than as follows:  </w:t>
      </w:r>
      <w:r>
        <w:rPr>
          <w:lang w:val="en-US"/>
        </w:rPr>
        <w:t>The price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r>
        <w:rPr>
          <w:b/>
          <w:bCs/>
          <w:lang w:val="en-US"/>
        </w:rPr>
        <w:t>]</w:t>
      </w:r>
    </w:p>
    <w:p>
      <w:pPr>
        <w:pStyle w:val="BodyTextIndent"/>
        <w:tabs>
          <w:tab w:val="clear" w:pos="4320"/>
          <w:tab w:val="clear" w:pos="4590"/>
          <w:tab w:val="left" w:pos="4500" w:leader="none"/>
        </w:tabs>
        <w:ind w:hanging="0" w:start="0" w:end="0"/>
        <w:jc w:val="both"/>
        <w:rPr>
          <w:b/>
          <w:bCs/>
          <w:lang w:val="en-US"/>
        </w:rPr>
      </w:pPr>
      <w:r>
        <w:rPr>
          <w:b/>
          <w:bCs/>
          <w:lang w:val="en-US"/>
        </w:rPr>
      </w:r>
    </w:p>
    <w:p>
      <w:pPr>
        <w:pStyle w:val="BodyTextIndent"/>
        <w:tabs>
          <w:tab w:val="clear" w:pos="4320"/>
          <w:tab w:val="clear" w:pos="4590"/>
          <w:tab w:val="left" w:pos="4500" w:leader="none"/>
        </w:tabs>
        <w:ind w:hanging="0" w:start="0" w:end="0"/>
        <w:jc w:val="both"/>
        <w:rPr>
          <w:b/>
          <w:bCs/>
          <w:lang w:val="en-US"/>
        </w:rPr>
      </w:pPr>
      <w:r>
        <w:rPr>
          <w:b/>
          <w:bCs/>
          <w:lang w:val="en-US"/>
        </w:rPr>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 IF APPLICABLE</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/mnt/main-storage/datasets/enron-docs/doc/1FORM_proposal_sheet_raptor.doc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2000-09-22T14:16:00Z</dcterms:created>
  <dc:creator>mruane</dc:creator>
  <dc:description>MR: 9-20-99 added tax signoff</dc:description>
  <dc:language>en-CA</dc:language>
  <cp:lastModifiedBy>mcook</cp:lastModifiedBy>
  <cp:lastPrinted>2000-09-22T14:07:00Z</cp:lastPrinted>
  <dcterms:modified xsi:type="dcterms:W3CDTF">2000-09-22T16:39:00Z</dcterms:modified>
  <cp:revision>9</cp:revision>
  <dc:subject/>
  <dc:title>ENRON RISK ASSESSMENT AND CONTROL</dc:title>
</cp:coreProperties>
</file>