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AMENDMENT TO</w:t>
      </w:r>
    </w:p>
    <w:p>
      <w:pPr>
        <w:pStyle w:val="Normal"/>
        <w:suppressAutoHyphens w:val="true"/>
        <w:jc w:val="center"/>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ENRON CORP. SEVERANCE PAY PLAN</w:t>
      </w:r>
    </w:p>
    <w:p>
      <w:pPr>
        <w:pStyle w:val="Normal"/>
        <w:tabs>
          <w:tab w:val="clear" w:pos="720"/>
          <w:tab w:val="center" w:pos="4680" w:leader="none"/>
        </w:tabs>
        <w:suppressAutoHyphens w:val="true"/>
        <w:jc w:val="center"/>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(Restated January 1, 1993)</w:t>
      </w:r>
    </w:p>
    <w:p>
      <w:pPr>
        <w:pStyle w:val="Normal"/>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WHEREAS, Enron Corp. (the "Company") heretofore adopted and is the sponsor of the  Enron Corp. Severance Pay Plan (Restated January 1, 1993) (the "Plan");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WHEREAS, Section 6.1 of the Plan provides in part that the Company may amend the Plan at any time without prior notice.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WHEREAS, the Company desires to amend the Plan;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NOW, THEREFORE, the Plan is amended, effective as of October 28, 2001 as follows: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Article III of the Plan is deleted and replaced with the following new Article III:</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tabs>
          <w:tab w:val="clear" w:pos="720"/>
          <w:tab w:val="center" w:pos="4680" w:leader="none"/>
        </w:tabs>
        <w:suppressAutoHyphens w:val="true"/>
        <w:ind w:start="72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tab/>
        <w:t xml:space="preserve">ARTICLE III.  </w:t>
      </w:r>
      <w:r>
        <w:rPr>
          <w:rFonts w:eastAsia="Times New Roman" w:cs="Times New Roman" w:ascii="Times New Roman" w:hAnsi="Times New Roman"/>
          <w:spacing w:val="-3"/>
          <w:sz w:val="22"/>
          <w:szCs w:val="22"/>
          <w:u w:val="single"/>
        </w:rPr>
        <w:t>Severance Benefit</w:t>
      </w:r>
    </w:p>
    <w:p>
      <w:pPr>
        <w:pStyle w:val="Normal"/>
        <w:tabs>
          <w:tab w:val="clear" w:pos="720"/>
          <w:tab w:val="left" w:pos="864" w:leader="none"/>
          <w:tab w:val="left" w:pos="1584" w:leader="none"/>
          <w:tab w:val="left" w:pos="2304" w:leader="none"/>
        </w:tabs>
        <w:suppressAutoHyphens w:val="true"/>
        <w:ind w:start="72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tab/>
        <w:t>3.1  Subject to the provisions of the Plan, an employee who is permanently terminated by Enron and eligible for severance benefits under the Plan will receive the severance benefit provided for in Section 3.2, if the employee timely executes and delivers to Enron an agreement of separation which shall contain a waiver and release of all rights and claims relating to the employee's termination of employment by Enron and such other provisions as approved and required by the Committee in its sole discretion, within a time limit and in a form prepared by and acceptable to Enron.</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Normal"/>
        <w:tabs>
          <w:tab w:val="clear" w:pos="720"/>
          <w:tab w:val="left" w:pos="864" w:leader="none"/>
          <w:tab w:val="left" w:pos="1440"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t>3.2  The severance benefit described in Section 3.1 payable under the Plan is:</w:t>
      </w:r>
    </w:p>
    <w:p>
      <w:pPr>
        <w:pStyle w:val="BlockText"/>
        <w:tabs>
          <w:tab w:val="clear" w:pos="864"/>
          <w:tab w:val="clear" w:pos="1584"/>
          <w:tab w:val="left" w:pos="1440" w:leader="none"/>
          <w:tab w:val="left" w:pos="2304" w:leader="none"/>
        </w:tabs>
        <w:ind w:hanging="720" w:start="2160" w:end="720"/>
        <w:rPr/>
      </w:pPr>
      <w:r>
        <w:rPr/>
        <w:tab/>
        <w:t>(a)  For Cause or Misconduct.  An eligible employee who is terminated by Enron for cause or misconduct (as such terms are construed by Enron in its sole discretion), will receive no severance benefit;</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BlockText"/>
        <w:tabs>
          <w:tab w:val="clear" w:pos="864"/>
          <w:tab w:val="clear" w:pos="1584"/>
          <w:tab w:val="left" w:pos="1440" w:leader="none"/>
          <w:tab w:val="left" w:pos="2304" w:leader="none"/>
        </w:tabs>
        <w:ind w:hanging="720" w:start="2160" w:end="720"/>
        <w:rPr/>
      </w:pPr>
      <w:r>
        <w:rPr/>
        <w:tab/>
        <w:t>(b)  For Failure to Meet Performance Objectives or Standards.  An eligible employee who is terminated by Enron as a result of a determination by Enron that the employee's performance does not meet the performance objectives or standards established for the employee's job position, will receive one and one-half (1.5) weeks of base pay for each year of service, or portion thereof, with Enron, up to a maximum severance benefit not to exceed twelve (12) weeks of base pay; or</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BlockText"/>
        <w:tabs>
          <w:tab w:val="clear" w:pos="864"/>
          <w:tab w:val="clear" w:pos="1584"/>
          <w:tab w:val="left" w:pos="1440" w:leader="none"/>
          <w:tab w:val="left" w:pos="2304" w:leader="none"/>
        </w:tabs>
        <w:ind w:hanging="720" w:start="2160" w:end="720"/>
        <w:rPr/>
      </w:pPr>
      <w:r>
        <w:rPr/>
        <w:tab/>
        <w:t>(c)  As a Result of Reorganizations or Similar Business Circumstances.  An eligible employee who is terminated by Enron, and a determination is made by Enron that such termination is not for the reasons described in paragraphs (a) or (b) above, and is a result of (i) corporate, departmental or work group reorganization, or (ii) similar business circumstances as determined by Enron, will receive the sum of (A) one (1) week of base pay for each year of service, or portion thereof, with Enron, and (B) one (1) week of base pay for each Ten Thousand Dollars ($10,000), or portion thereof, of annualized base pay, up to a maximum total severance benefit not to exceed twenty six (26) weeks of base pay.</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BodyText"/>
        <w:tabs>
          <w:tab w:val="clear" w:pos="864"/>
          <w:tab w:val="clear" w:pos="1584"/>
          <w:tab w:val="left" w:pos="1440" w:leader="none"/>
          <w:tab w:val="left" w:pos="2304" w:leader="none"/>
        </w:tabs>
        <w:ind w:start="1440" w:end="720"/>
        <w:rPr>
          <w:sz w:val="22"/>
          <w:szCs w:val="22"/>
        </w:rPr>
      </w:pPr>
      <w:r>
        <w:rPr>
          <w:sz w:val="22"/>
          <w:szCs w:val="22"/>
        </w:rPr>
        <w:t>3.3  Payment of a severance benefit under Section 3.2 will be made on a monthly basis according to procedures adopted by the Company, commencing within thirty days of Enron's receipt of an acceptable, effective and properly executed agreement of separation, as provided for in Section 3.1.  In determining the number of monthly payments to be made, total number of weeks in the severance benefit formula attributable to service shall be calculated, and the total number of weeks shall be divided by the number four (4).  The quotient shall be the number of monthly payments.  The total amount of the severance benefit shall be divided by the number of monthly payments to determine the amount of each monthly payment.  Payment of a severance benefit shall be subject to applicable tax withholding.</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Normal"/>
        <w:tabs>
          <w:tab w:val="clear" w:pos="720"/>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t>3.4  Notwithstanding any other provision of this Article III, The severance benefit described in Section 3.1 payable under the Plan to an eligible employee who is employed in the Analyst/Associate Program, calculated under Paragraph (b) of Section 3.2 shall not exceed three weeks of base pay, and calculated under Paragraph (c) of Section 3.2 shall not exceed four weeks of base pay.</w:t>
      </w:r>
    </w:p>
    <w:p>
      <w:pPr>
        <w:pStyle w:val="Normal"/>
        <w:tabs>
          <w:tab w:val="clear" w:pos="720"/>
          <w:tab w:val="left" w:pos="864" w:leader="none"/>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r>
    </w:p>
    <w:p>
      <w:pPr>
        <w:pStyle w:val="Normal"/>
        <w:tabs>
          <w:tab w:val="clear" w:pos="720"/>
          <w:tab w:val="left" w:pos="1584" w:leader="none"/>
          <w:tab w:val="left" w:pos="2304" w:leader="none"/>
        </w:tabs>
        <w:suppressAutoHyphens w:val="true"/>
        <w:ind w:start="1440" w:end="720"/>
        <w:jc w:val="both"/>
        <w:rPr>
          <w:rFonts w:ascii="Times New Roman" w:hAnsi="Times New Roman" w:eastAsia="Times New Roman" w:cs="Times New Roman"/>
          <w:spacing w:val="-3"/>
          <w:sz w:val="22"/>
          <w:szCs w:val="22"/>
        </w:rPr>
      </w:pPr>
      <w:r>
        <w:rPr>
          <w:rFonts w:eastAsia="Times New Roman" w:cs="Times New Roman" w:ascii="Times New Roman" w:hAnsi="Times New Roman"/>
          <w:spacing w:val="-3"/>
          <w:sz w:val="22"/>
          <w:szCs w:val="22"/>
        </w:rPr>
        <w:t>3.5  If a terminated employee who is entitled to or is receiving payment of a severance benefit under the Plan is entitled to receive any form of remuneration, payment or entitlement, from a private, public or statutory source, including, but not limited to, by way of example, unemployment compensation or any amount payable under the provisions of the Federal Worker Adjustment and Retraining Notification Act, relating to the employee’s termination of employment, then the severance benefit payable under the Plan shall be reduced and offset by the amount of such remuneration or payment received or to be received by such employee.</w:t>
      </w:r>
    </w:p>
    <w:p>
      <w:pPr>
        <w:pStyle w:val="Normal"/>
        <w:tabs>
          <w:tab w:val="clear" w:pos="720"/>
          <w:tab w:val="left" w:pos="864" w:leader="none"/>
          <w:tab w:val="left" w:pos="1584" w:leader="none"/>
          <w:tab w:val="left" w:pos="2304" w:leader="none"/>
        </w:tabs>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As amended hereby, the Plan is specifically ratified and reaffirmed.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ENRON CORP.</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By:_________________________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Title: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jc w:val="center"/>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AGENDA ITEM ______</w:t>
      </w:r>
    </w:p>
    <w:p>
      <w:pPr>
        <w:pStyle w:val="Normal"/>
        <w:suppressAutoHyphens w:val="tru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RESOLUTION FOR AMENDMENT OF</w:t>
      </w:r>
    </w:p>
    <w:p>
      <w:pPr>
        <w:pStyle w:val="Normal"/>
        <w:suppressAutoHyphens w:val="tru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ENRON CORP. SEVERANCE PAY PLAN</w:t>
      </w:r>
    </w:p>
    <w:p>
      <w:pPr>
        <w:pStyle w:val="Normal"/>
        <w:suppressAutoHyphens w:val="tru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(Restated January 1, 1993)</w:t>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jc w:val="both"/>
        <w:rPr/>
      </w:pPr>
      <w:r>
        <w:rPr>
          <w:rFonts w:eastAsia="Times New Roman" w:cs="Times New Roman" w:ascii="Times New Roman" w:hAnsi="Times New Roman"/>
          <w:spacing w:val="-3"/>
          <w:sz w:val="24"/>
          <w:szCs w:val="24"/>
        </w:rPr>
        <w:tab/>
        <w:t xml:space="preserve">WHEREAS, the Company desires to amend the Enron Corp. Severance Pay Plan </w:t>
      </w:r>
      <w:r>
        <w:rPr>
          <w:rFonts w:eastAsia="Times New Roman" w:cs="Times New Roman" w:ascii="Times New Roman" w:hAnsi="Times New Roman"/>
          <w:sz w:val="24"/>
          <w:szCs w:val="24"/>
        </w:rPr>
        <w:t>(Restated January 1, 1993) (the "Plan");</w:t>
      </w:r>
      <w:r>
        <w:rPr>
          <w:rFonts w:eastAsia="Times New Roman" w:cs="Times New Roman" w:ascii="Times New Roman" w:hAnsi="Times New Roman"/>
          <w:spacing w:val="-3"/>
          <w:sz w:val="24"/>
          <w:szCs w:val="24"/>
        </w:rPr>
        <w:t xml:space="preserve"> </w:t>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ab/>
        <w:t>NOW, THEREFORE, IT IS RESOLVED that the proper officers of the Company be, and they are, authorized and directed to prepare and execute a document substantially in the form of the Amendment to the Plan (the "Amendment") presented at this meeting;</w:t>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ind w:firstLine="720" w:end="0"/>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RESOLVED FURTHER; that upon execution of such Amendment prepared according to the above provisions, the Amendment shall be deemed adopted by this Board effective October 28, 2001, and is hereby ratified and approved; and</w:t>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ind w:firstLine="720" w:end="0"/>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the foregoing resolution.</w:t>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p>
      <w:pPr>
        <w:pStyle w:val="Normal"/>
        <w:suppressAutoHyphens w:val="true"/>
        <w:jc w:val="both"/>
        <w:rPr>
          <w:rFonts w:ascii="Times New Roman" w:hAnsi="Times New Roman" w:eastAsia="Times New Roman" w:cs="Times New Roman"/>
          <w:spacing w:val="-3"/>
          <w:sz w:val="24"/>
          <w:szCs w:val="24"/>
        </w:rPr>
      </w:pPr>
      <w:r>
        <w:rPr>
          <w:rFonts w:eastAsia="Times New Roman" w:cs="Times New Roman" w:ascii="Times New Roman" w:hAnsi="Times New Roman"/>
          <w:spacing w:val="-3"/>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0"/>
      <w:szCs w:val="20"/>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864" w:leader="none"/>
        <w:tab w:val="left" w:pos="1584" w:leader="none"/>
        <w:tab w:val="left" w:pos="2304" w:leader="none"/>
      </w:tabs>
      <w:suppressAutoHyphens w:val="true"/>
      <w:jc w:val="both"/>
    </w:pPr>
    <w:rPr>
      <w:rFonts w:ascii="Times New Roman" w:hAnsi="Times New Roman" w:eastAsia="Times New Roman" w:cs="Times New Roman"/>
      <w:spacing w:val="-3"/>
      <w:sz w:val="24"/>
      <w:szCs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864" w:leader="none"/>
        <w:tab w:val="left" w:pos="1584" w:leader="none"/>
        <w:tab w:val="left" w:pos="2304" w:leader="none"/>
      </w:tabs>
      <w:suppressAutoHyphens w:val="true"/>
      <w:ind w:hanging="864" w:start="1584" w:end="720"/>
      <w:jc w:val="both"/>
    </w:pPr>
    <w:rPr>
      <w:rFonts w:ascii="Times New Roman" w:hAnsi="Times New Roman" w:eastAsia="Times New Roman" w:cs="Times New Roman"/>
      <w:spacing w:val="-3"/>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2001-10-27T14:56:00Z</dcterms:created>
  <dc:creator>Mackin &amp; Mackin</dc:creator>
  <dc:description/>
  <dc:language>en-CA</dc:language>
  <cp:lastModifiedBy>Mackin</cp:lastModifiedBy>
  <cp:lastPrinted>1996-04-15T09:20:00Z</cp:lastPrinted>
  <dcterms:modified xsi:type="dcterms:W3CDTF">2001-10-27T15:29:00Z</dcterms:modified>
  <cp:revision>6</cp:revision>
  <dc:subject/>
  <dc:title>FIRST AMENDMENT TO</dc:title>
</cp:coreProperties>
</file>