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0978" w:type="dxa"/>
        <w:jc w:val="start"/>
        <w:tblInd w:w="200" w:type="dxa"/>
        <w:tblLayout w:type="fixed"/>
        <w:tblCellMar>
          <w:top w:w="0" w:type="dxa"/>
          <w:start w:w="108" w:type="dxa"/>
          <w:bottom w:w="0" w:type="dxa"/>
          <w:end w:w="108" w:type="dxa"/>
        </w:tblCellMar>
      </w:tblPr>
      <w:tblGrid>
        <w:gridCol w:w="708"/>
        <w:gridCol w:w="6045"/>
        <w:gridCol w:w="990"/>
        <w:gridCol w:w="323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US/Canada Government Affairs Group</w:t>
            </w:r>
          </w:p>
        </w:tc>
        <w:tc>
          <w:tcPr>
            <w:tcW w:w="990" w:type="dxa"/>
            <w:tcBorders/>
          </w:tcPr>
          <w:p>
            <w:pPr>
              <w:pStyle w:val="Normal"/>
              <w:snapToGrid w:val="false"/>
              <w:ind w:start="-180" w:end="0"/>
              <w:rPr/>
            </w:pPr>
            <w:r>
              <w:rPr/>
            </w:r>
          </w:p>
        </w:tc>
        <w:tc>
          <w:tcPr>
            <w:tcW w:w="323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323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Rick Shapiro</w:t>
            </w:r>
          </w:p>
        </w:tc>
        <w:tc>
          <w:tcPr>
            <w:tcW w:w="990" w:type="dxa"/>
            <w:tcBorders/>
          </w:tcPr>
          <w:p>
            <w:pPr>
              <w:pStyle w:val="Normal"/>
              <w:ind w:start="-180" w:end="0"/>
              <w:jc w:val="end"/>
              <w:rPr>
                <w:sz w:val="16"/>
              </w:rPr>
            </w:pPr>
            <w:r>
              <w:rPr>
                <w:sz w:val="16"/>
              </w:rPr>
              <w:t>Department:</w:t>
            </w:r>
          </w:p>
        </w:tc>
        <w:tc>
          <w:tcPr>
            <w:tcW w:w="3235" w:type="dxa"/>
            <w:tcBorders/>
          </w:tcPr>
          <w:p>
            <w:pPr>
              <w:pStyle w:val="Department"/>
              <w:ind w:end="-198"/>
              <w:rPr/>
            </w:pPr>
            <w:bookmarkStart w:id="0" w:name="From"/>
            <w:bookmarkEnd w:id="0"/>
            <w:r>
              <w:rPr/>
              <w:t>US/Canada Government Affairs</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323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1999 Accomplishments, Budgets, Priorities, RCR’s &amp; Legal Agreements</w:t>
            </w:r>
          </w:p>
        </w:tc>
        <w:tc>
          <w:tcPr>
            <w:tcW w:w="990" w:type="dxa"/>
            <w:tcBorders>
              <w:bottom w:val="single" w:sz="12" w:space="0" w:color="000000"/>
            </w:tcBorders>
          </w:tcPr>
          <w:p>
            <w:pPr>
              <w:pStyle w:val="Normal"/>
              <w:ind w:start="-180" w:end="0"/>
              <w:jc w:val="end"/>
              <w:rPr>
                <w:sz w:val="16"/>
              </w:rPr>
            </w:pPr>
            <w:r>
              <w:rPr>
                <w:sz w:val="16"/>
              </w:rPr>
              <w:t>Date:</w:t>
            </w:r>
          </w:p>
        </w:tc>
        <w:tc>
          <w:tcPr>
            <w:tcW w:w="323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ind w:start="0" w:end="0"/>
        <w:rPr/>
      </w:pPr>
      <w:r>
        <w:rPr/>
      </w:r>
      <w:bookmarkStart w:id="1" w:name="StartOfMemo"/>
      <w:bookmarkStart w:id="2" w:name="StartOfMemo"/>
      <w:bookmarkEnd w:id="2"/>
    </w:p>
    <w:p>
      <w:pPr>
        <w:pStyle w:val="Body"/>
        <w:ind w:start="0" w:end="0"/>
        <w:rPr/>
      </w:pPr>
      <w:r>
        <w:rPr/>
        <w:t>While this memo was initially conceived for the purpose of communicating changes with respect to the Resource Commitment Request (RCR) process, it also seemed an opportune time to reflect on the accomplishments of the past year, particularly as I’m communicating information about budgets and priorities that reflects significant changes in how we are going about doing our work in the US/Canada Government Affairs group.  By almost any measure, 1999 has been an outstanding year for us in this group.  We have passed legislation in 9 states; have had notable successes on the wholesale market front on a number of issues; and have, as a group, produced tangible (not even taking into account the unmeasurable value) value for Enron at least two times the size of our budget and have further entrenched Enron and our group as the intellectual leader in the energy restructuring debate, while at the same time continuing to expand our responsibilities into the communications arena.  This has been a great year in the face of many changes and I believe our success is due, in large part, to our ability to respond to the never-ending changes that are taking place both within this company and the world in which our businesses operate.  More importantly, I believe our continued success as a team is due in no small measure to our ability and willingness to constantly change our approach(es) to meet the challenges of the day and to subject our decisions and judgements to an inclusive and rigorous internal review process.  These characteristics of our group have helped to ensure that the resources that have been entrusted to us by the company are put to their best and highest use in order to produce the highest possible return for the employees and shareholders of Enron.  Bottom line, Enron’s a great place to work, this is a great group to work with, and it just wouldn’t be as much fun if it weren’t for the constant change and the ever-growing challenges.  It makes us all even better.  Thanks to each of you for an outstanding year – each and every one of you deserves the opportunity at this point in the year to take a moment and reflect on the group’s, as well as, our individual accomplishments.</w:t>
      </w:r>
    </w:p>
    <w:p>
      <w:pPr>
        <w:pStyle w:val="Body"/>
        <w:ind w:start="0" w:end="0"/>
        <w:rPr/>
      </w:pPr>
      <w:r>
        <w:rPr/>
      </w:r>
    </w:p>
    <w:p>
      <w:pPr>
        <w:pStyle w:val="Body"/>
        <w:ind w:start="0" w:end="0"/>
        <w:rPr/>
      </w:pPr>
      <w:r>
        <w:rPr/>
        <w:t>I also wanted to communicate a few changes to the RCR process to ensure that both the human and dollar resources that exist within our group are put to their best and highest use for Enron.  Some time ago, a zero dollar threshold for external expenditures within the RCR process was instituted.  After hearing from many of you and considering your comments and concerns, the dollar threshold for external RCR’s is being raised to $500 in order to allow more flexibility.  This change is made in recognition of the fact that the resource commitment request process is working increasingly well and is paying off in innumerable ways, both from a resource conservation perspective, as well as from the perspective of creating, I believe, more value for Enron with the resources that we are committing externally.  I would ask, however, that each and every external resource commitment made for under $500 be documented in the RCR database as soon as possible after the expenditure is made.  My hope is that the desire to circumvent the RCR process will continue to diminish over time and ultimately be eliminated, as a result of this change.</w:t>
      </w:r>
    </w:p>
    <w:p>
      <w:pPr>
        <w:pStyle w:val="Body"/>
        <w:ind w:start="0" w:end="0"/>
        <w:rPr/>
      </w:pPr>
      <w:r>
        <w:rPr/>
      </w:r>
    </w:p>
    <w:p>
      <w:pPr>
        <w:pStyle w:val="Body"/>
        <w:ind w:start="0" w:end="0"/>
        <w:rPr/>
      </w:pPr>
      <w:r>
        <w:rPr/>
        <w:t>In addition to making the change just discussed with respect to external resource commitments, I have also had a concern that a message has been received by many of you over the last several months that external resource commitments are somehow of a higher quality or nature and require more scrutiny than do commitments of internal human resources.  That is absolutely not the case!  Our time, both collectively and individually, is extraordinarily valuable and even more valuable, I believe, than the dollars that we expend externally.  Rather than institute a RCR process for people’s time, however, I am attaching a template for a form that I will ask each of the regional and group heads to forward to me (and to everyone else in the group) for each individual within their group on no less than an every other week basis.  These “internal resource tracking forms”, which will be made available to everyone within the entire group, will allow us to better monitor and track where each of us are spending our time and constantly measure that use of our internal resources against the objectives that we have set for the year 2000.  I am confident that the use of this internal resource tracking form will work as successfully, if not more so, than would an internal RCR process.  The key, however, to the success of this approach will be complete and timely submission of these reports on the 1</w:t>
      </w:r>
      <w:r>
        <w:rPr>
          <w:vertAlign w:val="superscript"/>
        </w:rPr>
        <w:t>st</w:t>
      </w:r>
      <w:r>
        <w:rPr/>
        <w:t xml:space="preserve"> and 15</w:t>
      </w:r>
      <w:r>
        <w:rPr>
          <w:vertAlign w:val="superscript"/>
        </w:rPr>
        <w:t>th</w:t>
      </w:r>
      <w:r>
        <w:rPr/>
        <w:t xml:space="preserve"> of each month (1st reports due 1/15/2000), with updates made as necessary between the filing of these reports (I will be working with Elizabeth Linnell early in the new year to simplify the reporting process).  I hope that these reports will be a useful tool for everyone in the group.  </w:t>
      </w:r>
    </w:p>
    <w:p>
      <w:pPr>
        <w:pStyle w:val="Body"/>
        <w:ind w:start="0" w:end="0"/>
        <w:rPr/>
      </w:pPr>
      <w:r>
        <w:rPr/>
      </w:r>
    </w:p>
    <w:p>
      <w:pPr>
        <w:pStyle w:val="Body"/>
        <w:ind w:start="0" w:end="0"/>
        <w:rPr/>
      </w:pPr>
      <w:r>
        <w:rPr/>
        <w:t>The fact that these reports will be made accessible to everyone, as is the existing RCR process, is illustrative of another observation about the RCR process that I have had and that others have had as well.  What appeared to some, at first, to be a potentially heavy-handed process has in fact had a profoundly democratizing effect on decision-making in the group.  The RCR process has made decision-making more inclusive, not less, and this is, I believe, the fundamental reason why the process is producing such outstanding results.  I will, however, continue to strive to make both the RCR process and the internal tracking process even more inclusive and streamlined over time.  With the continued commitment of everyone in the group, I am quite confident of success.</w:t>
      </w:r>
    </w:p>
    <w:p>
      <w:pPr>
        <w:pStyle w:val="Body"/>
        <w:ind w:start="0" w:end="0"/>
        <w:rPr/>
      </w:pPr>
      <w:r>
        <w:rPr/>
      </w:r>
    </w:p>
    <w:p>
      <w:pPr>
        <w:pStyle w:val="Body"/>
        <w:ind w:start="0" w:end="0"/>
        <w:rPr/>
      </w:pPr>
      <w:r>
        <w:rPr/>
        <w:t xml:space="preserve">On a completely different subject, I would like to reiterate that any and all contracts, letter agreements(verbal or written); </w:t>
      </w:r>
      <w:r>
        <w:rPr>
          <w:i/>
        </w:rPr>
        <w:t>i.e.</w:t>
      </w:r>
      <w:r>
        <w:rPr/>
        <w:t xml:space="preserve">, anything that is legally binding on the company, </w:t>
      </w:r>
      <w:r>
        <w:rPr>
          <w:i/>
        </w:rPr>
        <w:t>e.g</w:t>
      </w:r>
      <w:r>
        <w:rPr/>
        <w:t>., lobbyist contracts, law firm retainers etc…</w:t>
      </w:r>
      <w:r>
        <w:rPr>
          <w:b/>
        </w:rPr>
        <w:t xml:space="preserve">, be reviewed  and approved by me before being finalized. </w:t>
      </w:r>
      <w:r>
        <w:rPr/>
        <w:t xml:space="preserve"> While I believe this has been generally done in the past, a zero tolerance policy will be enforced from this date forward to assure proper review and consistency of contracts and agreements.</w:t>
      </w:r>
    </w:p>
    <w:p>
      <w:pPr>
        <w:pStyle w:val="Body"/>
        <w:ind w:start="0" w:end="0"/>
        <w:rPr/>
      </w:pPr>
      <w:r>
        <w:rPr/>
      </w:r>
    </w:p>
    <w:p>
      <w:pPr>
        <w:pStyle w:val="Body"/>
        <w:ind w:start="0" w:end="0"/>
        <w:rPr/>
      </w:pPr>
      <w:r>
        <w:rPr/>
        <w:t>Lastly, I am attaching the top “10” objectives that we have identified as a group for the year 2000.  I will be talking more about these at the staff meeting and will be happy to answer any questions or concerns that you might have relative to these objectives.  Bottom line, we have enormous challenges ahead of us for the year 2000 if we are to replicate our successes of the past year. My admiration for the commitment that each of you make to this group and to the company continues to grow and I am very appreciative for the successes that your dedication and commitment have produced this past year.  Thank you again for an outstanding year and Happy Holidays to all.</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sz w:val="16"/>
      </w:rPr>
    </w:pPr>
    <w:r>
      <w:rPr>
        <w:b/>
        <w:sz w:val="16"/>
      </w:rPr>
      <w:tab/>
      <w:t>Respect</w:t>
      <w:tab/>
      <w:t>Integrity</w:t>
      <w:tab/>
      <w:t>Communication</w:t>
      <w:tab/>
      <w:t>Excellence</w:t>
      <w:tab/>
    </w:r>
  </w:p>
  <w:p>
    <w:pPr>
      <w:pStyle w:val="Footer"/>
      <w:tabs>
        <w:tab w:val="clear" w:pos="4320"/>
        <w:tab w:val="left" w:pos="3780" w:leader="none"/>
        <w:tab w:val="center" w:pos="7560" w:leader="none"/>
        <w:tab w:val="right" w:pos="8640" w:leader="none"/>
        <w:tab w:val="right" w:pos="10800" w:leader="none"/>
      </w:tabs>
      <w:rPr>
        <w:sz w:val="16"/>
      </w:rPr>
    </w:pPr>
    <w:r>
      <w:rPr>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EESmemo.dot</Template>
  <TotalTime>303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1999-12-13T13:39:00Z</dcterms:created>
  <dc:creator>EES User</dc:creator>
  <dc:description/>
  <dc:language>en-CA</dc:language>
  <cp:lastModifiedBy>gderneh</cp:lastModifiedBy>
  <cp:lastPrinted>1999-12-15T14:55:00Z</cp:lastPrinted>
  <dcterms:modified xsi:type="dcterms:W3CDTF">1999-12-15T18:39:00Z</dcterms:modified>
  <cp:revision>87</cp:revision>
  <dc:subject/>
  <dc:title>Eron Capital &amp; Trade Resources Memo</dc:title>
</cp:coreProperties>
</file>