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line2"/>
        <w:jc w:val="center"/>
        <w:rPr>
          <w:caps w:val="false"/>
          <w:smallCaps w:val="false"/>
          <w:sz w:val="28"/>
        </w:rPr>
      </w:pPr>
      <w:r>
        <w:rPr>
          <w:caps w:val="false"/>
          <w:smallCaps w:val="false"/>
          <w:sz w:val="28"/>
        </w:rPr>
        <w:t xml:space="preserve">Credit Suisse First Boston: </w:t>
      </w:r>
    </w:p>
    <w:p>
      <w:pPr>
        <w:pStyle w:val="headline2"/>
        <w:jc w:val="center"/>
        <w:rPr>
          <w:caps w:val="false"/>
          <w:smallCaps w:val="false"/>
          <w:sz w:val="28"/>
        </w:rPr>
      </w:pPr>
      <w:r>
        <w:rPr>
          <w:caps w:val="false"/>
          <w:smallCaps w:val="false"/>
          <w:sz w:val="28"/>
        </w:rPr>
        <w:t>1999 Investment Banking Transaction Highlights</w:t>
      </w:r>
    </w:p>
    <w:p>
      <w:pPr>
        <w:pStyle w:val="Normal"/>
        <w:rPr/>
      </w:pPr>
      <w:bookmarkStart w:id="0" w:name="parastart"/>
      <w:bookmarkStart w:id="1" w:name="title"/>
      <w:bookmarkEnd w:id="0"/>
      <w:bookmarkEnd w:id="1"/>
      <w:r>
        <w:rPr/>
        <w:t>Select highlights of notable 1999 assignments:</w:t>
      </w:r>
    </w:p>
    <w:p>
      <w:pPr>
        <w:pStyle w:val="Normal"/>
        <w:rPr>
          <w:b/>
        </w:rPr>
      </w:pPr>
      <w:r>
        <w:rPr>
          <w:b/>
        </w:rPr>
        <w:t>Mergers &amp; Acquisitions:</w:t>
      </w:r>
    </w:p>
    <w:p>
      <w:pPr>
        <w:pStyle w:val="Normal"/>
        <w:numPr>
          <w:ilvl w:val="0"/>
          <w:numId w:val="2"/>
        </w:numPr>
        <w:spacing w:before="120" w:after="0"/>
        <w:rPr/>
      </w:pPr>
      <w:r>
        <w:rPr/>
        <w:t xml:space="preserve">Financial advisor to </w:t>
      </w:r>
      <w:r>
        <w:rPr>
          <w:b/>
        </w:rPr>
        <w:t>AT&amp;T</w:t>
      </w:r>
      <w:r>
        <w:rPr/>
        <w:t xml:space="preserve"> on its pending $63 billion acquisition of MediaOne, which will accelerate AT&amp;T’s ability to bring a wide array of broadband services to consumer and business customers in the US.  To solidify the agreement, AT&amp;T entered into a $9.1 billion subscriber swap with Comcast, the original bidder for MediaOne.  AT&amp;T will also receive a $5 billion investment from Microsoft; those companies will work together to accelerate the deployment of next-generation broadband and Internet services.</w:t>
      </w:r>
    </w:p>
    <w:p>
      <w:pPr>
        <w:pStyle w:val="Normal"/>
        <w:numPr>
          <w:ilvl w:val="0"/>
          <w:numId w:val="2"/>
        </w:numPr>
        <w:spacing w:before="120" w:after="0"/>
        <w:rPr/>
      </w:pPr>
      <w:r>
        <w:rPr/>
        <w:t xml:space="preserve">Financial advisor to </w:t>
      </w:r>
      <w:r>
        <w:rPr>
          <w:b/>
        </w:rPr>
        <w:t>TotalFina</w:t>
      </w:r>
      <w:r>
        <w:rPr/>
        <w:t xml:space="preserve"> on its successful $54 billion hostile acquisition offer for Elf Aquitaine, which will create the world’s fourth largest oil company.</w:t>
      </w:r>
    </w:p>
    <w:p>
      <w:pPr>
        <w:pStyle w:val="Normal"/>
        <w:numPr>
          <w:ilvl w:val="0"/>
          <w:numId w:val="2"/>
        </w:numPr>
        <w:spacing w:before="120" w:after="0"/>
        <w:rPr/>
      </w:pPr>
      <w:r>
        <w:rPr/>
        <w:t xml:space="preserve">Financial advisor to </w:t>
      </w:r>
      <w:r>
        <w:rPr>
          <w:b/>
        </w:rPr>
        <w:t>Ascend Communications</w:t>
      </w:r>
      <w:r>
        <w:rPr/>
        <w:t xml:space="preserve"> on its $24 billion merger with Lucent Technologies, at the time the largest technology M&amp;A deal in history.</w:t>
      </w:r>
    </w:p>
    <w:p>
      <w:pPr>
        <w:pStyle w:val="Normal"/>
        <w:numPr>
          <w:ilvl w:val="0"/>
          <w:numId w:val="2"/>
        </w:numPr>
        <w:spacing w:before="120" w:after="0"/>
        <w:rPr/>
      </w:pPr>
      <w:r>
        <w:rPr/>
        <w:t xml:space="preserve">Financial advisor to </w:t>
      </w:r>
      <w:r>
        <w:rPr>
          <w:b/>
        </w:rPr>
        <w:t>Union Carbide</w:t>
      </w:r>
      <w:r>
        <w:rPr/>
        <w:t xml:space="preserve"> on its $11.9 billion merger with Dow Chemical, which will create the world’s second largest chemical company.</w:t>
      </w:r>
    </w:p>
    <w:p>
      <w:pPr>
        <w:pStyle w:val="Normal"/>
        <w:numPr>
          <w:ilvl w:val="0"/>
          <w:numId w:val="3"/>
        </w:numPr>
        <w:spacing w:before="120" w:after="0"/>
        <w:rPr>
          <w:b/>
        </w:rPr>
      </w:pPr>
      <w:r>
        <w:rPr/>
        <w:t xml:space="preserve">Financial advisor to </w:t>
      </w:r>
      <w:r>
        <w:rPr>
          <w:b/>
        </w:rPr>
        <w:t>Pechiney</w:t>
      </w:r>
      <w:r>
        <w:rPr/>
        <w:t xml:space="preserve"> of France in the pending $19 billion merger with Alcan Aluminum of Canada and Alsuisse Lonza Group of Switzerland in a combination that would create the second-largest aluminum maker (behind the pending Alcoa-Reynolds merger) with an estimate $26 billion in annual revenue.</w:t>
      </w:r>
    </w:p>
    <w:p>
      <w:pPr>
        <w:pStyle w:val="Normal"/>
        <w:numPr>
          <w:ilvl w:val="0"/>
          <w:numId w:val="2"/>
        </w:numPr>
        <w:spacing w:before="120" w:after="0"/>
        <w:rPr/>
      </w:pPr>
      <w:r>
        <w:rPr/>
        <w:t xml:space="preserve">Financial advisor to </w:t>
      </w:r>
      <w:r>
        <w:rPr>
          <w:b/>
        </w:rPr>
        <w:t>Cerent Corp.</w:t>
      </w:r>
      <w:r>
        <w:rPr/>
        <w:t xml:space="preserve"> on its $7.5 billion sale to Cisco Systems, the largest private technology M&amp;A transaction in history. </w:t>
      </w:r>
    </w:p>
    <w:p>
      <w:pPr>
        <w:pStyle w:val="Normal"/>
        <w:numPr>
          <w:ilvl w:val="0"/>
          <w:numId w:val="2"/>
        </w:numPr>
        <w:spacing w:before="120" w:after="0"/>
        <w:rPr/>
      </w:pPr>
      <w:r>
        <w:rPr/>
        <w:t>Financial advisor to both</w:t>
      </w:r>
      <w:r>
        <w:rPr>
          <w:b/>
        </w:rPr>
        <w:t xml:space="preserve"> Hellenic Bottling Company </w:t>
      </w:r>
      <w:r>
        <w:rPr/>
        <w:t>and</w:t>
      </w:r>
      <w:r>
        <w:rPr>
          <w:b/>
        </w:rPr>
        <w:t xml:space="preserve"> Coca-Cola Beverages Plc </w:t>
      </w:r>
      <w:r>
        <w:rPr/>
        <w:t>on their $6.9 billion merger, the largest-ever M&amp;A transaction involving a Greek company, which will create the second largest Coke bottler globally.</w:t>
      </w:r>
    </w:p>
    <w:p>
      <w:pPr>
        <w:pStyle w:val="Normal"/>
        <w:numPr>
          <w:ilvl w:val="0"/>
          <w:numId w:val="2"/>
        </w:numPr>
        <w:spacing w:before="120" w:after="0"/>
        <w:rPr/>
      </w:pPr>
      <w:r>
        <w:rPr/>
        <w:t xml:space="preserve">Financial advisor to </w:t>
      </w:r>
      <w:r>
        <w:rPr>
          <w:b/>
        </w:rPr>
        <w:t>Teton Acquisition Corp.,</w:t>
      </w:r>
      <w:r>
        <w:rPr/>
        <w:t xml:space="preserve"> which, along with Berkshire Hathaway, is acquiring MidAmerican Energy Holdings Co. for $9.0 billion.</w:t>
      </w:r>
    </w:p>
    <w:p>
      <w:pPr>
        <w:pStyle w:val="Normal"/>
        <w:numPr>
          <w:ilvl w:val="0"/>
          <w:numId w:val="2"/>
        </w:numPr>
        <w:spacing w:before="120" w:after="0"/>
        <w:rPr/>
      </w:pPr>
      <w:r>
        <w:rPr/>
        <w:t xml:space="preserve">Financial advisor to </w:t>
      </w:r>
      <w:r>
        <w:rPr>
          <w:b/>
        </w:rPr>
        <w:t xml:space="preserve">Instituto Nazionale delle Assicurazioni SpA (INA) </w:t>
      </w:r>
      <w:r>
        <w:rPr/>
        <w:t>on its $12.6 billion pending sale of the company to Assicurazioni Generali SpA.</w:t>
      </w:r>
    </w:p>
    <w:p>
      <w:pPr>
        <w:pStyle w:val="Normal"/>
        <w:numPr>
          <w:ilvl w:val="0"/>
          <w:numId w:val="5"/>
        </w:numPr>
        <w:spacing w:before="120" w:after="0"/>
        <w:rPr>
          <w:b/>
        </w:rPr>
      </w:pPr>
      <w:r>
        <w:rPr/>
        <w:t xml:space="preserve">Financial advisor to </w:t>
      </w:r>
      <w:r>
        <w:rPr>
          <w:b/>
        </w:rPr>
        <w:t>Alcoa</w:t>
      </w:r>
      <w:r>
        <w:rPr/>
        <w:t xml:space="preserve"> on its pending $6.0 billion acquisition of Reynolds Metals Company, maintaining Alcoa’s status as the world’s largest aluminum producer. </w:t>
      </w:r>
    </w:p>
    <w:p>
      <w:pPr>
        <w:pStyle w:val="Normal"/>
        <w:numPr>
          <w:ilvl w:val="0"/>
          <w:numId w:val="2"/>
        </w:numPr>
        <w:spacing w:before="120" w:after="0"/>
        <w:rPr/>
      </w:pPr>
      <w:r>
        <w:rPr/>
        <w:t xml:space="preserve">Financial advisor to </w:t>
      </w:r>
      <w:r>
        <w:rPr>
          <w:b/>
        </w:rPr>
        <w:t>NiSource</w:t>
      </w:r>
      <w:r>
        <w:rPr/>
        <w:t xml:space="preserve"> on its $8.7 billion unsolicited acquisition offer for Columbia Energy Group.  CSFB is also arranging a $6.0 billion bank facility to finance the offer.</w:t>
      </w:r>
    </w:p>
    <w:p>
      <w:pPr>
        <w:pStyle w:val="Normal"/>
        <w:numPr>
          <w:ilvl w:val="0"/>
          <w:numId w:val="2"/>
        </w:numPr>
        <w:spacing w:before="120" w:after="0"/>
        <w:rPr/>
      </w:pPr>
      <w:r>
        <w:rPr/>
        <w:t xml:space="preserve">Financial advisor to </w:t>
      </w:r>
      <w:r>
        <w:rPr>
          <w:b/>
        </w:rPr>
        <w:t xml:space="preserve">British Steel </w:t>
      </w:r>
      <w:r>
        <w:rPr/>
        <w:t>on</w:t>
      </w:r>
      <w:r>
        <w:rPr>
          <w:b/>
        </w:rPr>
        <w:t xml:space="preserve"> </w:t>
      </w:r>
      <w:r>
        <w:rPr/>
        <w:t>its $2.3 billion acquisition of Royal Hoogovens, the largest Dutch steelmaker.</w:t>
      </w:r>
      <w:r>
        <w:br w:type="page"/>
      </w:r>
    </w:p>
    <w:p>
      <w:pPr>
        <w:pStyle w:val="Normal"/>
        <w:numPr>
          <w:ilvl w:val="0"/>
          <w:numId w:val="2"/>
        </w:numPr>
        <w:spacing w:before="120" w:after="0"/>
        <w:rPr/>
      </w:pPr>
      <w:r>
        <w:rPr/>
        <w:t xml:space="preserve">Financial advisor to </w:t>
      </w:r>
      <w:r>
        <w:rPr>
          <w:b/>
        </w:rPr>
        <w:t>DuPont</w:t>
      </w:r>
      <w:r>
        <w:rPr/>
        <w:t xml:space="preserve"> on its acquisition of the 80% of Pioneer Hi-Bred International that it did not own for $7.7 billion.  DuPont financed the cash portion of the acquisition in part by issuing $3.3 billion in commercial paper, on which CSFB acted as co-dealer. DuPont later refinanced a portion of its commercial paper outstanding by launching and pricing an inaugural global bond offering of $2 billion, on which CSFB acted as joint bookrunner. </w:t>
      </w:r>
    </w:p>
    <w:p>
      <w:pPr>
        <w:pStyle w:val="Normal"/>
        <w:numPr>
          <w:ilvl w:val="0"/>
          <w:numId w:val="2"/>
        </w:numPr>
        <w:spacing w:before="120" w:after="0"/>
        <w:rPr/>
      </w:pPr>
      <w:r>
        <w:rPr/>
        <w:t xml:space="preserve">Corporate Broker to </w:t>
      </w:r>
      <w:r>
        <w:rPr>
          <w:b/>
        </w:rPr>
        <w:t xml:space="preserve">Stagecoach Holdings </w:t>
      </w:r>
      <w:r>
        <w:rPr/>
        <w:t>on its $1.9 billion acquisition of Coach USA, the largest US charter bus and tour operator.</w:t>
      </w:r>
    </w:p>
    <w:p>
      <w:pPr>
        <w:pStyle w:val="Normal"/>
        <w:numPr>
          <w:ilvl w:val="0"/>
          <w:numId w:val="2"/>
        </w:numPr>
        <w:spacing w:before="120" w:after="0"/>
        <w:rPr/>
      </w:pPr>
      <w:r>
        <w:rPr/>
        <w:t xml:space="preserve">Financial advisor to </w:t>
      </w:r>
      <w:r>
        <w:rPr>
          <w:b/>
        </w:rPr>
        <w:t>Case Equipment</w:t>
      </w:r>
      <w:r>
        <w:rPr/>
        <w:t xml:space="preserve"> on the $6.2 billion sale of the company to New Holland N.V., which created one of the world’s largest agricultural equipment manufacturers with sales in excess of $12 billion.</w:t>
      </w:r>
    </w:p>
    <w:p>
      <w:pPr>
        <w:pStyle w:val="Normal"/>
        <w:numPr>
          <w:ilvl w:val="0"/>
          <w:numId w:val="2"/>
        </w:numPr>
        <w:spacing w:before="120" w:after="0"/>
        <w:rPr/>
      </w:pPr>
      <w:r>
        <w:rPr/>
        <w:t xml:space="preserve">Financial advisor to </w:t>
      </w:r>
      <w:r>
        <w:rPr>
          <w:b/>
        </w:rPr>
        <w:t>YPF Sociedad Anonima</w:t>
      </w:r>
      <w:r>
        <w:rPr/>
        <w:t xml:space="preserve"> on the Argentine government’s sale of its 14.99% interest to Repsol S.A. and later on Repsol’s subsequent acquisition of the rest of the company; the transactions totaled $20 billion</w:t>
      </w:r>
    </w:p>
    <w:p>
      <w:pPr>
        <w:pStyle w:val="Normal"/>
        <w:numPr>
          <w:ilvl w:val="0"/>
          <w:numId w:val="2"/>
        </w:numPr>
        <w:spacing w:before="120" w:after="0"/>
        <w:rPr/>
      </w:pPr>
      <w:r>
        <w:rPr/>
        <w:t xml:space="preserve">Financial advisor to </w:t>
      </w:r>
      <w:r>
        <w:rPr>
          <w:b/>
        </w:rPr>
        <w:t>PLATINUM technology</w:t>
      </w:r>
      <w:r>
        <w:rPr/>
        <w:t xml:space="preserve"> on the $3.6 billion sale of the company to Computer Associates, the then-largest software M&amp;A transaction.</w:t>
      </w:r>
    </w:p>
    <w:p>
      <w:pPr>
        <w:pStyle w:val="Normal"/>
        <w:numPr>
          <w:ilvl w:val="0"/>
          <w:numId w:val="2"/>
        </w:numPr>
        <w:spacing w:before="120" w:after="0"/>
        <w:rPr/>
      </w:pPr>
      <w:r>
        <w:rPr/>
        <w:t xml:space="preserve">Financial advisor on the $2.8 billion demerger of </w:t>
      </w:r>
      <w:r>
        <w:rPr>
          <w:b/>
        </w:rPr>
        <w:t>Celanese AG</w:t>
      </w:r>
      <w:r>
        <w:rPr/>
        <w:t xml:space="preserve"> from </w:t>
      </w:r>
      <w:r>
        <w:rPr>
          <w:b/>
        </w:rPr>
        <w:t>Hoescht AG</w:t>
      </w:r>
      <w:r>
        <w:rPr/>
        <w:t xml:space="preserve"> (and Joint Global Coordinator for the equity offering).</w:t>
      </w:r>
    </w:p>
    <w:p>
      <w:pPr>
        <w:pStyle w:val="Normal"/>
        <w:numPr>
          <w:ilvl w:val="0"/>
          <w:numId w:val="2"/>
        </w:numPr>
        <w:spacing w:before="120" w:after="0"/>
        <w:rPr/>
      </w:pPr>
      <w:r>
        <w:rPr/>
        <w:t xml:space="preserve">Financial advisor to </w:t>
      </w:r>
      <w:r>
        <w:rPr>
          <w:b/>
        </w:rPr>
        <w:t>Firstar</w:t>
      </w:r>
      <w:r>
        <w:rPr/>
        <w:t xml:space="preserve"> on its $10.6 billion acquisition of Mercantile Bancorp, which created the second largest Midwest banking franchise in the US, with assets of more than $75 billion.</w:t>
      </w:r>
    </w:p>
    <w:p>
      <w:pPr>
        <w:pStyle w:val="Normal"/>
        <w:rPr>
          <w:b/>
        </w:rPr>
      </w:pPr>
      <w:r>
        <w:rPr>
          <w:b/>
        </w:rPr>
        <w:t>Equity Underwriting:</w:t>
      </w:r>
    </w:p>
    <w:p>
      <w:pPr>
        <w:pStyle w:val="Normal"/>
        <w:numPr>
          <w:ilvl w:val="0"/>
          <w:numId w:val="2"/>
        </w:numPr>
        <w:spacing w:before="120" w:after="0"/>
        <w:rPr/>
      </w:pPr>
      <w:r>
        <w:rPr/>
        <w:t xml:space="preserve">Lead Manager on the largest technology follow-on common stock offering in history, which raised $2.5 billion for </w:t>
      </w:r>
      <w:r>
        <w:rPr>
          <w:b/>
        </w:rPr>
        <w:t>ST Microelectronics</w:t>
      </w:r>
      <w:r>
        <w:rPr/>
        <w:t>.</w:t>
      </w:r>
    </w:p>
    <w:p>
      <w:pPr>
        <w:pStyle w:val="Normal"/>
        <w:numPr>
          <w:ilvl w:val="0"/>
          <w:numId w:val="2"/>
        </w:numPr>
        <w:spacing w:before="120" w:after="0"/>
        <w:rPr/>
      </w:pPr>
      <w:r>
        <w:rPr/>
        <w:t xml:space="preserve">Joint Global Coordinator on </w:t>
      </w:r>
      <w:r>
        <w:rPr>
          <w:lang w:eastAsia="en-US"/>
        </w:rPr>
        <w:t xml:space="preserve">the 2.13 billion-share offering of </w:t>
      </w:r>
      <w:r>
        <w:rPr>
          <w:b/>
          <w:lang w:eastAsia="en-US"/>
        </w:rPr>
        <w:t>Telstra Corporation Limited</w:t>
      </w:r>
      <w:r>
        <w:rPr>
          <w:lang w:eastAsia="en-US"/>
        </w:rPr>
        <w:t>, the largest company in Australia, on behalf of the Commonwealth of Australia.  This privatization secondary offering of 16.6% of the Company raised $10.4 billion for the Australian Government.  The transaction ranks as the largest equity offering in Australia’s history and the largest privatisation equity offering completed globally so far this year.</w:t>
      </w:r>
    </w:p>
    <w:p>
      <w:pPr>
        <w:pStyle w:val="Normal"/>
        <w:numPr>
          <w:ilvl w:val="0"/>
          <w:numId w:val="2"/>
        </w:numPr>
        <w:spacing w:before="120" w:after="0"/>
        <w:rPr/>
      </w:pPr>
      <w:r>
        <w:rPr/>
        <w:t xml:space="preserve">Joint Global Coordinator and Joint Lead Manager/Bookrunner for the $286 million IPO of </w:t>
      </w:r>
      <w:r>
        <w:rPr>
          <w:b/>
        </w:rPr>
        <w:t>Ducati Motor Holding SpA</w:t>
      </w:r>
      <w:r>
        <w:rPr/>
        <w:t>, one of the world’s leading manufacturers of high-performance motorcycles.</w:t>
      </w:r>
    </w:p>
    <w:p>
      <w:pPr>
        <w:pStyle w:val="Normal"/>
        <w:numPr>
          <w:ilvl w:val="0"/>
          <w:numId w:val="2"/>
        </w:numPr>
        <w:spacing w:before="120" w:after="0"/>
        <w:rPr/>
      </w:pPr>
      <w:r>
        <w:rPr/>
        <w:t xml:space="preserve">Joint Lead Manager and Bookrunner for the $865 million secondary offering of </w:t>
      </w:r>
      <w:r>
        <w:rPr>
          <w:b/>
        </w:rPr>
        <w:t>Enron</w:t>
      </w:r>
      <w:r>
        <w:rPr/>
        <w:t xml:space="preserve">, one of the world’s largest energy companies. </w:t>
      </w:r>
    </w:p>
    <w:p>
      <w:pPr>
        <w:pStyle w:val="Normal"/>
        <w:numPr>
          <w:ilvl w:val="0"/>
          <w:numId w:val="2"/>
        </w:numPr>
        <w:spacing w:before="120" w:after="0"/>
        <w:rPr/>
      </w:pPr>
      <w:r>
        <w:rPr/>
        <w:t xml:space="preserve">Joint Global Coordinator for the $1.68 billion demutualization IPO of </w:t>
      </w:r>
      <w:r>
        <w:rPr>
          <w:b/>
        </w:rPr>
        <w:t>Manulife Financial</w:t>
      </w:r>
      <w:r>
        <w:rPr/>
        <w:t>, now the largest Canadian insurer listed on the Toronto Stock Exchange.</w:t>
      </w:r>
    </w:p>
    <w:p>
      <w:pPr>
        <w:pStyle w:val="Normal"/>
        <w:numPr>
          <w:ilvl w:val="0"/>
          <w:numId w:val="2"/>
        </w:numPr>
        <w:spacing w:before="120" w:after="0"/>
        <w:rPr/>
      </w:pPr>
      <w:r>
        <w:rPr/>
        <w:t xml:space="preserve">Lead Manager on the IPO of </w:t>
      </w:r>
      <w:r>
        <w:rPr>
          <w:b/>
        </w:rPr>
        <w:t>VA Linux</w:t>
      </w:r>
      <w:r>
        <w:rPr/>
        <w:t>, which had the best first-day performance for an IPO, up 698%.</w:t>
      </w:r>
      <w:r>
        <w:br w:type="page"/>
      </w:r>
    </w:p>
    <w:p>
      <w:pPr>
        <w:pStyle w:val="Normal"/>
        <w:numPr>
          <w:ilvl w:val="0"/>
          <w:numId w:val="2"/>
        </w:numPr>
        <w:spacing w:before="120" w:after="0"/>
        <w:rPr/>
      </w:pPr>
      <w:r>
        <w:rPr/>
        <w:t xml:space="preserve">Lead Manager on two offerings for </w:t>
      </w:r>
      <w:r>
        <w:rPr>
          <w:b/>
        </w:rPr>
        <w:t>Calpine Corporation</w:t>
      </w:r>
      <w:r>
        <w:rPr/>
        <w:t>, one of the largest and fastest growing companies within the independent power generation sector: 8.28 mm shares of common stock for $383.5 million in proceeds and $276 million of convertible trust preferred stock (HIGH TIDES).</w:t>
      </w:r>
    </w:p>
    <w:p>
      <w:pPr>
        <w:pStyle w:val="Normal"/>
        <w:numPr>
          <w:ilvl w:val="0"/>
          <w:numId w:val="2"/>
        </w:numPr>
        <w:spacing w:before="120" w:after="0"/>
        <w:rPr/>
      </w:pPr>
      <w:r>
        <w:rPr/>
        <w:t xml:space="preserve">Joint Global Coordinator for a $1.5 billion secondary offering for </w:t>
      </w:r>
      <w:r>
        <w:rPr>
          <w:b/>
        </w:rPr>
        <w:t>OTE</w:t>
      </w:r>
      <w:r>
        <w:rPr/>
        <w:t>, the Greek telecommunications company.</w:t>
      </w:r>
    </w:p>
    <w:p>
      <w:pPr>
        <w:pStyle w:val="Normal"/>
        <w:numPr>
          <w:ilvl w:val="0"/>
          <w:numId w:val="2"/>
        </w:numPr>
        <w:spacing w:before="120" w:after="0"/>
        <w:rPr/>
      </w:pPr>
      <w:r>
        <w:rPr/>
        <w:t xml:space="preserve">Multiple equity assignments for </w:t>
      </w:r>
      <w:r>
        <w:rPr>
          <w:b/>
        </w:rPr>
        <w:t>American Tower</w:t>
      </w:r>
      <w:r>
        <w:rPr/>
        <w:t>: Lead Manager on a $675 million common stock offering and Leadn Manager on a two-tranche convertible offering, raising $600 million</w:t>
      </w:r>
    </w:p>
    <w:p>
      <w:pPr>
        <w:pStyle w:val="Normal"/>
        <w:numPr>
          <w:ilvl w:val="0"/>
          <w:numId w:val="2"/>
        </w:numPr>
        <w:spacing w:before="120" w:after="0"/>
        <w:rPr/>
      </w:pPr>
      <w:r>
        <w:rPr/>
        <w:t xml:space="preserve">Lead Manager for the IPO of </w:t>
      </w:r>
      <w:r>
        <w:rPr>
          <w:b/>
        </w:rPr>
        <w:t>Agora SA</w:t>
      </w:r>
      <w:r>
        <w:rPr/>
        <w:t>, publisher of Poland’s leading newspaper, the first sizeable non-privatization IPO from Central and Eastern Europe since July 1998.</w:t>
      </w:r>
    </w:p>
    <w:p>
      <w:pPr>
        <w:pStyle w:val="Normal"/>
        <w:numPr>
          <w:ilvl w:val="0"/>
          <w:numId w:val="2"/>
        </w:numPr>
        <w:spacing w:before="120" w:after="0"/>
        <w:rPr/>
      </w:pPr>
      <w:r>
        <w:rPr/>
        <w:t xml:space="preserve">Joint Global Coordinator and Bookrunner of the $1.0 billion IPO of </w:t>
      </w:r>
      <w:r>
        <w:rPr>
          <w:b/>
        </w:rPr>
        <w:t>TD Waterhouse Group</w:t>
      </w:r>
      <w:r>
        <w:rPr/>
        <w:t>, the second largest online/discount broker in the world.  The offering represents the largest Internet-related IPO ever.</w:t>
      </w:r>
    </w:p>
    <w:p>
      <w:pPr>
        <w:pStyle w:val="Normal"/>
        <w:numPr>
          <w:ilvl w:val="0"/>
          <w:numId w:val="2"/>
        </w:numPr>
        <w:spacing w:before="120" w:after="0"/>
        <w:rPr/>
      </w:pPr>
      <w:r>
        <w:rPr/>
        <w:t xml:space="preserve">Joint Global Coordinator for the $185 million privatization offering for the Government of India’s shares in </w:t>
      </w:r>
      <w:r>
        <w:rPr>
          <w:b/>
        </w:rPr>
        <w:t>Videsh Sanchar Nigam Limited</w:t>
      </w:r>
      <w:r>
        <w:rPr/>
        <w:t>, the provider of international telecommunications services in India, which was priced above market expectations despite volatile conditions.</w:t>
      </w:r>
    </w:p>
    <w:p>
      <w:pPr>
        <w:pStyle w:val="Normal"/>
        <w:numPr>
          <w:ilvl w:val="0"/>
          <w:numId w:val="2"/>
        </w:numPr>
        <w:spacing w:before="120" w:after="0"/>
        <w:rPr/>
      </w:pPr>
      <w:r>
        <w:rPr/>
        <w:t xml:space="preserve">Lead manager for the $306 million secondary offering of </w:t>
      </w:r>
      <w:r>
        <w:rPr>
          <w:b/>
        </w:rPr>
        <w:t>Entercom</w:t>
      </w:r>
      <w:r>
        <w:rPr/>
        <w:t>, the US’ sixth largest radio broadcasting company, which was more than 12 times oversubscribed.</w:t>
      </w:r>
    </w:p>
    <w:p>
      <w:pPr>
        <w:pStyle w:val="Normal"/>
        <w:numPr>
          <w:ilvl w:val="0"/>
          <w:numId w:val="2"/>
        </w:numPr>
        <w:spacing w:before="120" w:after="0"/>
        <w:rPr/>
      </w:pPr>
      <w:r>
        <w:rPr/>
        <w:t xml:space="preserve">Joint Global Coordinator and sole Bookrunner on the $2 billion IPO of </w:t>
      </w:r>
      <w:r>
        <w:rPr>
          <w:b/>
        </w:rPr>
        <w:t>Banca Monte dei Paschi di Siena</w:t>
      </w:r>
      <w:r>
        <w:rPr/>
        <w:t>, the oldest bank in the world.  The IPO stands as the largest out of Europe to date.</w:t>
      </w:r>
    </w:p>
    <w:p>
      <w:pPr>
        <w:pStyle w:val="Normal"/>
        <w:numPr>
          <w:ilvl w:val="0"/>
          <w:numId w:val="2"/>
        </w:numPr>
        <w:spacing w:before="120" w:after="0"/>
        <w:rPr/>
      </w:pPr>
      <w:r>
        <w:rPr/>
        <w:t xml:space="preserve">Lead Manager on the best performing IPO of the year, </w:t>
      </w:r>
      <w:r>
        <w:rPr>
          <w:b/>
        </w:rPr>
        <w:t xml:space="preserve">Commerce One, </w:t>
      </w:r>
      <w:r>
        <w:rPr/>
        <w:t>which was up 2,707% from its IPO through the end of 1999.</w:t>
      </w:r>
    </w:p>
    <w:p>
      <w:pPr>
        <w:pStyle w:val="Normal"/>
        <w:numPr>
          <w:ilvl w:val="0"/>
          <w:numId w:val="2"/>
        </w:numPr>
        <w:spacing w:before="120" w:after="0"/>
        <w:rPr/>
      </w:pPr>
      <w:r>
        <w:rPr/>
        <w:t xml:space="preserve">Lead manager for the $542 million secondary offering of </w:t>
      </w:r>
      <w:r>
        <w:rPr>
          <w:b/>
        </w:rPr>
        <w:t>Keebler</w:t>
      </w:r>
      <w:r>
        <w:rPr/>
        <w:t>, the US’ second largest cookie company.</w:t>
      </w:r>
    </w:p>
    <w:p>
      <w:pPr>
        <w:pStyle w:val="Normal"/>
        <w:numPr>
          <w:ilvl w:val="0"/>
          <w:numId w:val="2"/>
        </w:numPr>
        <w:spacing w:before="120" w:after="0"/>
        <w:rPr/>
      </w:pPr>
      <w:r>
        <w:rPr/>
        <w:t xml:space="preserve">Joint Global Coordinator for the $496 million privatization IPO of </w:t>
      </w:r>
      <w:r>
        <w:rPr>
          <w:b/>
        </w:rPr>
        <w:t>Banco Hipotecario</w:t>
      </w:r>
      <w:r>
        <w:rPr/>
        <w:t>, Argentina's leading residential mortgage bank, which was the first equity offering by a Latin American issuer since the global market turmoil of mid-1998.</w:t>
      </w:r>
    </w:p>
    <w:p>
      <w:pPr>
        <w:pStyle w:val="Normal"/>
        <w:numPr>
          <w:ilvl w:val="0"/>
          <w:numId w:val="2"/>
        </w:numPr>
        <w:spacing w:before="120" w:after="0"/>
        <w:rPr/>
      </w:pPr>
      <w:r>
        <w:rPr/>
        <w:t xml:space="preserve">Sole Bookrunner for the $550 million IPO of </w:t>
      </w:r>
      <w:r>
        <w:rPr>
          <w:b/>
        </w:rPr>
        <w:t>Geberit AG</w:t>
      </w:r>
      <w:r>
        <w:rPr/>
        <w:t>, which represents Switzerland’s largest non-privatization IPO ever.</w:t>
      </w:r>
    </w:p>
    <w:p>
      <w:pPr>
        <w:pStyle w:val="Normal"/>
        <w:numPr>
          <w:ilvl w:val="0"/>
          <w:numId w:val="2"/>
        </w:numPr>
        <w:spacing w:before="120" w:after="0"/>
        <w:rPr/>
      </w:pPr>
      <w:r>
        <w:rPr/>
        <w:t xml:space="preserve">Lead Manager on the $417 million IPO of </w:t>
      </w:r>
      <w:r>
        <w:rPr>
          <w:b/>
        </w:rPr>
        <w:t>Freeserve</w:t>
      </w:r>
      <w:r>
        <w:rPr/>
        <w:t>, the largest European Internet IPO in history.</w:t>
      </w:r>
    </w:p>
    <w:p>
      <w:pPr>
        <w:pStyle w:val="Normal"/>
        <w:spacing w:before="120" w:after="0"/>
        <w:rPr/>
      </w:pPr>
      <w:r>
        <w:rPr/>
      </w:r>
    </w:p>
    <w:p>
      <w:pPr>
        <w:pStyle w:val="Normal"/>
        <w:spacing w:before="0" w:after="0"/>
        <w:rPr>
          <w:b/>
        </w:rPr>
      </w:pPr>
      <w:r>
        <w:rPr>
          <w:b/>
        </w:rPr>
        <w:t>Debt Underwriting and Corporate Lending:</w:t>
      </w:r>
    </w:p>
    <w:p>
      <w:pPr>
        <w:pStyle w:val="Normal"/>
        <w:widowControl w:val="false"/>
        <w:numPr>
          <w:ilvl w:val="0"/>
          <w:numId w:val="4"/>
        </w:numPr>
        <w:spacing w:before="120" w:after="0"/>
        <w:rPr/>
      </w:pPr>
      <w:r>
        <w:rPr/>
        <w:t xml:space="preserve">Joint Lead Manager for $4.5 billion in three, five and 10-year global notes for </w:t>
      </w:r>
      <w:r>
        <w:rPr>
          <w:b/>
        </w:rPr>
        <w:t>DaimlerChrysler</w:t>
      </w:r>
      <w:r>
        <w:rPr/>
        <w:t>, the seventh largest investment-grade issue ever and</w:t>
      </w:r>
      <w:r>
        <w:rPr>
          <w:lang w:val="en-GB" w:eastAsia="en-US"/>
        </w:rPr>
        <w:t xml:space="preserve"> the largest lead-managed bond offering in CSFB’s history.</w:t>
      </w:r>
    </w:p>
    <w:p>
      <w:pPr>
        <w:pStyle w:val="Normal"/>
        <w:numPr>
          <w:ilvl w:val="0"/>
          <w:numId w:val="2"/>
        </w:numPr>
        <w:spacing w:before="120" w:after="0"/>
        <w:rPr/>
      </w:pPr>
      <w:r>
        <w:rPr/>
        <w:t xml:space="preserve">Joint Lead Manager and Joint Bookrunner for $4 billion of senior unsecured notes for </w:t>
      </w:r>
      <w:r>
        <w:rPr>
          <w:b/>
        </w:rPr>
        <w:t>Conoco</w:t>
      </w:r>
      <w:r>
        <w:rPr/>
        <w:t>, largest-ever industrial bond offering.</w:t>
      </w:r>
    </w:p>
    <w:p>
      <w:pPr>
        <w:pStyle w:val="Normal"/>
        <w:numPr>
          <w:ilvl w:val="0"/>
          <w:numId w:val="2"/>
        </w:numPr>
        <w:spacing w:before="120" w:after="0"/>
        <w:rPr/>
      </w:pPr>
      <w:r>
        <w:rPr/>
        <w:t xml:space="preserve">Joint Lead Manager and Bookrunner for $1 billion of senior notes for </w:t>
      </w:r>
      <w:r>
        <w:rPr>
          <w:b/>
        </w:rPr>
        <w:t>The Pepsi Bottling Group</w:t>
      </w:r>
      <w:r>
        <w:rPr/>
        <w:t xml:space="preserve"> as part of a series of transactions that separated it from its parent, PepsiCo.</w:t>
      </w:r>
    </w:p>
    <w:p>
      <w:pPr>
        <w:pStyle w:val="Normal"/>
        <w:numPr>
          <w:ilvl w:val="0"/>
          <w:numId w:val="2"/>
        </w:numPr>
        <w:spacing w:before="120" w:after="0"/>
        <w:rPr/>
      </w:pPr>
      <w:r>
        <w:rPr/>
        <w:t xml:space="preserve">Joint Lead Manager on a $1 billion 10-year bond for </w:t>
      </w:r>
      <w:r>
        <w:rPr>
          <w:b/>
        </w:rPr>
        <w:t>Roche Holding.</w:t>
      </w:r>
    </w:p>
    <w:p>
      <w:pPr>
        <w:pStyle w:val="Normal"/>
        <w:numPr>
          <w:ilvl w:val="0"/>
          <w:numId w:val="2"/>
        </w:numPr>
        <w:spacing w:before="120" w:after="0"/>
        <w:rPr/>
      </w:pPr>
      <w:r>
        <w:rPr/>
        <w:t xml:space="preserve">Joint Lead Manager on €1 billion of Eurobonds for </w:t>
      </w:r>
      <w:r>
        <w:rPr>
          <w:b/>
        </w:rPr>
        <w:t>Ford Motor Credit Corp.</w:t>
      </w:r>
    </w:p>
    <w:p>
      <w:pPr>
        <w:pStyle w:val="Normal"/>
        <w:numPr>
          <w:ilvl w:val="0"/>
          <w:numId w:val="2"/>
        </w:numPr>
        <w:spacing w:before="120" w:after="0"/>
        <w:rPr/>
      </w:pPr>
      <w:r>
        <w:rPr/>
        <w:t xml:space="preserve">Joint Lead Manager to </w:t>
      </w:r>
      <w:r>
        <w:rPr>
          <w:b/>
        </w:rPr>
        <w:t>Freddie Mac</w:t>
      </w:r>
      <w:r>
        <w:rPr/>
        <w:t xml:space="preserve"> on $6 billion in reference notes, plus three other reference notes issues of $3 billion, $4 billion and $5 billion.</w:t>
      </w:r>
    </w:p>
    <w:p>
      <w:pPr>
        <w:pStyle w:val="Normal"/>
        <w:numPr>
          <w:ilvl w:val="0"/>
          <w:numId w:val="2"/>
        </w:numPr>
        <w:spacing w:before="120" w:after="0"/>
        <w:rPr/>
      </w:pPr>
      <w:r>
        <w:rPr/>
        <w:t xml:space="preserve">Joint Lead Manager on €1.25 billion of five-year Eurobonds for </w:t>
      </w:r>
      <w:r>
        <w:rPr>
          <w:b/>
        </w:rPr>
        <w:t>Royal KPN</w:t>
      </w:r>
      <w:r>
        <w:rPr/>
        <w:t>, the Dutch telecommunications company.</w:t>
      </w:r>
    </w:p>
    <w:p>
      <w:pPr>
        <w:pStyle w:val="Normal"/>
        <w:numPr>
          <w:ilvl w:val="0"/>
          <w:numId w:val="2"/>
        </w:numPr>
        <w:spacing w:before="120" w:after="0"/>
        <w:rPr/>
      </w:pPr>
      <w:r>
        <w:rPr/>
        <w:t xml:space="preserve">Joint Lead Manager to </w:t>
      </w:r>
      <w:r>
        <w:rPr>
          <w:b/>
        </w:rPr>
        <w:t>Honda Motor</w:t>
      </w:r>
      <w:r>
        <w:rPr/>
        <w:t xml:space="preserve"> on $3.1 billion in asset-backed securities backed by auto leases.</w:t>
      </w:r>
    </w:p>
    <w:p>
      <w:pPr>
        <w:pStyle w:val="Normal"/>
        <w:numPr>
          <w:ilvl w:val="0"/>
          <w:numId w:val="2"/>
        </w:numPr>
        <w:spacing w:before="120" w:after="0"/>
        <w:rPr/>
      </w:pPr>
      <w:r>
        <w:rPr/>
        <w:t xml:space="preserve">Joint Lead Manager to </w:t>
      </w:r>
      <w:r>
        <w:rPr>
          <w:b/>
        </w:rPr>
        <w:t>Wells Fargo</w:t>
      </w:r>
      <w:r>
        <w:rPr/>
        <w:t xml:space="preserve"> on a $1.5 billion global bond offering.</w:t>
      </w:r>
    </w:p>
    <w:p>
      <w:pPr>
        <w:pStyle w:val="Normal"/>
        <w:numPr>
          <w:ilvl w:val="0"/>
          <w:numId w:val="2"/>
        </w:numPr>
        <w:spacing w:before="120" w:after="0"/>
        <w:rPr/>
      </w:pPr>
      <w:r>
        <w:rPr/>
        <w:t xml:space="preserve">Joint Lead Manager to the </w:t>
      </w:r>
      <w:r>
        <w:rPr>
          <w:b/>
        </w:rPr>
        <w:t>Province de Québec</w:t>
      </w:r>
      <w:r>
        <w:rPr/>
        <w:t xml:space="preserve"> for $1 billion in global debentures.</w:t>
      </w:r>
    </w:p>
    <w:p>
      <w:pPr>
        <w:pStyle w:val="Normal"/>
        <w:numPr>
          <w:ilvl w:val="0"/>
          <w:numId w:val="2"/>
        </w:numPr>
        <w:spacing w:before="120" w:after="0"/>
        <w:rPr/>
      </w:pPr>
      <w:r>
        <w:rPr/>
        <w:t xml:space="preserve">Lead Manager for €300 million in debt for the </w:t>
      </w:r>
      <w:r>
        <w:rPr>
          <w:b/>
        </w:rPr>
        <w:t>Republic of Croatia.</w:t>
      </w:r>
    </w:p>
    <w:p>
      <w:pPr>
        <w:pStyle w:val="Normal"/>
        <w:numPr>
          <w:ilvl w:val="0"/>
          <w:numId w:val="2"/>
        </w:numPr>
        <w:spacing w:before="120" w:after="0"/>
        <w:rPr/>
      </w:pPr>
      <w:r>
        <w:rPr/>
        <w:t xml:space="preserve">Lead Manager for €400 million in debt for the </w:t>
      </w:r>
      <w:r>
        <w:rPr>
          <w:b/>
        </w:rPr>
        <w:t>Republic of Slovenia</w:t>
      </w:r>
      <w:r>
        <w:rPr/>
        <w:t>.</w:t>
      </w:r>
    </w:p>
    <w:p>
      <w:pPr>
        <w:pStyle w:val="Normal"/>
        <w:numPr>
          <w:ilvl w:val="0"/>
          <w:numId w:val="2"/>
        </w:numPr>
        <w:spacing w:before="120" w:after="0"/>
        <w:rPr/>
      </w:pPr>
      <w:r>
        <w:rPr/>
        <w:t>Lead Manager to International Bank for Reconstruction and Development (</w:t>
      </w:r>
      <w:r>
        <w:rPr>
          <w:b/>
        </w:rPr>
        <w:t>World Bank</w:t>
      </w:r>
      <w:r>
        <w:rPr/>
        <w:t>) on $2 billion in Eurobonds.</w:t>
      </w:r>
    </w:p>
    <w:p>
      <w:pPr>
        <w:pStyle w:val="Normal"/>
        <w:numPr>
          <w:ilvl w:val="0"/>
          <w:numId w:val="2"/>
        </w:numPr>
        <w:spacing w:before="120" w:after="0"/>
        <w:rPr/>
      </w:pPr>
      <w:r>
        <w:rPr/>
        <w:t xml:space="preserve">Lead Manager for a two-tranche $150 million and €100 million senior subordinated notes offering for </w:t>
      </w:r>
      <w:r>
        <w:rPr>
          <w:b/>
        </w:rPr>
        <w:t>Weight Watchers International</w:t>
      </w:r>
      <w:r>
        <w:rPr/>
        <w:t>.</w:t>
      </w:r>
    </w:p>
    <w:p>
      <w:pPr>
        <w:pStyle w:val="Normal"/>
        <w:numPr>
          <w:ilvl w:val="0"/>
          <w:numId w:val="2"/>
        </w:numPr>
        <w:spacing w:before="120" w:after="0"/>
        <w:rPr/>
      </w:pPr>
      <w:r>
        <w:rPr/>
        <w:t xml:space="preserve">Joint Lead Manager for a two-tranche $100 million and €110 million senior notes offering for </w:t>
      </w:r>
      <w:r>
        <w:rPr>
          <w:b/>
        </w:rPr>
        <w:t>Jazztel</w:t>
      </w:r>
      <w:r>
        <w:rPr/>
        <w:t>, a developmental Spanish telecommunications’ company; the transaction represents the first-ever Spanish high-yield offering.</w:t>
      </w:r>
    </w:p>
    <w:p>
      <w:pPr>
        <w:pStyle w:val="Normal"/>
        <w:numPr>
          <w:ilvl w:val="0"/>
          <w:numId w:val="2"/>
        </w:numPr>
        <w:spacing w:before="120" w:after="0"/>
        <w:rPr/>
      </w:pPr>
      <w:r>
        <w:rPr/>
        <w:t xml:space="preserve">Lead Manager on £100 million senior notes for </w:t>
      </w:r>
      <w:r>
        <w:rPr>
          <w:b/>
        </w:rPr>
        <w:t>Doncasters plc,</w:t>
      </w:r>
      <w:r>
        <w:rPr/>
        <w:t xml:space="preserve"> a leading global manufacturer of highly engineered components for tolerance-critical applications.</w:t>
      </w:r>
    </w:p>
    <w:p>
      <w:pPr>
        <w:pStyle w:val="Normal"/>
        <w:numPr>
          <w:ilvl w:val="0"/>
          <w:numId w:val="2"/>
        </w:numPr>
        <w:spacing w:before="120" w:after="0"/>
        <w:rPr/>
      </w:pPr>
      <w:r>
        <w:rPr/>
        <w:t xml:space="preserve">Lead Manager for $450 million in senior notes for </w:t>
      </w:r>
      <w:r>
        <w:rPr>
          <w:b/>
        </w:rPr>
        <w:t>AK Steel</w:t>
      </w:r>
      <w:r>
        <w:rPr/>
        <w:t>, the US' most profitable integrated steel producer.</w:t>
      </w:r>
    </w:p>
    <w:p>
      <w:pPr>
        <w:pStyle w:val="Normal"/>
        <w:numPr>
          <w:ilvl w:val="0"/>
          <w:numId w:val="2"/>
        </w:numPr>
        <w:spacing w:before="120" w:after="0"/>
        <w:rPr/>
      </w:pPr>
      <w:r>
        <w:rPr/>
        <w:t xml:space="preserve">Joint Lead Manager and Joint Bookrunner on €175 million in senior notes for </w:t>
      </w:r>
      <w:r>
        <w:rPr>
          <w:b/>
        </w:rPr>
        <w:t>Esat Telecom Group plc</w:t>
      </w:r>
      <w:r>
        <w:rPr/>
        <w:t>, Ireland’s leading facilities-based alternative provider of data, Internet, video and voice services.</w:t>
      </w:r>
    </w:p>
    <w:p>
      <w:pPr>
        <w:pStyle w:val="Normal"/>
        <w:numPr>
          <w:ilvl w:val="0"/>
          <w:numId w:val="2"/>
        </w:numPr>
        <w:spacing w:before="120" w:after="0"/>
        <w:rPr/>
      </w:pPr>
      <w:r>
        <w:rPr/>
        <w:t xml:space="preserve">Lead Manager on a landmark €750 million credit-card receivables transaction for </w:t>
      </w:r>
      <w:r>
        <w:rPr>
          <w:b/>
        </w:rPr>
        <w:t>MBNA</w:t>
      </w:r>
      <w:r>
        <w:rPr/>
        <w:t>, the first euro-denominated asset-backed security from a US issuer.</w:t>
      </w:r>
    </w:p>
    <w:p>
      <w:pPr>
        <w:pStyle w:val="Normal"/>
        <w:numPr>
          <w:ilvl w:val="0"/>
          <w:numId w:val="2"/>
        </w:numPr>
        <w:spacing w:before="120" w:after="0"/>
        <w:rPr/>
      </w:pPr>
      <w:r>
        <w:rPr/>
        <w:t xml:space="preserve">Lead Arranger to </w:t>
      </w:r>
      <w:r>
        <w:rPr>
          <w:b/>
        </w:rPr>
        <w:t>Express Scripts</w:t>
      </w:r>
      <w:r>
        <w:rPr/>
        <w:t xml:space="preserve"> on a comprehensive financing package to complete its $700 million acquisition of Diversified Pharmaceutical Services, Inc., a wholly-owned subsidiary of SmithKline Beecham plc (CSFB also served as M&amp;A advisor), including: $1.1 billion credit facilities, $150 million bridge loan, $250 million in senior notes, and a $275 million common stock offering. </w:t>
      </w:r>
    </w:p>
    <w:p>
      <w:pPr>
        <w:pStyle w:val="Normal"/>
        <w:numPr>
          <w:ilvl w:val="0"/>
          <w:numId w:val="2"/>
        </w:numPr>
        <w:spacing w:before="120" w:after="0"/>
        <w:rPr/>
      </w:pPr>
      <w:r>
        <w:rPr/>
        <w:t xml:space="preserve">Sole Arranger and Administrative Agent on a fully underwritten $4.5 billion senior credit facility to finance </w:t>
      </w:r>
      <w:r>
        <w:rPr>
          <w:b/>
        </w:rPr>
        <w:t>Computer Associates’</w:t>
      </w:r>
      <w:r>
        <w:rPr/>
        <w:t xml:space="preserve"> acquisition of PLATINUM technology (CSFB is serving as PLATINUM’s financial advisor).</w:t>
      </w:r>
    </w:p>
    <w:p>
      <w:pPr>
        <w:pStyle w:val="Normal"/>
        <w:numPr>
          <w:ilvl w:val="0"/>
          <w:numId w:val="2"/>
        </w:numPr>
        <w:spacing w:before="120" w:after="0"/>
        <w:rPr/>
      </w:pPr>
      <w:r>
        <w:rPr/>
        <w:t xml:space="preserve">Syndication Agent, Joint Lead Arranger and Joint Book Manager on a fully underwritten $5 billion senior secured credit facility for </w:t>
      </w:r>
      <w:r>
        <w:rPr>
          <w:b/>
        </w:rPr>
        <w:t>Metropolitan Life Insurance Company</w:t>
      </w:r>
      <w:r>
        <w:rPr/>
        <w:t>.  The credit facility will be used to support the acquisition of GenAmerica Corp. (on which CSFB is acting as financial advisor to MetLife).</w:t>
      </w:r>
    </w:p>
    <w:p>
      <w:pPr>
        <w:pStyle w:val="Normal"/>
        <w:numPr>
          <w:ilvl w:val="0"/>
          <w:numId w:val="2"/>
        </w:numPr>
        <w:spacing w:before="120" w:after="0"/>
        <w:rPr/>
      </w:pPr>
      <w:r>
        <w:rPr/>
        <w:t xml:space="preserve">Joint Arranger on a $2.4 billion acquisition finance facility for </w:t>
      </w:r>
      <w:r>
        <w:rPr>
          <w:b/>
        </w:rPr>
        <w:t>New Holland N.V.</w:t>
      </w:r>
      <w:r>
        <w:rPr/>
        <w:t xml:space="preserve"> to finance its acquisition of Case Equipment (CSFB also served as Case’s financial advisor).</w:t>
      </w:r>
    </w:p>
    <w:p>
      <w:pPr>
        <w:pStyle w:val="Normal"/>
        <w:rPr>
          <w:b/>
        </w:rPr>
      </w:pPr>
      <w:r>
        <w:rPr>
          <w:b/>
        </w:rPr>
        <w:t>Project Finance:</w:t>
      </w:r>
    </w:p>
    <w:p>
      <w:pPr>
        <w:pStyle w:val="Normal"/>
        <w:numPr>
          <w:ilvl w:val="0"/>
          <w:numId w:val="2"/>
        </w:numPr>
        <w:spacing w:before="120" w:after="0"/>
        <w:rPr/>
      </w:pPr>
      <w:r>
        <w:rPr/>
        <w:t xml:space="preserve">Lead Arranger on $554 million credit facilities for </w:t>
      </w:r>
      <w:r>
        <w:rPr>
          <w:b/>
        </w:rPr>
        <w:t>LSP Kendall</w:t>
      </w:r>
      <w:r>
        <w:rPr/>
        <w:t xml:space="preserve">, a 1,160 MW greenfield gas-fired power plant in Illinois sponsored by LS Power.  Additionally, Lead Arranger on $85 million term loan for </w:t>
      </w:r>
      <w:r>
        <w:rPr>
          <w:b/>
        </w:rPr>
        <w:t>Granite II Holdings</w:t>
      </w:r>
      <w:r>
        <w:rPr/>
        <w:t>, holding company of LSP Kendall.  The proceeds will be used to fund the equity portion of the Kendall project.</w:t>
      </w:r>
    </w:p>
    <w:p>
      <w:pPr>
        <w:pStyle w:val="Normal"/>
        <w:numPr>
          <w:ilvl w:val="0"/>
          <w:numId w:val="2"/>
        </w:numPr>
        <w:spacing w:before="120" w:after="0"/>
        <w:rPr/>
      </w:pPr>
      <w:r>
        <w:rPr/>
        <w:t xml:space="preserve">Lead Arranger and book runner on $1 billion non-recourse bank credit facility for </w:t>
      </w:r>
      <w:r>
        <w:rPr>
          <w:b/>
        </w:rPr>
        <w:t>Calpine Construction Finance Company</w:t>
      </w:r>
      <w:r>
        <w:rPr/>
        <w:t xml:space="preserve">, a subsidiary of Calpine Corporation.  The facility will be used to finance Calpine’s domestic merchant power plant construction program (12-16 projects) over the life of the facility (four years). </w:t>
      </w:r>
    </w:p>
    <w:p>
      <w:pPr>
        <w:pStyle w:val="Normal"/>
        <w:numPr>
          <w:ilvl w:val="0"/>
          <w:numId w:val="2"/>
        </w:numPr>
        <w:spacing w:before="120" w:after="0"/>
        <w:rPr/>
      </w:pPr>
      <w:r>
        <w:rPr>
          <w:lang w:eastAsia="en-US"/>
        </w:rPr>
        <w:t xml:space="preserve">Lead Arranger on $470 million credit facilities for </w:t>
      </w:r>
      <w:r>
        <w:rPr>
          <w:b/>
          <w:lang w:eastAsia="en-US"/>
        </w:rPr>
        <w:t>Duke Energy Generating Company</w:t>
      </w:r>
      <w:r>
        <w:rPr>
          <w:lang w:eastAsia="en-US"/>
        </w:rPr>
        <w:t xml:space="preserve">, a subsidiary of Duke Energy.  The facilities will be used to finance its West Coast portfolio of assets and include a $380 term facility to refinance part of Duke’s existing investment, an $80 million capital expenditure facility and a $10 million working capital facility.  </w:t>
      </w:r>
    </w:p>
    <w:p>
      <w:pPr>
        <w:pStyle w:val="Normal"/>
        <w:numPr>
          <w:ilvl w:val="0"/>
          <w:numId w:val="2"/>
        </w:numPr>
        <w:spacing w:before="120" w:after="0"/>
        <w:rPr/>
      </w:pPr>
      <w:r>
        <w:rPr/>
        <w:t xml:space="preserve">Sole Manager of $225 million private placement for </w:t>
      </w:r>
      <w:r>
        <w:rPr>
          <w:b/>
        </w:rPr>
        <w:t>Cordova Funding Corp</w:t>
      </w:r>
      <w:r>
        <w:rPr/>
        <w:t>, a</w:t>
      </w:r>
      <w:r>
        <w:rPr>
          <w:b/>
        </w:rPr>
        <w:t xml:space="preserve"> </w:t>
      </w:r>
      <w:r>
        <w:rPr/>
        <w:t xml:space="preserve">subsidiary of MidAmerican Energy Holdings Company.  The proceeds will be used to finance the construction of a 500 MW gas-fired power plant in Illinois. </w:t>
      </w:r>
      <w:r>
        <w:rPr>
          <w:b/>
        </w:rPr>
        <w:t xml:space="preserve"> </w:t>
      </w:r>
    </w:p>
    <w:p>
      <w:pPr>
        <w:pStyle w:val="Normal"/>
        <w:numPr>
          <w:ilvl w:val="0"/>
          <w:numId w:val="2"/>
        </w:numPr>
        <w:spacing w:before="120" w:after="0"/>
        <w:rPr/>
      </w:pPr>
      <w:r>
        <w:rPr>
          <w:color w:val="000000"/>
        </w:rPr>
        <w:t xml:space="preserve">Lead Arranger ($325 million bank facility), Lead Manager ($255 million senior notes), Sole Financial Advisor and Sole Ratings Advisor on a </w:t>
      </w:r>
      <w:r>
        <w:rPr/>
        <w:t>financing package</w:t>
      </w:r>
      <w:r>
        <w:rPr>
          <w:color w:val="000000"/>
        </w:rPr>
        <w:t xml:space="preserve"> for </w:t>
      </w:r>
      <w:r>
        <w:rPr>
          <w:b/>
          <w:color w:val="000000"/>
        </w:rPr>
        <w:t>Clark Refining &amp; Marketing</w:t>
      </w:r>
      <w:r>
        <w:rPr>
          <w:color w:val="000000"/>
        </w:rPr>
        <w:t>, a crude oil refinery</w:t>
      </w:r>
      <w:r>
        <w:rPr>
          <w:b/>
          <w:color w:val="000000"/>
        </w:rPr>
        <w:t>.</w:t>
      </w:r>
    </w:p>
    <w:p>
      <w:pPr>
        <w:pStyle w:val="Normal"/>
        <w:numPr>
          <w:ilvl w:val="0"/>
          <w:numId w:val="2"/>
        </w:numPr>
        <w:spacing w:before="120" w:after="0"/>
        <w:rPr/>
      </w:pPr>
      <w:r>
        <w:rPr>
          <w:color w:val="000000"/>
        </w:rPr>
        <w:t xml:space="preserve">Sole Manager of $250 million in senior secured bonds for </w:t>
      </w:r>
      <w:r>
        <w:rPr>
          <w:b/>
          <w:color w:val="000000"/>
        </w:rPr>
        <w:t>Husky Terra Nova Finance</w:t>
      </w:r>
      <w:r>
        <w:rPr>
          <w:color w:val="000000"/>
        </w:rPr>
        <w:t>.  The proceeds were used to fund Husky Oil Co.’s share of costs of constructing the $1.4 billion Terra Nova oil field development offshore Eastern Canada.</w:t>
      </w:r>
    </w:p>
    <w:p>
      <w:pPr>
        <w:pStyle w:val="Normal"/>
        <w:numPr>
          <w:ilvl w:val="0"/>
          <w:numId w:val="2"/>
        </w:numPr>
        <w:spacing w:before="120" w:after="0"/>
        <w:rPr/>
      </w:pPr>
      <w:r>
        <w:rPr/>
        <w:t xml:space="preserve">Lead Arranger (Secured Fixed Rate Notes), Co-Lead Arranger (Floating Rate Notes) and Sole Ratings Advisor on a $472 million financing package for Argentina-based </w:t>
      </w:r>
      <w:r>
        <w:rPr>
          <w:b/>
        </w:rPr>
        <w:t>Compañía Mega</w:t>
      </w:r>
      <w:r>
        <w:rPr/>
        <w:t>, a petrochemical facility; the transaction represents the reopening of the Latin American project finance debt market since the Asian financial crisis.</w:t>
      </w:r>
    </w:p>
    <w:p>
      <w:pPr>
        <w:pStyle w:val="Footer"/>
        <w:tabs>
          <w:tab w:val="clear" w:pos="4320"/>
          <w:tab w:val="clear" w:pos="8640"/>
        </w:tabs>
        <w:spacing w:before="120" w:after="0"/>
        <w:rPr/>
      </w:pPr>
      <w:r>
        <w:rPr/>
      </w:r>
    </w:p>
    <w:p>
      <w:pPr>
        <w:pStyle w:val="Normal"/>
        <w:numPr>
          <w:ilvl w:val="0"/>
          <w:numId w:val="2"/>
        </w:numPr>
        <w:spacing w:before="120" w:after="0"/>
        <w:rPr/>
      </w:pPr>
      <w:r>
        <w:rPr/>
        <w:t xml:space="preserve">Numerous assignments </w:t>
      </w:r>
      <w:r>
        <w:rPr>
          <w:b/>
          <w:color w:val="000000"/>
        </w:rPr>
        <w:t>Edison Mission Energy</w:t>
      </w:r>
      <w:r>
        <w:rPr/>
        <w:t>, a leading independent power generation company: lead arranger on a $1.1 billion bank facility and lead manager for $600 million in senior notes.  In the UK, CSFB acted as lead arranger of a £1.2 billion bank facility to finance the Edison Mission acquisition of two power generation stations.  In New Zealand, CSFB served as lead arranger and placement agent on a $400 million combination bank financing and retail preference share issue to finance Edison Mission Energy’s acquisition of a 40 percent interest in Contact Energy</w:t>
      </w:r>
    </w:p>
    <w:p>
      <w:pPr>
        <w:pStyle w:val="Normal"/>
        <w:numPr>
          <w:ilvl w:val="0"/>
          <w:numId w:val="2"/>
        </w:numPr>
        <w:spacing w:before="120" w:after="0"/>
        <w:rPr/>
      </w:pPr>
      <w:r>
        <w:rPr>
          <w:color w:val="000000"/>
        </w:rPr>
        <w:t>Placement agent, Lead Manager and Underwriter on $167 million securitization for</w:t>
      </w:r>
      <w:r>
        <w:rPr>
          <w:b/>
          <w:color w:val="000000"/>
        </w:rPr>
        <w:t xml:space="preserve"> Gas Investments NZ, </w:t>
      </w:r>
      <w:r>
        <w:rPr>
          <w:color w:val="000000"/>
        </w:rPr>
        <w:t>which represents Natural Gas Corporation’s interest in the gas loan through a private placement of the notes in the CSFB Institutional Project Finance Program.</w:t>
      </w:r>
    </w:p>
    <w:p>
      <w:pPr>
        <w:pStyle w:val="Normal"/>
        <w:numPr>
          <w:ilvl w:val="0"/>
          <w:numId w:val="2"/>
        </w:numPr>
        <w:spacing w:before="120" w:after="0"/>
        <w:rPr/>
      </w:pPr>
      <w:r>
        <w:rPr/>
        <w:t xml:space="preserve">Lead Arranger for a $1.4 billion financing for Phase II of Enron’s </w:t>
      </w:r>
      <w:r>
        <w:rPr>
          <w:b/>
        </w:rPr>
        <w:t>Dabhol Power Project</w:t>
      </w:r>
      <w:r>
        <w:rPr/>
        <w:t>, the largest emerging-market project financing completed in 1999.</w:t>
      </w:r>
    </w:p>
    <w:p>
      <w:pPr>
        <w:pStyle w:val="Normal"/>
        <w:numPr>
          <w:ilvl w:val="0"/>
          <w:numId w:val="2"/>
        </w:numPr>
        <w:spacing w:before="120" w:after="0"/>
        <w:rPr/>
      </w:pPr>
      <w:r>
        <w:rPr>
          <w:color w:val="000000"/>
        </w:rPr>
        <w:t xml:space="preserve">Sole Placement Agent on $200 million in structured notes for </w:t>
      </w:r>
      <w:r>
        <w:rPr>
          <w:b/>
          <w:color w:val="000000"/>
        </w:rPr>
        <w:t>Pasminco</w:t>
      </w:r>
      <w:r>
        <w:rPr>
          <w:color w:val="000000"/>
        </w:rPr>
        <w:t xml:space="preserve"> through a placement of the Notes in the CSFB Institutional Project Finance Program. </w:t>
      </w:r>
    </w:p>
    <w:p>
      <w:pPr>
        <w:pStyle w:val="Normal"/>
        <w:numPr>
          <w:ilvl w:val="0"/>
          <w:numId w:val="2"/>
        </w:numPr>
        <w:spacing w:before="120" w:after="0"/>
        <w:rPr/>
      </w:pPr>
      <w:r>
        <w:rPr>
          <w:color w:val="000000"/>
        </w:rPr>
        <w:t xml:space="preserve">Lead Manager on $326 million in senior secured bonds for </w:t>
      </w:r>
      <w:r>
        <w:rPr>
          <w:b/>
          <w:color w:val="000000"/>
        </w:rPr>
        <w:t xml:space="preserve">LSP Energy Limited </w:t>
      </w:r>
      <w:r>
        <w:rPr>
          <w:color w:val="000000"/>
        </w:rPr>
        <w:t xml:space="preserve">and </w:t>
      </w:r>
      <w:r>
        <w:rPr>
          <w:b/>
          <w:color w:val="000000"/>
        </w:rPr>
        <w:t>LSP Batesville Funding Corporation</w:t>
      </w:r>
      <w:r>
        <w:rPr>
          <w:color w:val="000000"/>
        </w:rPr>
        <w:t>, subsidiaries of LS Power and Cogentrix Energy.  The proceeds were used to repay the existing loan facility, which were used to pay for developing, constructing and financing costs for Batesville Generating Facility.</w:t>
      </w:r>
    </w:p>
    <w:p>
      <w:pPr>
        <w:pStyle w:val="Normal"/>
        <w:numPr>
          <w:ilvl w:val="0"/>
          <w:numId w:val="2"/>
        </w:numPr>
        <w:spacing w:before="120" w:after="0"/>
        <w:rPr/>
      </w:pPr>
      <w:r>
        <w:rPr>
          <w:color w:val="000000"/>
        </w:rPr>
        <w:t xml:space="preserve">Co-Lead Manager on $850 million in senior secured notes for </w:t>
      </w:r>
      <w:r>
        <w:rPr>
          <w:b/>
          <w:color w:val="000000"/>
        </w:rPr>
        <w:t>East Coast Power L.L.C.</w:t>
      </w:r>
      <w:r>
        <w:rPr>
          <w:color w:val="000000"/>
        </w:rPr>
        <w:t>, indirectly owned by Enron Corp.  The proceeds were used to repay short-term borrowings incurred by Enron’s acquisition of Cogen Technologies.</w:t>
      </w:r>
    </w:p>
    <w:p>
      <w:pPr>
        <w:pStyle w:val="Normal"/>
        <w:numPr>
          <w:ilvl w:val="0"/>
          <w:numId w:val="2"/>
        </w:numPr>
        <w:spacing w:before="120" w:after="0"/>
        <w:rPr/>
      </w:pPr>
      <w:r>
        <w:rPr/>
        <w:t xml:space="preserve">Co-Lead Manager on $600 million in senior notes for </w:t>
      </w:r>
      <w:r>
        <w:rPr>
          <w:b/>
        </w:rPr>
        <w:t>Calpine</w:t>
      </w:r>
      <w:r>
        <w:rPr/>
        <w:t xml:space="preserve"> and bookrunner and lead arranger on a groundbreaking $1 billion non-recourse bank facility. The transaction is the first ever open-ended, revolving non-recourse project construction facility.</w:t>
      </w:r>
    </w:p>
    <w:p>
      <w:pPr>
        <w:pStyle w:val="Normal"/>
        <w:numPr>
          <w:ilvl w:val="0"/>
          <w:numId w:val="2"/>
        </w:numPr>
        <w:spacing w:before="120" w:after="0"/>
        <w:rPr/>
      </w:pPr>
      <w:r>
        <w:rPr/>
        <w:t xml:space="preserve">Co-Lead Manager on $700 million in senior unsecured notes for </w:t>
      </w:r>
      <w:r>
        <w:rPr>
          <w:b/>
        </w:rPr>
        <w:t>MidAmerican Funding Corp</w:t>
      </w:r>
      <w:r>
        <w:rPr/>
        <w:t>.  The proceeds were used to partially fund CalEnergy Co. Inc.’s acquisition of MidAmerican Energy Holdings Co.</w:t>
      </w:r>
    </w:p>
    <w:p>
      <w:pPr>
        <w:pStyle w:val="Normal"/>
        <w:numPr>
          <w:ilvl w:val="0"/>
          <w:numId w:val="2"/>
        </w:numPr>
        <w:spacing w:before="120" w:after="0"/>
        <w:rPr/>
      </w:pPr>
      <w:r>
        <w:rPr/>
        <w:t xml:space="preserve">Co-Lead Manager on $400 million senior secured notes for </w:t>
      </w:r>
      <w:r>
        <w:rPr>
          <w:b/>
        </w:rPr>
        <w:t>CE Generation</w:t>
      </w:r>
      <w:r>
        <w:rPr/>
        <w:t>, a new 50%-owned subsidiary of CalEnergy Co. Inc. (now MidAmerican Energy) that is a holding company for CalEnergy's U.S. qualifying facilities.</w:t>
      </w:r>
    </w:p>
    <w:p>
      <w:pPr>
        <w:pStyle w:val="Normal"/>
        <w:rPr/>
      </w:pPr>
      <w:r>
        <w:rPr/>
      </w:r>
    </w:p>
    <w:sectPr>
      <w:headerReference w:type="default" r:id="rId2"/>
      <w:headerReference w:type="first" r:id="rId3"/>
      <w:footerReference w:type="default" r:id="rId4"/>
      <w:footerReference w:type="first" r:id="rId5"/>
      <w:type w:val="nextPage"/>
      <w:pgSz w:w="12240" w:h="15840"/>
      <w:pgMar w:left="2074" w:right="1987" w:gutter="0" w:header="475" w:top="1800" w:footer="720" w:bottom="81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Fonts w:ascii="Helv" w:hAnsi="Helv" w:cs="Helv"/>
        <w:sz w:val="16"/>
      </w:rPr>
    </w:pPr>
    <w:r>
      <w:rPr>
        <w:rFonts w:cs="Helv" w:ascii="Helv" w:hAnsi="Helv"/>
        <w:sz w:val="16"/>
      </w:rPr>
      <w:fldChar w:fldCharType="begin"/>
    </w:r>
    <w:r>
      <w:rPr>
        <w:sz w:val="16"/>
        <w:rFonts w:cs="Helv" w:ascii="Helv" w:hAnsi="Helv"/>
      </w:rPr>
      <w:instrText xml:space="preserve"> KEYWORDS </w:instrText>
    </w:r>
    <w:r>
      <w:rPr>
        <w:sz w:val="16"/>
        <w:rFonts w:cs="Helv" w:ascii="Helv" w:hAnsi="Helv"/>
      </w:rPr>
      <w:fldChar w:fldCharType="separate"/>
    </w:r>
    <w:r>
      <w:rPr>
        <w:sz w:val="16"/>
        <w:rFonts w:cs="Helv" w:ascii="Helv" w:hAnsi="Helv"/>
      </w:rPr>
    </w:r>
    <w:r>
      <w:rPr>
        <w:sz w:val="16"/>
        <w:rFonts w:cs="Helv" w:ascii="Helv" w:hAnsi="Helv"/>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960" w:after="0"/>
      <w:jc w:val="end"/>
      <w:rPr/>
    </w:pPr>
    <w:r>
      <w:rPr/>
      <w:t xml:space="preserve">Page </w:t>
    </w:r>
    <w:r>
      <w:rPr/>
      <w:fldChar w:fldCharType="begin"/>
    </w:r>
    <w:r>
      <w:rPr/>
      <w:instrText xml:space="preserve"> PAGE </w:instrText>
    </w:r>
    <w:r>
      <w:rPr/>
      <w:fldChar w:fldCharType="separate"/>
    </w:r>
    <w:r>
      <w:rPr/>
      <w:t>6</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5760" w:leader="none"/>
      </w:tabs>
      <w:spacing w:before="0" w:after="0"/>
      <w:ind w:start="-1260" w:end="0"/>
      <w:rPr/>
    </w:pPr>
    <w:r>
      <w:rPr/>
      <w:drawing>
        <wp:inline distT="0" distB="0" distL="0" distR="0">
          <wp:extent cx="1503045" cy="4343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4" t="-83" r="-24" b="-83"/>
                  <a:stretch>
                    <a:fillRect/>
                  </a:stretch>
                </pic:blipFill>
                <pic:spPr bwMode="auto">
                  <a:xfrm>
                    <a:off x="0" y="0"/>
                    <a:ext cx="1503045" cy="434340"/>
                  </a:xfrm>
                  <a:prstGeom prst="rect">
                    <a:avLst/>
                  </a:prstGeom>
                  <a:noFill/>
                </pic:spPr>
              </pic:pic>
            </a:graphicData>
          </a:graphic>
        </wp:inline>
      </w:drawing>
    </w:r>
  </w:p>
  <w:p>
    <w:pPr>
      <w:pStyle w:val="Normal"/>
      <w:spacing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spacing w:before="0" w:after="0"/>
      <w:outlineLvl w:val="1"/>
    </w:pPr>
    <w:rPr>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WW8NumSt5z0">
    <w:name w:val="WW8NumSt5z0"/>
    <w:qFormat/>
    <w:rPr>
      <w:rFonts w:ascii="Symbol" w:hAnsi="Symbol" w:cs="Symbol"/>
      <w:sz w:val="28"/>
    </w:rPr>
  </w:style>
  <w:style w:type="character" w:styleId="WW8NumSt6z0">
    <w:name w:val="WW8NumSt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rFonts w:ascii="Arial" w:hAnsi="Arial" w:cs="Arial"/>
    </w:rPr>
  </w:style>
  <w:style w:type="paragraph" w:styleId="banner">
    <w:name w:val="banner"/>
    <w:basedOn w:val="Normal"/>
    <w:qFormat/>
    <w:pPr>
      <w:spacing w:before="0" w:after="0"/>
    </w:pPr>
    <w:rPr>
      <w:i/>
      <w:sz w:val="72"/>
    </w:rPr>
  </w:style>
  <w:style w:type="paragraph" w:styleId="address">
    <w:name w:val="address"/>
    <w:basedOn w:val="Normal"/>
    <w:qFormat/>
    <w:pPr>
      <w:spacing w:before="0" w:after="0"/>
      <w:jc w:val="end"/>
    </w:pPr>
    <w:rPr>
      <w:sz w:val="16"/>
    </w:rPr>
  </w:style>
  <w:style w:type="paragraph" w:styleId="headline1">
    <w:name w:val="headline1"/>
    <w:basedOn w:val="Normal"/>
    <w:qFormat/>
    <w:pPr>
      <w:spacing w:before="0" w:after="0"/>
      <w:ind w:hanging="0" w:start="1440" w:end="1440"/>
      <w:jc w:val="center"/>
    </w:pPr>
    <w:rPr>
      <w:b/>
      <w:sz w:val="24"/>
    </w:rPr>
  </w:style>
  <w:style w:type="paragraph" w:styleId="headline2">
    <w:name w:val="headline2"/>
    <w:basedOn w:val="Normal"/>
    <w:qFormat/>
    <w:pPr>
      <w:spacing w:before="0" w:after="0"/>
    </w:pPr>
    <w:rPr>
      <w:b/>
      <w:caps/>
      <w:sz w:val="24"/>
    </w:rPr>
  </w:style>
  <w:style w:type="paragraph" w:styleId="release">
    <w:name w:val="release"/>
    <w:basedOn w:val="Normal"/>
    <w:qFormat/>
    <w:pPr>
      <w:spacing w:before="0" w:after="480"/>
      <w:ind w:hanging="0" w:start="4997" w:end="0"/>
    </w:pPr>
    <w:rPr>
      <w:rFonts w:ascii="Arial" w:hAnsi="Arial" w:cs="Arial"/>
      <w:b/>
    </w:rPr>
  </w:style>
  <w:style w:type="paragraph" w:styleId="contact">
    <w:name w:val="contact"/>
    <w:basedOn w:val="Normal"/>
    <w:qFormat/>
    <w:pPr>
      <w:spacing w:before="360" w:after="0"/>
      <w:ind w:hanging="1440" w:start="1440" w:end="0"/>
    </w:pPr>
    <w:rPr/>
  </w:style>
  <w:style w:type="paragraph" w:styleId="address2">
    <w:name w:val="address2"/>
    <w:basedOn w:val="address"/>
    <w:qFormat/>
    <w:pPr>
      <w:spacing w:before="0" w:after="480"/>
    </w:pPr>
    <w:rPr/>
  </w:style>
  <w:style w:type="paragraph" w:styleId="address1">
    <w:name w:val="address1"/>
    <w:basedOn w:val="address"/>
    <w:qFormat/>
    <w:pPr/>
    <w:rPr/>
  </w:style>
  <w:style w:type="paragraph" w:styleId="Subhead">
    <w:name w:val="Subhead"/>
    <w:basedOn w:val="Normal"/>
    <w:qFormat/>
    <w:pPr/>
    <w:rPr/>
  </w:style>
  <w:style w:type="paragraph" w:styleId="A1b">
    <w:name w:val="A:1:b"/>
    <w:basedOn w:val="Normal"/>
    <w:qFormat/>
    <w:pPr>
      <w:spacing w:before="100" w:after="100"/>
    </w:pPr>
    <w:rPr>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Newsa.dot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2000-03-24T00:19:00Z</dcterms:created>
  <dc:creator>admin</dc:creator>
  <dc:description/>
  <dc:language>en-CA</dc:language>
  <cp:lastModifiedBy>Bryan Kimzey</cp:lastModifiedBy>
  <cp:lastPrinted>1999-06-29T10:36:00Z</cp:lastPrinted>
  <dcterms:modified xsi:type="dcterms:W3CDTF">2000-03-24T00:19:00Z</dcterms:modified>
  <cp:revision>2</cp:revision>
  <dc:subject/>
  <dc:title>News Release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d Materials_AuthorID">
    <vt:lpwstr>505</vt:lpwstr>
  </property>
  <property fmtid="{D5CDD505-2E9C-101B-9397-08002B2CF9AE}" pid="3" name="Standard Materials_FileName">
    <vt:lpwstr>982370531</vt:lpwstr>
  </property>
</Properties>
</file>