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ISDA 1992 MASTER AGREEMENTS</w:t>
        <w:br/>
        <w:t>(MULTICURRENCY – CROSS BORDER)</w:t>
        <w:br/>
        <w:t>PROTOCOL</w:t>
      </w:r>
    </w:p>
    <w:p>
      <w:pPr>
        <w:pStyle w:val="Heading"/>
        <w:rPr>
          <w:color w:val="000000"/>
        </w:rPr>
      </w:pPr>
      <w:r>
        <w:rPr>
          <w:color w:val="000000"/>
        </w:rPr>
        <w:t>ANNEX 1</w:t>
      </w:r>
    </w:p>
    <w:p>
      <w:pPr>
        <w:pStyle w:val="Subtitle"/>
        <w:rPr/>
      </w:pPr>
      <w:r>
        <w:rPr/>
        <w:t>SECTION 2(a)(iii)</w:t>
      </w:r>
    </w:p>
    <w:p>
      <w:pPr>
        <w:pStyle w:val="BodyTextFirstIndent"/>
        <w:rPr/>
      </w:pPr>
      <w:r>
        <w:rPr/>
        <w:t>The terms of Section 2(a)(iii) of each ISDA Master Agreement are amended in their entirety as follows  (with all other provisions of Section 2 of the ISDA Master Agreement remaining in full force and effect):</w:t>
      </w:r>
    </w:p>
    <w:p>
      <w:pPr>
        <w:sectPr>
          <w:headerReference w:type="default" r:id="rId2"/>
          <w:headerReference w:type="first" r:id="rId3"/>
          <w:footerReference w:type="default" r:id="rId4"/>
          <w:footerReference w:type="first" r:id="rId5"/>
          <w:type w:val="nextPage"/>
          <w:pgSz w:w="12240" w:h="15840"/>
          <w:pgMar w:left="1440" w:right="1440" w:gutter="0" w:header="720" w:top="1800" w:footer="1080" w:bottom="1440"/>
          <w:pgNumType w:fmt="decimal"/>
          <w:formProt w:val="false"/>
          <w:titlePg/>
          <w:textDirection w:val="lrTb"/>
          <w:docGrid w:type="default" w:linePitch="360" w:charSpace="0"/>
        </w:sectPr>
        <w:pStyle w:val="BlockText"/>
        <w:rPr/>
      </w:pPr>
      <w:r>
        <w:rPr/>
        <w:t xml:space="preserve">(iii)  Each obligation of each party under Section 2(a)(i) is subject to (1) the condition precedent that no Event of Default or Potential Event of Default with respect to the other party has occurred and is continuing, (2) with respect to all Affected Transactions, the condition precedent that no Illegality, Force Majeure Event or Additional Termination Event has occurred and is continuing with respect to which the other party is an Affected Party, (3) the condition precedent that no Early Termination Date in respect of the relevant Transaction has occurred or been effectively designated and (4) each other applicable condition precedent specified in this Agreement. </w:t>
      </w:r>
    </w:p>
    <w:p>
      <w:pPr>
        <w:pStyle w:val="Heading"/>
        <w:rPr/>
      </w:pPr>
      <w:r>
        <w:rPr>
          <w:color w:val="000000"/>
        </w:rPr>
        <w:t>ISDA 1992 MASTER AGREEMENTS</w:t>
        <w:br/>
      </w:r>
      <w:r>
        <w:rPr/>
        <w:t>(MULTICURRENCY – CROSS BORDER)</w:t>
        <w:br/>
      </w:r>
      <w:r>
        <w:rPr>
          <w:color w:val="000000"/>
        </w:rPr>
        <w:t>PROTOCOL</w:t>
      </w:r>
    </w:p>
    <w:p>
      <w:pPr>
        <w:pStyle w:val="Subtitle"/>
        <w:rPr/>
      </w:pPr>
      <w:r>
        <w:rPr/>
        <w:t>ANNEX 2</w:t>
      </w:r>
    </w:p>
    <w:p>
      <w:pPr>
        <w:pStyle w:val="Subtitle"/>
        <w:rPr/>
      </w:pPr>
      <w:r>
        <w:rPr/>
        <w:t>SECTION 5(a)(i)</w:t>
      </w:r>
    </w:p>
    <w:p>
      <w:pPr>
        <w:pStyle w:val="BodyTextFirstIndent"/>
        <w:rPr/>
      </w:pPr>
      <w:r>
        <w:rPr/>
        <w:t>The terms of Section 5(a)(i) of each ISDA Master Agreement are amended in their entirety as follows (with all other provisions of Section 5 of the ISDA Master Agreement remaining in full force and effect):</w:t>
      </w:r>
    </w:p>
    <w:p>
      <w:pPr>
        <w:sectPr>
          <w:headerReference w:type="default" r:id="rId6"/>
          <w:headerReference w:type="first" r:id="rId7"/>
          <w:footerReference w:type="default" r:id="rId8"/>
          <w:footerReference w:type="first" r:id="rId9"/>
          <w:type w:val="nextPage"/>
          <w:pgSz w:w="12240" w:h="15840"/>
          <w:pgMar w:left="1440" w:right="1440" w:gutter="0" w:header="720" w:top="1800" w:footer="1080" w:bottom="1440"/>
          <w:pgNumType w:fmt="decimal"/>
          <w:formProt w:val="false"/>
          <w:titlePg/>
          <w:textDirection w:val="lrTb"/>
          <w:docGrid w:type="default" w:linePitch="360" w:charSpace="0"/>
        </w:sectPr>
        <w:pStyle w:val="BodyText"/>
        <w:rPr/>
      </w:pPr>
      <w:r>
        <w:rPr/>
        <w:t xml:space="preserve">(i) </w:t>
      </w:r>
      <w:r>
        <w:rPr>
          <w:i/>
        </w:rPr>
        <w:t xml:space="preserve"> </w:t>
      </w:r>
      <w:r>
        <w:rPr>
          <w:b/>
          <w:i/>
        </w:rPr>
        <w:t>Failure to Pay or Deliver.</w:t>
      </w:r>
      <w:r>
        <w:rPr>
          <w:b/>
        </w:rPr>
        <w:t xml:space="preserve"> </w:t>
      </w:r>
      <w:r>
        <w:rPr/>
        <w:t xml:space="preserve"> Failure by the party to make, when due, any payment under this Agreement or delivery under Section 2(a)(i) or 2(e) required to be made by it if such failure is not remedied (1) in the case of any such payment, on or before the first Local Business Day after notice of such failure is given to the party; and (2) in the case of any such delivery, on or before the day that is the first Local Business Day on which delivery could be accomplished in accordance with customary market practice after notice of such failure is given to the party;</w:t>
      </w:r>
    </w:p>
    <w:p>
      <w:pPr>
        <w:pStyle w:val="Heading"/>
        <w:rPr/>
      </w:pPr>
      <w:r>
        <w:rPr/>
        <w:t>ISDA 1992 MASTER AGREEMENTS</w:t>
        <w:br/>
        <w:t>(MULTICURRENCY – CROSS BORDER)</w:t>
        <w:br/>
        <w:t>PROTOCOL</w:t>
      </w:r>
    </w:p>
    <w:p>
      <w:pPr>
        <w:pStyle w:val="Subtitle"/>
        <w:rPr/>
      </w:pPr>
      <w:r>
        <w:rPr/>
        <w:t>ANNEX 3</w:t>
      </w:r>
    </w:p>
    <w:p>
      <w:pPr>
        <w:pStyle w:val="Subtitle"/>
        <w:rPr/>
      </w:pPr>
      <w:r>
        <w:rPr/>
        <w:t>SECTION 5(a)(v)</w:t>
      </w:r>
    </w:p>
    <w:p>
      <w:pPr>
        <w:pStyle w:val="BodyTextFirstIndent"/>
        <w:rPr/>
      </w:pPr>
      <w:r>
        <w:rPr/>
        <w:t>The terms of Section 5(a)(v) of each ISDA Master Agreement are amended in their entirety as follows (with all other provisions of Section 5 of the ISDA Master Agreement remaining in full force and effect):</w:t>
      </w:r>
    </w:p>
    <w:p>
      <w:pPr>
        <w:sectPr>
          <w:headerReference w:type="default" r:id="rId10"/>
          <w:headerReference w:type="first" r:id="rId11"/>
          <w:footerReference w:type="default" r:id="rId12"/>
          <w:footerReference w:type="first" r:id="rId13"/>
          <w:type w:val="nextPage"/>
          <w:pgSz w:w="12240" w:h="15840"/>
          <w:pgMar w:left="1440" w:right="1440" w:gutter="0" w:header="720" w:top="1800" w:footer="1080" w:bottom="1440"/>
          <w:pgNumType w:fmt="decimal"/>
          <w:formProt w:val="false"/>
          <w:titlePg/>
          <w:textDirection w:val="lrTb"/>
          <w:docGrid w:type="default" w:linePitch="360" w:charSpace="0"/>
        </w:sectPr>
        <w:pStyle w:val="Normal"/>
        <w:ind w:start="0" w:end="0"/>
        <w:rPr/>
      </w:pPr>
      <w:r>
        <w:rPr>
          <w:color w:val="000000"/>
        </w:rPr>
        <w:t xml:space="preserve">(v)  </w:t>
      </w:r>
      <w:r>
        <w:rPr>
          <w:b/>
          <w:i/>
          <w:color w:val="000000"/>
        </w:rPr>
        <w:t>Default under Specified Transaction.</w:t>
      </w:r>
      <w:r>
        <w:rPr>
          <w:color w:val="000000"/>
        </w:rPr>
        <w:t xml:space="preserve">  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one Local Business Day if there is no applicable notice requirement or grace period), and, in the case of a failure to deliver, such failure constitutes an event of default with respect to all transactions included under the documentation applicable to such Specified Transaction or (3) disaffirms, disclaims, repudiates or rejects, in whole or in part, a Specified Transaction (or such action is taken by any person or entity appointed or empowered to operate it or act on its behalf);</w:t>
      </w:r>
    </w:p>
    <w:p>
      <w:pPr>
        <w:pStyle w:val="Heading"/>
        <w:rPr/>
      </w:pPr>
      <w:r>
        <w:rPr/>
        <w:t>ISDA 1992 MASTER AGREEMENTS</w:t>
        <w:br/>
        <w:t>(MULTICURRENCY – CROSS BORDER)</w:t>
        <w:br/>
      </w:r>
      <w:r>
        <w:rPr>
          <w:color w:val="000000"/>
        </w:rPr>
        <w:t>PROTOCOL</w:t>
      </w:r>
    </w:p>
    <w:p>
      <w:pPr>
        <w:pStyle w:val="Subtitle"/>
        <w:rPr/>
      </w:pPr>
      <w:r>
        <w:rPr/>
        <w:t>ANNEX 4</w:t>
      </w:r>
    </w:p>
    <w:p>
      <w:pPr>
        <w:pStyle w:val="Subtitle"/>
        <w:rPr/>
      </w:pPr>
      <w:r>
        <w:rPr/>
        <w:t>SECTION 5(a)(vii)</w:t>
      </w:r>
    </w:p>
    <w:p>
      <w:pPr>
        <w:pStyle w:val="BodyTextFirstIndent"/>
        <w:rPr/>
      </w:pPr>
      <w:r>
        <w:rPr/>
        <w:t>The terms of Section 5(a)(vii) of each ISDA Master Agreement are amended in their entirety as follows (with all other provisions of Section 5 of the ISDA Master Agreement remaining in full force and effect):</w:t>
      </w:r>
    </w:p>
    <w:p>
      <w:pPr>
        <w:pStyle w:val="BodyText"/>
        <w:rPr/>
      </w:pPr>
      <w:r>
        <w:rPr/>
        <w:t xml:space="preserve">(vii)  </w:t>
      </w:r>
      <w:r>
        <w:rPr>
          <w:b/>
          <w:i/>
        </w:rPr>
        <w:t>Bankruptcy.</w:t>
      </w:r>
      <w:r>
        <w:rPr>
          <w:i/>
        </w:rPr>
        <w:t xml:space="preserve">  </w:t>
      </w:r>
      <w:r>
        <w:rPr/>
        <w:t>The party, any Credit Support Provider of such party or any applicable Specified Entity of such party:—</w:t>
      </w:r>
    </w:p>
    <w:p>
      <w:pPr>
        <w:pStyle w:val="BlockText"/>
        <w:rPr/>
      </w:pPr>
      <w:r>
        <w:rPr/>
        <w:t>(1) 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(4)(A) institutes, or has instituted against it by a regulator, supervisor or any similar official with primary insolvency or rehabilitative jurisdiction over it in the jurisdiction of its incorporation or organization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official, or (B) has instituted against it a proceeding seeking a judgment of insolvency or bankruptcy or any other relief under any bankruptcy or insolvency law or other similar law affecting creditors' rights, or a petition is presented for its winding-up or liquidation, and such proceeding or petition is instituted or presented by a person or entity not described in clause (A) and either (I) results in a judgment of insolvency or bankruptcy or the entry of an order for relief or the making of an order for its winding-up or liquidation or (II) is not dismissed, discharged, stayed  or restrained in each case within 15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r>
        <w:br w:type="page"/>
      </w:r>
    </w:p>
    <w:p>
      <w:pPr>
        <w:pStyle w:val="Heading"/>
        <w:rPr/>
      </w:pPr>
      <w:r>
        <w:rPr/>
        <w:t>ISDA 1992 MASTER AGREEMENTS</w:t>
        <w:br/>
        <w:t>(MULTICURRENCY – CROSS BORDER)</w:t>
        <w:br/>
        <w:t>PROTOCOL</w:t>
      </w:r>
    </w:p>
    <w:p>
      <w:pPr>
        <w:pStyle w:val="Subtitle"/>
        <w:rPr/>
      </w:pPr>
      <w:r>
        <w:rPr/>
        <w:t>ANNEX 5</w:t>
      </w:r>
    </w:p>
    <w:p>
      <w:pPr>
        <w:pStyle w:val="Subtitle"/>
        <w:rPr/>
      </w:pPr>
      <w:r>
        <w:rPr/>
        <w:t>SECTION 5(b)(iv)</w:t>
      </w:r>
    </w:p>
    <w:p>
      <w:pPr>
        <w:pStyle w:val="BodyTextFirstIndent"/>
        <w:rPr/>
      </w:pPr>
      <w:r>
        <w:rPr/>
        <w:t>The terms of Section 5(b)(iv) of each ISDA Master Agreement are amended in their entirety as follows (with all other provisions of Section 5 of the ISDA Master Agreement remaining in full force and effect):</w:t>
      </w:r>
    </w:p>
    <w:p>
      <w:pPr>
        <w:pStyle w:val="BodyText"/>
        <w:rPr/>
      </w:pPr>
      <w:r>
        <w:rPr/>
        <w:t xml:space="preserve">(iv)  </w:t>
      </w:r>
      <w:r>
        <w:rPr>
          <w:b/>
          <w:i/>
        </w:rPr>
        <w:t>Credit Event Upon Merger.</w:t>
      </w:r>
      <w:r>
        <w:rPr/>
        <w:t xml:space="preserve">  If "Credit Event Upon Merger" is specified in the Schedule as applying to the party and a Designated Event (as defined below) occurs with respect to such party, any Credit Support Provider of such party or any applicable Specified Entity of such party (in each case, "X") and such Designated Event does not constitute a Merger Without Assumption under Section 5(a)(viii) and the creditworthiness of X or, if applicable, the successor, surviving or transferee entity of X, after taking into account any applicable Credit Support Document, is materially weaker than X immediately prior to the occurrence of such Designated Event (and, in any such event, such party or its successor, surviving or transferee entity, as appropriate, will be the Affected Party).  A "Designated Event" with respect to X means that, after the date of this Agreement:</w:t>
      </w:r>
    </w:p>
    <w:p>
      <w:pPr>
        <w:pStyle w:val="BodyTextFirstIndent2"/>
        <w:rPr/>
      </w:pPr>
      <w:r>
        <w:rPr/>
        <w:t>(1) X consolidates or amalgamates with, or merges with or into, or transfers all or substantially all its assets (or any substantial part of the assets comprising the business conducted by X as of the date of this Agreement) to another entity;</w:t>
      </w:r>
    </w:p>
    <w:p>
      <w:pPr>
        <w:pStyle w:val="BodyTextFirstIndent2"/>
        <w:rPr>
          <w:color w:val="000000"/>
        </w:rPr>
      </w:pPr>
      <w:r>
        <w:rPr>
          <w:color w:val="000000"/>
        </w:rPr>
        <w:t>(2) any person, related group of persons or entity acquires directly or indirectly the beneficial ownership of (A) equity securities having the power to elect a majority of the board of directors (or its equivalent) of X or (B) any other ownership interest enabling it to exercise control of (X); or</w:t>
      </w:r>
    </w:p>
    <w:p>
      <w:pPr>
        <w:sectPr>
          <w:headerReference w:type="default" r:id="rId14"/>
          <w:headerReference w:type="first" r:id="rId15"/>
          <w:footerReference w:type="default" r:id="rId16"/>
          <w:footerReference w:type="first" r:id="rId17"/>
          <w:type w:val="nextPage"/>
          <w:pgSz w:w="12240" w:h="15840"/>
          <w:pgMar w:left="1440" w:right="1440" w:gutter="0" w:header="720" w:top="1800" w:footer="1080" w:bottom="1440"/>
          <w:pgNumType w:fmt="decimal"/>
          <w:formProt w:val="false"/>
          <w:titlePg/>
          <w:textDirection w:val="lrTb"/>
          <w:docGrid w:type="default" w:linePitch="360" w:charSpace="0"/>
        </w:sectPr>
        <w:pStyle w:val="BodyTextFirstIndent2"/>
        <w:rPr>
          <w:color w:val="000000"/>
        </w:rPr>
      </w:pPr>
      <w:r>
        <w:rPr>
          <w:color w:val="000000"/>
        </w:rPr>
        <w:t>(3) X effects any substantial change in its capital structure by means of the issuance, incurrence or guarantee of debt or the issuance of (A) preferred stock or other securities convertible into, or exchangeable for debt or preferred stock  or (B) any other form of ownership interest;</w:t>
      </w:r>
    </w:p>
    <w:p>
      <w:pPr>
        <w:pStyle w:val="Heading"/>
        <w:rPr/>
      </w:pPr>
      <w:r>
        <w:rPr/>
        <w:t>ISDA 1992 MASTER AGREEMENTS</w:t>
        <w:br/>
        <w:t>(MULTICURRENCY – CROSS BORDER)</w:t>
        <w:br/>
      </w:r>
      <w:r>
        <w:rPr>
          <w:color w:val="000000"/>
        </w:rPr>
        <w:t>PROTOCOL</w:t>
      </w:r>
    </w:p>
    <w:p>
      <w:pPr>
        <w:pStyle w:val="Subtitle"/>
        <w:rPr/>
      </w:pPr>
      <w:r>
        <w:rPr/>
        <w:t>ANNEX 6</w:t>
      </w:r>
    </w:p>
    <w:p>
      <w:pPr>
        <w:pStyle w:val="Subtitle"/>
        <w:rPr/>
      </w:pPr>
      <w:r>
        <w:rPr/>
        <w:t>NOTICES</w:t>
      </w:r>
    </w:p>
    <w:p>
      <w:pPr>
        <w:pStyle w:val="Subtitle"/>
        <w:rPr/>
      </w:pPr>
      <w:r>
        <w:rPr/>
        <w:t>Section 12(a)</w:t>
      </w:r>
    </w:p>
    <w:p>
      <w:pPr>
        <w:pStyle w:val="BodyTextFirstIndent"/>
        <w:rPr/>
      </w:pPr>
      <w:r>
        <w:rPr/>
        <w:t>The terms of Section 12(a) of each ISDA Master Agreement are amended in their entirety as follows (with all other provisions of Section 12 remaining in full force and effect):</w:t>
      </w:r>
    </w:p>
    <w:p>
      <w:pPr>
        <w:pStyle w:val="BodyText"/>
        <w:rPr/>
      </w:pPr>
      <w:r>
        <w:rPr/>
        <w:t>(a)</w:t>
        <w:tab/>
      </w:r>
      <w:r>
        <w:rPr>
          <w:b/>
          <w:i/>
        </w:rPr>
        <w:t>Effectiveness.</w:t>
      </w:r>
      <w:r>
        <w:rPr>
          <w:b/>
        </w:rPr>
        <w:t xml:space="preserve"> </w:t>
      </w:r>
      <w:r>
        <w:rPr/>
        <w:t xml:space="preserve"> Any notice or other communication in respect of this Agreement may be given in any manner set forth below</w:t>
      </w:r>
      <w:r>
        <w:rPr>
          <w:b/>
        </w:rPr>
        <w:t xml:space="preserve"> </w:t>
      </w:r>
      <w:r>
        <w:rPr/>
        <w:t>to the address or number or in accordance with the e-mail or electronic messaging system details provided (see the Schedule) and will be deemed effective as indicated:—</w:t>
      </w:r>
    </w:p>
    <w:p>
      <w:pPr>
        <w:pStyle w:val="BodyTextIndent"/>
        <w:rPr/>
      </w:pPr>
      <w:r>
        <w:rPr/>
        <w:t>(i)   if in writing and delivered in person or by courier, on the date it is delivered;</w:t>
      </w:r>
    </w:p>
    <w:p>
      <w:pPr>
        <w:pStyle w:val="BodyTextIndent"/>
        <w:rPr/>
      </w:pPr>
      <w:r>
        <w:rPr/>
        <w:t>(ii)  if sent by telex, on the date the recipient's answerback is received;</w:t>
      </w:r>
    </w:p>
    <w:p>
      <w:pPr>
        <w:pStyle w:val="BodyTextIndent"/>
        <w:rPr/>
      </w:pPr>
      <w:r>
        <w:rPr/>
        <w:t>(iii) 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BodyTextIndent"/>
        <w:rPr/>
      </w:pPr>
      <w:r>
        <w:rPr/>
        <w:t xml:space="preserve">(iv) if sent by certified or registered mail (airmail, if overseas) or the equivalent (return receipt requested), on the date that mail is delivered or its delivery is attempted; </w:t>
      </w:r>
    </w:p>
    <w:p>
      <w:pPr>
        <w:pStyle w:val="BodyTextIndent"/>
        <w:rPr/>
      </w:pPr>
      <w:r>
        <w:rPr/>
        <w:t>(v)  if sent by electronic messaging system, on the date that electronic message is received; or</w:t>
      </w:r>
    </w:p>
    <w:p>
      <w:pPr>
        <w:pStyle w:val="BodyTextIndent"/>
        <w:rPr/>
      </w:pPr>
      <w:r>
        <w:rPr/>
        <w:t>(vi) if sent by e-mail, on the date that e-mail is delivered,</w:t>
      </w:r>
    </w:p>
    <w:p>
      <w:pPr>
        <w:sectPr>
          <w:headerReference w:type="default" r:id="rId18"/>
          <w:headerReference w:type="first" r:id="rId19"/>
          <w:footerReference w:type="default" r:id="rId20"/>
          <w:footerReference w:type="first" r:id="rId21"/>
          <w:type w:val="nextPage"/>
          <w:pgSz w:w="12240" w:h="15840"/>
          <w:pgMar w:left="1440" w:right="1440" w:gutter="0" w:header="720" w:top="1800" w:footer="1080" w:bottom="1440"/>
          <w:pgNumType w:fmt="decimal"/>
          <w:formProt w:val="false"/>
          <w:titlePg/>
          <w:textDirection w:val="lrTb"/>
          <w:docGrid w:type="default" w:linePitch="360" w:charSpace="0"/>
        </w:sectPr>
        <w:pStyle w:val="BodyText"/>
        <w:rPr/>
      </w:pPr>
      <w:r>
        <w:rPr/>
        <w:t>unless the date of the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Heading"/>
        <w:rPr/>
      </w:pPr>
      <w:r>
        <w:rPr/>
        <w:t>ISDA 1992 MASTER AGREEMENTS</w:t>
        <w:br/>
        <w:t>(MULTICURRENCY – CROSS BORDER)</w:t>
        <w:br/>
      </w:r>
      <w:r>
        <w:rPr>
          <w:color w:val="000000"/>
        </w:rPr>
        <w:t>PROTOCOL</w:t>
      </w:r>
    </w:p>
    <w:p>
      <w:pPr>
        <w:pStyle w:val="Subtitle"/>
        <w:rPr/>
      </w:pPr>
      <w:r>
        <w:rPr/>
        <w:t>ANNEX 7</w:t>
      </w:r>
    </w:p>
    <w:p>
      <w:pPr>
        <w:pStyle w:val="Subtitle"/>
        <w:rPr/>
      </w:pPr>
      <w:r>
        <w:rPr/>
        <w:t>DEFINITION OF "SPECIFIED TRANSACTION"</w:t>
      </w:r>
    </w:p>
    <w:p>
      <w:pPr>
        <w:pStyle w:val="BodyTextFirstIndent"/>
        <w:rPr/>
      </w:pPr>
      <w:r>
        <w:rPr/>
        <w:t>The term "Specified Transaction" in Section 14 of each ISDA Master Agreement is amended in its entirety as follows:</w:t>
      </w:r>
    </w:p>
    <w:p>
      <w:pPr>
        <w:pStyle w:val="BodyText"/>
        <w:spacing w:before="0" w:after="240"/>
        <w:rPr/>
      </w:pPr>
      <w:r>
        <w:rPr>
          <w:b/>
          <w:i/>
        </w:rPr>
        <w:t>"Specified Transaction"</w:t>
      </w:r>
      <w:r>
        <w:rPr/>
        <w:t xml:space="preserve"> 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(i) which is a</w:t>
      </w:r>
      <w:r>
        <w:rPr>
          <w:b/>
        </w:rPr>
        <w:t xml:space="preserve"> </w:t>
      </w:r>
      <w:r>
        <w:rPr/>
        <w:t>rate swap transaction, swap option,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credit protection transaction, credit swap, credit default swap, credit default option, total return swap, credit spread transaction, repurchase transaction, reverse repurchase transaction, buy/sell-back transaction, securities lending transaction, or forward purchase or sale of a security, commodity or other financial instrument or interest (including any option with respect to any of these transactions) or (ii) which is a type of transaction that is similar to any transaction referred to in clause (i) that is currently, or in the future becomes, recurrently entered into in the financial markets (including terms and conditions incorporated by reference in such agreement) and that is a forward, swap, future, option or other derivative on one or more rates, currencies, commodities, equity securities or other equity instruments, debt securities or other debt instruments, or economic indices or measures of economic risk or value, (b) any combination of these transactions and (c) any other transaction identified as a Specified Transaction in this Agreement or the relevant confirmation.</w:t>
      </w:r>
    </w:p>
    <w:sectPr>
      <w:headerReference w:type="default" r:id="rId22"/>
      <w:headerReference w:type="first" r:id="rId23"/>
      <w:footerReference w:type="default" r:id="rId24"/>
      <w:footerReference w:type="first" r:id="rId25"/>
      <w:type w:val="nextPage"/>
      <w:pgSz w:w="12240" w:h="15840"/>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0" w:end="0"/>
      <w:jc w:val="end"/>
      <w:rPr>
        <w:lang w:val="en-GB"/>
      </w:rPr>
    </w:pPr>
    <w:r>
      <w:rPr>
        <w:lang w:val="en-GB"/>
      </w:rPr>
      <w:t>NY:13777.2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DocRef" w:val="NY:13777.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44" w:end="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0" w:after="240"/>
      <w:ind w:hanging="0" w:start="0" w:end="0"/>
      <w:outlineLvl w:val="0"/>
    </w:pPr>
    <w:rPr>
      <w:b/>
      <w:caps/>
      <w:kern w:val="2"/>
      <w:lang w:val="en-GB"/>
    </w:rPr>
  </w:style>
  <w:style w:type="paragraph" w:styleId="Heading2">
    <w:name w:val="heading 2"/>
    <w:basedOn w:val="Normal"/>
    <w:next w:val="Normal"/>
    <w:qFormat/>
    <w:pPr>
      <w:keepNext w:val="true"/>
      <w:numPr>
        <w:ilvl w:val="1"/>
        <w:numId w:val="1"/>
      </w:numPr>
      <w:spacing w:before="0" w:after="240"/>
      <w:ind w:hanging="0" w:start="0" w:end="0"/>
      <w:outlineLvl w:val="1"/>
    </w:pPr>
    <w:rPr>
      <w:kern w:val="2"/>
      <w:lang w:val="en-GB"/>
    </w:rPr>
  </w:style>
  <w:style w:type="paragraph" w:styleId="Heading3">
    <w:name w:val="heading 3"/>
    <w:basedOn w:val="Normal"/>
    <w:next w:val="Normal"/>
    <w:qFormat/>
    <w:pPr>
      <w:keepNext w:val="true"/>
      <w:numPr>
        <w:ilvl w:val="2"/>
        <w:numId w:val="1"/>
      </w:numPr>
      <w:spacing w:before="0" w:after="240"/>
      <w:ind w:hanging="0" w:start="0" w:end="0"/>
      <w:outlineLvl w:val="2"/>
    </w:pPr>
    <w:rPr>
      <w:kern w:val="2"/>
      <w:lang w:val="en-GB"/>
    </w:rPr>
  </w:style>
  <w:style w:type="paragraph" w:styleId="Heading4">
    <w:name w:val="heading 4"/>
    <w:basedOn w:val="Normal"/>
    <w:next w:val="Normal"/>
    <w:qFormat/>
    <w:pPr>
      <w:keepNext w:val="true"/>
      <w:numPr>
        <w:ilvl w:val="3"/>
        <w:numId w:val="1"/>
      </w:numPr>
      <w:spacing w:before="0" w:after="240"/>
      <w:ind w:hanging="0" w:start="0" w:end="0"/>
      <w:outlineLvl w:val="3"/>
    </w:pPr>
    <w:rPr>
      <w:kern w:val="2"/>
      <w:lang w:val="en-GB"/>
    </w:rPr>
  </w:style>
  <w:style w:type="paragraph" w:styleId="Heading5">
    <w:name w:val="heading 5"/>
    <w:basedOn w:val="Normal"/>
    <w:next w:val="Normal"/>
    <w:qFormat/>
    <w:pPr>
      <w:keepNext w:val="true"/>
      <w:numPr>
        <w:ilvl w:val="4"/>
        <w:numId w:val="1"/>
      </w:numPr>
      <w:spacing w:before="0" w:after="240"/>
      <w:ind w:hanging="0" w:start="0" w:end="0"/>
      <w:outlineLvl w:val="4"/>
    </w:pPr>
    <w:rPr>
      <w:kern w:val="2"/>
      <w:lang w:val="en-GB"/>
    </w:rPr>
  </w:style>
  <w:style w:type="paragraph" w:styleId="Heading6">
    <w:name w:val="heading 6"/>
    <w:basedOn w:val="Normal"/>
    <w:next w:val="Normal"/>
    <w:qFormat/>
    <w:pPr>
      <w:keepNext w:val="true"/>
      <w:numPr>
        <w:ilvl w:val="5"/>
        <w:numId w:val="1"/>
      </w:numPr>
      <w:spacing w:before="240" w:after="60"/>
      <w:ind w:hanging="0" w:start="0" w:end="0"/>
      <w:outlineLvl w:val="5"/>
    </w:pPr>
    <w:rPr>
      <w:kern w:val="2"/>
      <w:lang w:val="en-GB"/>
    </w:rPr>
  </w:style>
  <w:style w:type="paragraph" w:styleId="Heading7">
    <w:name w:val="heading 7"/>
    <w:basedOn w:val="Normal"/>
    <w:next w:val="Normal"/>
    <w:qFormat/>
    <w:pPr>
      <w:keepNext w:val="true"/>
      <w:numPr>
        <w:ilvl w:val="6"/>
        <w:numId w:val="1"/>
      </w:numPr>
      <w:spacing w:before="240" w:after="60"/>
      <w:ind w:hanging="0" w:start="0" w:end="0"/>
      <w:outlineLvl w:val="6"/>
    </w:pPr>
    <w:rPr>
      <w:kern w:val="2"/>
      <w:lang w:val="en-GB"/>
    </w:rPr>
  </w:style>
  <w:style w:type="paragraph" w:styleId="Heading8">
    <w:name w:val="heading 8"/>
    <w:basedOn w:val="Normal"/>
    <w:next w:val="Normal"/>
    <w:qFormat/>
    <w:pPr>
      <w:keepNext w:val="true"/>
      <w:numPr>
        <w:ilvl w:val="7"/>
        <w:numId w:val="1"/>
      </w:numPr>
      <w:spacing w:before="240" w:after="60"/>
      <w:ind w:hanging="0" w:start="0" w:end="0"/>
      <w:outlineLvl w:val="7"/>
    </w:pPr>
    <w:rPr>
      <w:kern w:val="2"/>
      <w:lang w:val="en-GB"/>
    </w:rPr>
  </w:style>
  <w:style w:type="paragraph" w:styleId="Heading9">
    <w:name w:val="heading 9"/>
    <w:basedOn w:val="Normal"/>
    <w:next w:val="Normal"/>
    <w:qFormat/>
    <w:pPr>
      <w:keepNext w:val="true"/>
      <w:numPr>
        <w:ilvl w:val="8"/>
        <w:numId w:val="1"/>
      </w:numPr>
      <w:spacing w:before="240" w:after="60"/>
      <w:ind w:hanging="0" w:start="0" w:end="0"/>
      <w:outlineLvl w:val="8"/>
    </w:pPr>
    <w:rPr>
      <w:kern w:val="2"/>
      <w:lang w:val="en-G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ZDColor">
    <w:name w:val="ZDColor"/>
    <w:qFormat/>
    <w:rPr>
      <w:color w:val="000000"/>
    </w:rPr>
  </w:style>
  <w:style w:type="character" w:styleId="InitialStyle">
    <w:name w:val="InitialStyle"/>
    <w:qFormat/>
    <w:rPr>
      <w:rFonts w:ascii="Courier New" w:hAnsi="Courier New" w:cs="Courier New"/>
      <w:color w:val="000000"/>
      <w:sz w:val="24"/>
    </w:rPr>
  </w:style>
  <w:style w:type="character" w:styleId="ZBlack">
    <w:name w:val="ZBlack"/>
    <w:qFormat/>
    <w:rPr>
      <w:color w:val="000000"/>
    </w:rPr>
  </w:style>
  <w:style w:type="character" w:styleId="ZFColor">
    <w:name w:val="ZFColor"/>
    <w:qFormat/>
    <w:rPr>
      <w:color w:val="000000"/>
    </w:rPr>
  </w:style>
  <w:style w:type="character" w:styleId="ZZActivate">
    <w:name w:val="ZZActivate"/>
    <w:qFormat/>
    <w:rPr>
      <w:color w:val="000000"/>
    </w:rPr>
  </w:style>
  <w:style w:type="character" w:styleId="ZZInitFont">
    <w:name w:val="ZZInitFont"/>
    <w:qFormat/>
    <w:rPr>
      <w:rFonts w:ascii="Courier New" w:hAnsi="Courier New" w:cs="Courier New"/>
      <w:color w:val="000000"/>
      <w:sz w:val="24"/>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40"/>
      <w:jc w:val="center"/>
      <w:outlineLvl w:val="0"/>
    </w:pPr>
    <w:rPr/>
  </w:style>
  <w:style w:type="paragraph" w:styleId="BodyText">
    <w:name w:val="Body Text"/>
    <w:basedOn w:val="Normal"/>
    <w:pPr>
      <w:spacing w:before="0" w:after="240"/>
      <w:ind w:hanging="0" w:start="0" w:end="0"/>
    </w:pPr>
    <w:rPr/>
  </w:style>
  <w:style w:type="paragraph" w:styleId="List">
    <w:name w:val="List"/>
    <w:basedOn w:val="Normal"/>
    <w:pPr>
      <w:ind w:hanging="283" w:start="283"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spacing w:before="0" w:after="240"/>
      <w:ind w:hanging="0" w:start="1440" w:end="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spacing w:before="0" w:after="240"/>
      <w:ind w:firstLine="720" w:start="720" w:end="0"/>
    </w:pPr>
    <w:rPr/>
  </w:style>
  <w:style w:type="paragraph" w:styleId="BodyTextIndent2">
    <w:name w:val="Body Text Indent 2"/>
    <w:basedOn w:val="Normal"/>
    <w:qFormat/>
    <w:pPr>
      <w:spacing w:lineRule="auto" w:line="480" w:before="0" w:after="120"/>
      <w:ind w:hanging="0" w:start="283" w:end="0"/>
    </w:pPr>
    <w:rPr/>
  </w:style>
  <w:style w:type="paragraph" w:styleId="BodyTextIndent3">
    <w:name w:val="Body Text Indent 3"/>
    <w:basedOn w:val="Normal"/>
    <w:qFormat/>
    <w:pPr>
      <w:spacing w:before="0" w:after="120"/>
      <w:ind w:hanging="0" w:start="283" w:end="0"/>
    </w:pPr>
    <w:rPr>
      <w:sz w:val="16"/>
    </w:rPr>
  </w:style>
  <w:style w:type="paragraph" w:styleId="Closing">
    <w:name w:val="Closing"/>
    <w:basedOn w:val="Normal"/>
    <w:qFormat/>
    <w:pPr>
      <w:ind w:hanging="0" w:start="4252"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240"/>
      <w:ind w:hanging="0" w:start="0" w:end="0"/>
      <w:jc w:val="center"/>
      <w:outlineLvl w:val="1"/>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1">
    <w:name w:val="Header 1"/>
    <w:basedOn w:val="Normal"/>
    <w:next w:val="Normal"/>
    <w:qFormat/>
    <w:pPr>
      <w:pBdr>
        <w:bottom w:val="single" w:sz="4" w:space="0" w:color="000000"/>
      </w:pBdr>
      <w:tabs>
        <w:tab w:val="clear" w:pos="720"/>
        <w:tab w:val="right" w:pos="9029" w:leader="none"/>
      </w:tabs>
      <w:ind w:hanging="0" w:start="0" w:end="0"/>
    </w:pPr>
    <w:rPr>
      <w:sz w:val="16"/>
      <w:lang w:val="en-GB"/>
    </w:rPr>
  </w:style>
  <w:style w:type="paragraph" w:styleId="Footer1">
    <w:name w:val="Footer 1"/>
    <w:basedOn w:val="Normal"/>
    <w:next w:val="Normal"/>
    <w:qFormat/>
    <w:pPr>
      <w:pBdr>
        <w:top w:val="single" w:sz="4" w:space="0" w:color="000000"/>
      </w:pBdr>
      <w:ind w:hanging="0" w:start="0" w:end="0"/>
    </w:pPr>
    <w:rPr>
      <w:sz w:val="16"/>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2015-01-28T14:00:00Z</dcterms:created>
  <dc:creator/>
  <dc:description/>
  <dc:language>en-CA</dc:language>
  <cp:lastModifiedBy>Allen &amp; Overy</cp:lastModifiedBy>
  <cp:lastPrinted>2001-06-04T13:28:00Z</cp:lastPrinted>
  <dcterms:modified xsi:type="dcterms:W3CDTF">2001-06-26T19:10:00Z</dcterms:modified>
  <cp:revision>17</cp:revision>
  <dc:subject/>
  <dc:title/>
</cp:coreProperties>
</file>