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r>
    </w:p>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Heading1"/>
        <w:ind w:hanging="0" w:start="0"/>
        <w:rPr>
          <w:color w:val="FF0000"/>
        </w:rPr>
      </w:pPr>
      <w:r>
        <w:rPr/>
        <w:t>FIDELITY CONTAINER CORPORATION</w:t>
      </w:r>
    </w:p>
    <w:p>
      <w:pPr>
        <w:pStyle w:val="Normal"/>
        <w:jc w:val="center"/>
        <w:rPr>
          <w:rFonts w:ascii="Arial Narrow" w:hAnsi="Arial Narrow" w:cs="Arial Narrow"/>
          <w:b/>
          <w:color w:val="FF0000"/>
          <w:sz w:val="18"/>
        </w:rPr>
      </w:pPr>
      <w:r>
        <w:rPr>
          <w:rFonts w:cs="Arial Narrow" w:ascii="Arial Narrow" w:hAnsi="Arial Narrow"/>
          <w:b/>
          <w:color w:val="FF0000"/>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 provided upon execution of a Master Agreement by the parties (i) all Additional Amounts shall automatically become Independent Amounts under, and as defined in, the Master Agreement, and (ii) all Performance Assurance held by a party pursuant to the terms hereof shall automatically become Posted Credit Support under, and as defined in, the Master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ind w:hanging="360" w:start="720" w:end="0"/>
        <w:jc w:val="both"/>
        <w:rPr>
          <w:rFonts w:ascii="Arial Narrow" w:hAnsi="Arial Narrow" w:cs="Arial Narrow"/>
          <w:sz w:val="18"/>
        </w:rPr>
      </w:pPr>
      <w:r>
        <w:rPr>
          <w:rFonts w:cs="Arial Narrow" w:ascii="Arial Narrow" w:hAnsi="Arial Narrow"/>
          <w:sz w:val="18"/>
        </w:rPr>
      </w:r>
    </w:p>
    <w:p>
      <w:pPr>
        <w:pStyle w:val="Normal"/>
        <w:ind w:hanging="360" w:start="720" w:end="0"/>
        <w:jc w:val="both"/>
        <w:rPr/>
      </w:pPr>
      <w:r>
        <w:rPr>
          <w:rFonts w:cs="Arial Narrow" w:ascii="Arial Narrow" w:hAnsi="Arial Narrow"/>
          <w:sz w:val="18"/>
        </w:rPr>
        <w:t>(i)</w:t>
        <w:tab/>
        <w:t xml:space="preserve">The following Events of Default are added to Section 3 of </w:t>
      </w:r>
      <w:r>
        <w:rPr>
          <w:rFonts w:cs="Arial Narrow" w:ascii="Arial Narrow" w:hAnsi="Arial Narrow"/>
          <w:sz w:val="18"/>
          <w:u w:val="single"/>
        </w:rPr>
        <w:t>Annex A</w:t>
      </w:r>
      <w:r>
        <w:rPr>
          <w:rFonts w:cs="Arial Narrow" w:ascii="Arial Narrow" w:hAnsi="Arial Narrow"/>
          <w:sz w:val="18"/>
        </w:rPr>
        <w:t>:</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hanging="360" w:start="1080" w:end="0"/>
        <w:jc w:val="both"/>
        <w:rPr/>
      </w:pPr>
      <w:r>
        <w:rPr>
          <w:rFonts w:cs="Arial Narrow" w:ascii="Arial Narrow" w:hAnsi="Arial Narrow"/>
          <w:sz w:val="18"/>
        </w:rPr>
        <w:t>"(g)</w:t>
        <w:tab/>
        <w:t xml:space="preserve"> the Defaulting Party fails to establish, maintain, renew, substitute or increase the Performance Assurance</w:t>
      </w:r>
      <w:r>
        <w:rPr>
          <w:rFonts w:cs="Arial Narrow" w:ascii="Arial Narrow" w:hAnsi="Arial Narrow"/>
          <w:color w:val="FF0000"/>
          <w:sz w:val="18"/>
        </w:rPr>
        <w:t xml:space="preserve"> </w:t>
      </w:r>
      <w:r>
        <w:rPr>
          <w:rFonts w:cs="Arial Narrow" w:ascii="Arial Narrow" w:hAnsi="Arial Narrow"/>
          <w:sz w:val="18"/>
        </w:rPr>
        <w:t>in accordance with the terms and provisions hereof and the failure continues for two (2) Business Days after notice from the other party;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rFonts w:ascii="Arial Narrow" w:hAnsi="Arial Narrow" w:cs="Arial Narrow"/>
          <w:sz w:val="18"/>
        </w:rPr>
      </w:pPr>
      <w:r>
        <w:rPr>
          <w:rFonts w:cs="Arial Narrow" w:ascii="Arial Narrow" w:hAnsi="Arial Narrow"/>
          <w:sz w:val="18"/>
        </w:rPr>
        <w:t>(h)</w:t>
        <w:tab/>
        <w:t>the failure in the payment when due (whether at maturity, by acceleration, or otherwise) of any obligation in respect of borrowed money, in an aggregate amount in excess of $120,000 with respect to Counterparty, $100,000,000 with respect to ENA, or $100,000,000 with respect to ENA’s Credit Support Provider, and the failure to remedy the failure within any applicable grace period, or the failure by the Defaulting Party or the Defaulting 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9000" w:leader="none"/>
        </w:tabs>
        <w:spacing w:lineRule="atLeast" w:line="240"/>
        <w:ind w:hanging="360" w:start="1080" w:end="0"/>
        <w:jc w:val="both"/>
        <w:rPr>
          <w:rFonts w:ascii="Arial Narrow" w:hAnsi="Arial Narrow" w:cs="Arial Narrow"/>
          <w:sz w:val="18"/>
        </w:rPr>
      </w:pPr>
      <w:r>
        <w:rPr>
          <w:rFonts w:cs="Arial Narrow" w:ascii="Arial Narrow" w:hAnsi="Arial Narrow"/>
          <w:sz w:val="18"/>
        </w:rPr>
        <w:t>(i)</w:t>
        <w:tab/>
        <w:t>if a Guaranty is required to support such party's obligations under the Confirmation, the Guaranty shall expire or be terminated or the Credit Support Provider thereunder shall fail to comply with or perform under the Guaranty."</w:t>
      </w:r>
    </w:p>
    <w:p>
      <w:pPr>
        <w:pStyle w:val="Normal"/>
        <w:spacing w:lineRule="atLeast" w:line="240"/>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rFonts w:ascii="Arial Narrow" w:hAnsi="Arial Narrow" w:cs="Arial Narrow"/>
          <w:b/>
          <w:color w:val="FF0000"/>
          <w:sz w:val="18"/>
        </w:rPr>
      </w:pPr>
      <w:r>
        <w:rPr>
          <w:rFonts w:cs="Arial Narrow" w:ascii="Arial Narrow" w:hAnsi="Arial Narrow"/>
          <w:sz w:val="18"/>
        </w:rPr>
        <w:t>"</w:t>
      </w:r>
      <w:r>
        <w:rPr>
          <w:rFonts w:cs="Arial Narrow" w:ascii="Arial Narrow" w:hAnsi="Arial Narrow"/>
          <w:i/>
          <w:sz w:val="18"/>
          <w:u w:val="single"/>
        </w:rPr>
        <w:t>Credit Rating</w:t>
      </w:r>
      <w:r>
        <w:rPr>
          <w:rFonts w:cs="Arial Narrow" w:ascii="Arial Narrow" w:hAnsi="Arial Narrow"/>
          <w:sz w:val="18"/>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jc w:val="both"/>
        <w:rPr>
          <w:rFonts w:ascii="Arial Narrow" w:hAnsi="Arial Narrow" w:cs="Arial Narrow"/>
          <w:b/>
          <w:color w:val="FF0000"/>
          <w:sz w:val="18"/>
        </w:rPr>
      </w:pPr>
      <w:r>
        <w:rPr>
          <w:rFonts w:cs="Arial Narrow" w:ascii="Arial Narrow" w:hAnsi="Arial Narrow"/>
          <w:b/>
          <w:color w:val="FF0000"/>
          <w:sz w:val="18"/>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with respect to ENA only, Enron Corp.</w:t>
      </w:r>
    </w:p>
    <w:p>
      <w:pPr>
        <w:pStyle w:val="Normal"/>
        <w:keepNext w:val="true"/>
        <w:spacing w:lineRule="exact" w:line="240" w:before="240" w:after="0"/>
        <w:ind w:start="360" w:end="0"/>
        <w:jc w:val="both"/>
        <w:rPr>
          <w:rFonts w:ascii="Arial Narrow" w:hAnsi="Arial Narrow" w:cs="Arial Narrow"/>
          <w:i/>
          <w:i/>
          <w:iCs/>
          <w:sz w:val="18"/>
          <w:szCs w:val="22"/>
        </w:rPr>
      </w:pPr>
      <w:r>
        <w:rPr>
          <w:rFonts w:cs="Arial Narrow" w:ascii="Arial Narrow" w:hAnsi="Arial Narrow"/>
          <w:sz w:val="18"/>
        </w:rPr>
        <w:t>"</w:t>
      </w:r>
      <w:r>
        <w:rPr>
          <w:rFonts w:cs="Arial Narrow" w:ascii="Arial Narrow" w:hAnsi="Arial Narrow"/>
          <w:i/>
          <w:iCs/>
          <w:sz w:val="18"/>
          <w:szCs w:val="22"/>
          <w:u w:val="single"/>
        </w:rPr>
        <w:t>Depreciation, Depletion and Amortization Expense</w:t>
      </w:r>
      <w:r>
        <w:rPr>
          <w:rFonts w:cs="Arial Narrow" w:ascii="Arial Narrow" w:hAnsi="Arial Narrow"/>
          <w:sz w:val="18"/>
        </w:rPr>
        <w:t>"</w:t>
      </w:r>
      <w:r>
        <w:rPr>
          <w:rFonts w:cs="Arial Narrow" w:ascii="Arial Narrow" w:hAnsi="Arial Narrow"/>
          <w:sz w:val="18"/>
          <w:szCs w:val="22"/>
        </w:rPr>
        <w:t xml:space="preserve"> means, with respect to </w:t>
      </w:r>
      <w:r>
        <w:rPr>
          <w:rFonts w:cs="Arial Narrow" w:ascii="Arial Narrow" w:hAnsi="Arial Narrow"/>
          <w:sz w:val="18"/>
        </w:rPr>
        <w:t>Counterparty</w:t>
      </w:r>
      <w:r>
        <w:rPr>
          <w:rFonts w:cs="Arial Narrow" w:ascii="Arial Narrow" w:hAnsi="Arial Narrow"/>
          <w:sz w:val="18"/>
          <w:szCs w:val="22"/>
        </w:rPr>
        <w:t xml:space="preserve"> 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rPr>
          <w:rFonts w:ascii="Arial Narrow" w:hAnsi="Arial Narrow" w:cs="Arial Narrow"/>
          <w:b/>
          <w:bCs/>
          <w:i/>
          <w:i/>
          <w:iCs/>
          <w:sz w:val="18"/>
          <w:szCs w:val="22"/>
        </w:rPr>
      </w:pPr>
      <w:r>
        <w:rPr>
          <w:rFonts w:cs="Arial Narrow"/>
          <w:b/>
          <w:bCs/>
          <w:i/>
          <w:iCs/>
          <w:sz w:val="18"/>
          <w:szCs w:val="22"/>
        </w:rPr>
      </w:r>
    </w:p>
    <w:p>
      <w:pPr>
        <w:pStyle w:val="BodyText"/>
        <w:ind w:start="360" w:end="0"/>
        <w:rPr/>
      </w:pPr>
      <w:r>
        <w:rPr/>
        <w:t>"</w:t>
      </w:r>
      <w:r>
        <w:rPr>
          <w:i/>
          <w:iCs/>
          <w:u w:val="single"/>
        </w:rPr>
        <w:t>EBITDA</w:t>
      </w:r>
      <w:r>
        <w:rPr/>
        <w:t xml:space="preserve">" means, with respect to Counterparty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u w:val="single"/>
        </w:rPr>
        <w:t>minus</w:t>
      </w:r>
      <w:r>
        <w:rPr/>
        <w:t>, without duplication, all consolidated extraordinary gains for such person during such period.</w:t>
      </w:r>
    </w:p>
    <w:p>
      <w:pPr>
        <w:pStyle w:val="Normal"/>
        <w:spacing w:lineRule="atLeast" w:line="240"/>
        <w:rPr>
          <w:rFonts w:ascii="Arial Narrow" w:hAnsi="Arial Narrow" w:cs="Arial Narrow"/>
          <w:sz w:val="18"/>
        </w:rPr>
      </w:pPr>
      <w:r>
        <w:rPr>
          <w:rFonts w:cs="Arial Narrow" w:ascii="Arial Narrow" w:hAnsi="Arial Narrow"/>
          <w:sz w:val="18"/>
        </w:rPr>
      </w:r>
    </w:p>
    <w:p>
      <w:pPr>
        <w:pStyle w:val="Normal"/>
        <w:spacing w:lineRule="atLeast" w:line="240"/>
        <w:ind w:start="360" w:end="0"/>
        <w:rPr>
          <w:rFonts w:ascii="Arial Narrow" w:hAnsi="Arial Narrow" w:cs="Arial Narrow"/>
          <w:b/>
          <w:color w:val="FF0000"/>
          <w:sz w:val="18"/>
        </w:rPr>
      </w:pPr>
      <w:r>
        <w:rPr>
          <w:rFonts w:cs="Arial Narrow" w:ascii="Arial Narrow" w:hAnsi="Arial Narrow"/>
          <w:sz w:val="18"/>
        </w:rPr>
        <w:t>"</w:t>
      </w:r>
      <w:r>
        <w:rPr>
          <w:rFonts w:cs="Arial Narrow" w:ascii="Arial Narrow" w:hAnsi="Arial Narrow"/>
          <w:i/>
          <w:iCs/>
          <w:sz w:val="18"/>
          <w:szCs w:val="22"/>
          <w:u w:val="single"/>
        </w:rPr>
        <w:t>EBITDA Coverage Ratio</w:t>
      </w:r>
      <w:r>
        <w:rPr>
          <w:rFonts w:cs="Arial Narrow" w:ascii="Arial Narrow" w:hAnsi="Arial Narrow"/>
          <w:sz w:val="18"/>
        </w:rPr>
        <w:t>"</w:t>
      </w:r>
      <w:r>
        <w:rPr>
          <w:rFonts w:cs="Arial Narrow" w:ascii="Arial Narrow" w:hAnsi="Arial Narrow"/>
          <w:sz w:val="18"/>
          <w:szCs w:val="22"/>
        </w:rPr>
        <w:t xml:space="preserve"> means, with respect to any period, the ratio of (i) EBITDA for such period to (ii) the aggregate amount of Interest Expense for such period.</w:t>
      </w:r>
    </w:p>
    <w:p>
      <w:pPr>
        <w:pStyle w:val="Normal"/>
        <w:ind w:start="360" w:end="0"/>
        <w:jc w:val="both"/>
        <w:rPr>
          <w:rFonts w:ascii="Arial Narrow" w:hAnsi="Arial Narrow" w:cs="Arial Narrow"/>
          <w:b/>
          <w:color w:val="FF0000"/>
          <w:sz w:val="18"/>
        </w:rPr>
      </w:pPr>
      <w:r>
        <w:rPr>
          <w:rFonts w:cs="Arial Narrow" w:ascii="Arial Narrow" w:hAnsi="Arial Narrow"/>
          <w:b/>
          <w:color w:val="FF0000"/>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GAAP</w:t>
      </w:r>
      <w:r>
        <w:rPr>
          <w:rFonts w:cs="Arial Narrow" w:ascii="Arial Narrow" w:hAnsi="Arial Narrow"/>
          <w:sz w:val="18"/>
        </w:rPr>
        <w:t>" means generally accepted accounting principles that are generally accepted in the country in which the applicable party is organized and on a basis consistent with prior periods.</w:t>
      </w:r>
    </w:p>
    <w:p>
      <w:pPr>
        <w:pStyle w:val="Normal"/>
        <w:spacing w:lineRule="exact" w:line="240" w:before="240" w:after="0"/>
        <w:ind w:start="360" w:end="0"/>
        <w:jc w:val="both"/>
        <w:rPr>
          <w:rFonts w:ascii="Arial Narrow" w:hAnsi="Arial Narrow" w:cs="Arial Narrow"/>
          <w:color w:val="FF0000"/>
          <w:sz w:val="18"/>
          <w:szCs w:val="22"/>
        </w:rPr>
      </w:pPr>
      <w:r>
        <w:rPr>
          <w:rFonts w:cs="Arial Narrow" w:ascii="Arial Narrow" w:hAnsi="Arial Narrow"/>
          <w:sz w:val="18"/>
        </w:rPr>
        <w:t>"</w:t>
      </w:r>
      <w:r>
        <w:rPr>
          <w:rFonts w:cs="Arial Narrow" w:ascii="Arial Narrow" w:hAnsi="Arial Narrow"/>
          <w:i/>
          <w:iCs/>
          <w:sz w:val="18"/>
          <w:szCs w:val="22"/>
          <w:u w:val="single"/>
        </w:rPr>
        <w:t>Interest Expense</w:t>
      </w:r>
      <w:r>
        <w:rPr>
          <w:rFonts w:cs="Arial Narrow" w:ascii="Arial Narrow" w:hAnsi="Arial Narrow"/>
          <w:sz w:val="18"/>
        </w:rPr>
        <w:t>"</w:t>
      </w:r>
      <w:r>
        <w:rPr>
          <w:rFonts w:cs="Arial Narrow" w:ascii="Arial Narrow" w:hAnsi="Arial Narrow"/>
          <w:sz w:val="18"/>
          <w:szCs w:val="22"/>
        </w:rPr>
        <w:t xml:space="preserve"> means, for any period, without duplication, the total consolidated interest expense of </w:t>
      </w:r>
      <w:r>
        <w:rPr>
          <w:rFonts w:cs="Arial Narrow" w:ascii="Arial Narrow" w:hAnsi="Arial Narrow"/>
          <w:sz w:val="18"/>
        </w:rPr>
        <w:t>Counterparty</w:t>
      </w:r>
      <w:r>
        <w:rPr>
          <w:rFonts w:cs="Arial Narrow" w:ascii="Arial Narrow" w:hAnsi="Arial Narrow"/>
          <w:sz w:val="18"/>
          <w:szCs w:val="22"/>
        </w:rPr>
        <w:t xml:space="preserve">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w:t>
      </w:r>
      <w:r>
        <w:rPr>
          <w:rFonts w:cs="Arial Narrow" w:ascii="Arial Narrow" w:hAnsi="Arial Narrow"/>
          <w:sz w:val="18"/>
        </w:rPr>
        <w:t>Counterparty</w:t>
      </w:r>
      <w:r>
        <w:rPr>
          <w:rFonts w:cs="Arial Narrow" w:ascii="Arial Narrow" w:hAnsi="Arial Narrow"/>
          <w:sz w:val="18"/>
          <w:szCs w:val="22"/>
        </w:rPr>
        <w:t xml:space="preserve"> under any guarantee of indebtedness or other obligations of any other person.</w:t>
      </w:r>
    </w:p>
    <w:p>
      <w:pPr>
        <w:pStyle w:val="Normal"/>
        <w:spacing w:lineRule="atLeast" w:line="240"/>
        <w:jc w:val="both"/>
        <w:rPr>
          <w:rFonts w:ascii="Arial Narrow" w:hAnsi="Arial Narrow" w:cs="Arial Narrow"/>
          <w:b/>
          <w:bCs/>
          <w:color w:val="FF0000"/>
          <w:sz w:val="18"/>
          <w:szCs w:val="22"/>
        </w:rPr>
      </w:pPr>
      <w:r>
        <w:rPr>
          <w:rFonts w:cs="Arial Narrow" w:ascii="Arial Narrow" w:hAnsi="Arial Narrow"/>
          <w:b/>
          <w:bCs/>
          <w:color w:val="FF0000"/>
          <w:sz w:val="18"/>
          <w:szCs w:val="22"/>
        </w:rPr>
      </w:r>
    </w:p>
    <w:p>
      <w:pPr>
        <w:pStyle w:val="Normal"/>
        <w:keepNext w:val="true"/>
        <w:ind w:start="360" w:end="0"/>
        <w:jc w:val="both"/>
        <w:rPr/>
      </w:pPr>
      <w:r>
        <w:rPr>
          <w:rFonts w:cs="Arial Narrow" w:ascii="Arial Narrow" w:hAnsi="Arial Narrow"/>
          <w:i/>
          <w:sz w:val="18"/>
        </w:rPr>
        <w:t>"</w:t>
      </w:r>
      <w:r>
        <w:rPr>
          <w:rFonts w:cs="Arial Narrow" w:ascii="Arial Narrow" w:hAnsi="Arial Narrow"/>
          <w:i/>
          <w:sz w:val="18"/>
          <w:u w:val="single"/>
        </w:rPr>
        <w:t>Material Adverse Change</w:t>
      </w:r>
      <w:r>
        <w:rPr>
          <w:rFonts w:cs="Arial Narrow" w:ascii="Arial Narrow" w:hAnsi="Arial Narrow"/>
          <w:i/>
          <w:sz w:val="18"/>
        </w:rPr>
        <w:t>"</w:t>
      </w:r>
      <w:r>
        <w:rPr>
          <w:rFonts w:cs="Arial Narrow" w:ascii="Arial Narrow" w:hAnsi="Arial Narrow"/>
          <w:sz w:val="18"/>
        </w:rPr>
        <w:t xml:space="preserve"> means (a) with respect to Counterparty, it shall have any of the following occur at any time:  (i) the ratio of its Total Debt to Net Worth is more than 1 to 1, or (ii) its Net Worth falls below $2,500,000, or (iii) </w:t>
      </w:r>
      <w:r>
        <w:rPr>
          <w:rFonts w:cs="Arial Narrow" w:ascii="Arial Narrow" w:hAnsi="Arial Narrow"/>
          <w:sz w:val="18"/>
          <w:szCs w:val="22"/>
        </w:rPr>
        <w:t xml:space="preserve">its EBITDA Coverage Ratio shall be less than </w:t>
      </w:r>
      <w:r>
        <w:rPr>
          <w:rFonts w:cs="Arial Narrow" w:ascii="Arial Narrow" w:hAnsi="Arial Narrow"/>
          <w:sz w:val="18"/>
        </w:rPr>
        <w:t>7 to 1; or (b) with respect to ENA, its Credit Support Provider’s Credit Rating is below “BBB-” by S&amp;P.</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Net Income</w:t>
      </w:r>
      <w:r>
        <w:rPr>
          <w:rFonts w:cs="Arial Narrow" w:ascii="Arial Narrow" w:hAnsi="Arial Narrow"/>
          <w:sz w:val="18"/>
        </w:rPr>
        <w:t>" means consolidated gross revenues of Counterparty and other proper income credits, less all proper income charges, including taxes on income, all determined in accordance with GAAP.</w:t>
      </w:r>
    </w:p>
    <w:p>
      <w:pPr>
        <w:pStyle w:val="Normal"/>
        <w:jc w:val="both"/>
        <w:rPr>
          <w:rFonts w:ascii="Arial Narrow" w:hAnsi="Arial Narrow" w:cs="Arial Narrow"/>
          <w:sz w:val="18"/>
        </w:rPr>
      </w:pPr>
      <w:r>
        <w:rPr>
          <w:rFonts w:cs="Arial Narrow" w:ascii="Arial Narrow" w:hAnsi="Arial Narrow"/>
          <w:sz w:val="18"/>
        </w:rPr>
      </w:r>
    </w:p>
    <w:p>
      <w:pPr>
        <w:pStyle w:val="Normal"/>
        <w:ind w:start="360" w:end="144"/>
        <w:jc w:val="both"/>
        <w:rPr/>
      </w:pPr>
      <w:r>
        <w:rPr>
          <w:rFonts w:cs="Arial Narrow" w:ascii="Arial Narrow" w:hAnsi="Arial Narrow"/>
          <w:sz w:val="18"/>
        </w:rPr>
        <w:t>"</w:t>
      </w:r>
      <w:r>
        <w:rPr>
          <w:rFonts w:cs="Arial Narrow" w:ascii="Arial Narrow" w:hAnsi="Arial Narrow"/>
          <w:i/>
          <w:sz w:val="18"/>
          <w:u w:val="single"/>
        </w:rPr>
        <w:t>Net Worth</w:t>
      </w:r>
      <w:r>
        <w:rPr>
          <w:rFonts w:cs="Arial Narrow" w:ascii="Arial Narrow" w:hAnsi="Arial Narrow"/>
          <w:i/>
          <w:sz w:val="18"/>
        </w:rPr>
        <w:t>"</w:t>
      </w:r>
      <w:r>
        <w:rPr>
          <w:rFonts w:cs="Arial Narrow" w:ascii="Arial Narrow" w:hAnsi="Arial Narrow"/>
          <w:sz w:val="18"/>
        </w:rPr>
        <w:t xml:space="preserve"> means consolidated total assets of Counterparty (exclusive of intangible assets), minus consolidated total liabilities of Counterparty, each as would be reflected on a consolidated balance sheet of Counterparty prepared in accordance with GAAP.</w:t>
      </w:r>
    </w:p>
    <w:p>
      <w:pPr>
        <w:pStyle w:val="Normal"/>
        <w:ind w:end="144"/>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S&amp;P</w:t>
      </w:r>
      <w:r>
        <w:rPr>
          <w:rFonts w:cs="Arial Narrow" w:ascii="Arial Narrow" w:hAnsi="Arial Narrow"/>
          <w:sz w:val="18"/>
        </w:rPr>
        <w:t>" means the Standard &amp; Poor’s Rating Group (a division of McGraw-Hill, Inc.) or its successor.</w:t>
      </w:r>
    </w:p>
    <w:p>
      <w:pPr>
        <w:pStyle w:val="Normal"/>
        <w:ind w:start="360" w:end="0"/>
        <w:jc w:val="both"/>
        <w:rPr>
          <w:rFonts w:ascii="Arial Narrow" w:hAnsi="Arial Narrow" w:cs="Arial Narrow"/>
          <w:sz w:val="18"/>
        </w:rPr>
      </w:pPr>
      <w:r>
        <w:rPr>
          <w:rFonts w:cs="Arial Narrow" w:ascii="Arial Narrow" w:hAnsi="Arial Narrow"/>
          <w:sz w:val="18"/>
        </w:rPr>
      </w:r>
    </w:p>
    <w:p>
      <w:pPr>
        <w:pStyle w:val="Normal"/>
        <w:spacing w:lineRule="atLeast" w:line="240"/>
        <w:ind w:start="360" w:end="144"/>
        <w:jc w:val="both"/>
        <w:rPr/>
      </w:pPr>
      <w:r>
        <w:rPr>
          <w:rFonts w:cs="Arial Narrow" w:ascii="Arial Narrow" w:hAnsi="Arial Narrow"/>
          <w:sz w:val="18"/>
        </w:rPr>
        <w:t>"</w:t>
      </w:r>
      <w:r>
        <w:rPr>
          <w:rFonts w:cs="Arial Narrow" w:ascii="Arial Narrow" w:hAnsi="Arial Narrow"/>
          <w:i/>
          <w:iCs/>
          <w:sz w:val="18"/>
          <w:szCs w:val="22"/>
          <w:u w:val="single"/>
        </w:rPr>
        <w:t>Total Debt</w:t>
      </w:r>
      <w:r>
        <w:rPr>
          <w:rFonts w:cs="Arial Narrow" w:ascii="Arial Narrow" w:hAnsi="Arial Narrow"/>
          <w:sz w:val="18"/>
        </w:rPr>
        <w:t>"</w:t>
      </w:r>
      <w:r>
        <w:rPr>
          <w:rFonts w:cs="Arial Narrow" w:ascii="Arial Narrow" w:hAnsi="Arial Narrow"/>
          <w:sz w:val="18"/>
          <w:szCs w:val="22"/>
        </w:rPr>
        <w:t xml:space="preserve"> means consolidated indebtedness of </w:t>
      </w:r>
      <w:r>
        <w:rPr>
          <w:rFonts w:cs="Arial Narrow" w:ascii="Arial Narrow" w:hAnsi="Arial Narrow"/>
          <w:sz w:val="18"/>
        </w:rPr>
        <w:t>Counterparty</w:t>
      </w:r>
      <w:r>
        <w:rPr>
          <w:rFonts w:cs="Arial Narrow" w:ascii="Arial Narrow" w:hAnsi="Arial Narrow"/>
          <w:sz w:val="18"/>
          <w:szCs w:val="22"/>
        </w:rPr>
        <w: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szCs w:val="22"/>
        </w:rPr>
      </w:pPr>
      <w:r>
        <w:rPr>
          <w:rFonts w:cs="Arial Narrow" w:ascii="Arial Narrow" w:hAnsi="Arial Narrow"/>
          <w:sz w:val="18"/>
          <w:szCs w:val="22"/>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and ENA shall establish, maintain, renew, substitute and increase Performance Assurance as (and only to the extent) required by Annex B-1."</w:t>
      </w:r>
    </w:p>
    <w:p>
      <w:pPr>
        <w:pStyle w:val="Normal"/>
        <w:keepNext w:val="true"/>
        <w:jc w:val="both"/>
        <w:rPr>
          <w:rFonts w:ascii="Arial Narrow" w:hAnsi="Arial Narrow" w:cs="Arial Narrow"/>
          <w:sz w:val="18"/>
        </w:rPr>
      </w:pPr>
      <w:r>
        <w:rPr>
          <w:rFonts w:cs="Arial Narrow" w:ascii="Arial Narrow" w:hAnsi="Arial Narrow"/>
          <w:b/>
          <w:sz w:val="18"/>
        </w:rPr>
        <w:tab/>
      </w:r>
    </w:p>
    <w:p>
      <w:pPr>
        <w:pStyle w:val="Normal"/>
        <w:keepNext w:val="true"/>
        <w:ind w:start="360" w:end="0"/>
        <w:jc w:val="both"/>
        <w:rPr/>
      </w:pPr>
      <w:r>
        <w:rPr>
          <w:rFonts w:cs="Arial Narrow" w:ascii="Arial Narrow" w:hAnsi="Arial Narrow"/>
          <w:sz w:val="18"/>
        </w:rPr>
        <w:t xml:space="preserve">"10.  </w:t>
      </w:r>
      <w:r>
        <w:rPr>
          <w:rFonts w:cs="Arial Narrow" w:ascii="Arial Narrow" w:hAnsi="Arial Narrow"/>
          <w:sz w:val="18"/>
          <w:u w:val="single"/>
        </w:rPr>
        <w:t>Credit Support Agreements - Guaranty</w:t>
      </w:r>
      <w:r>
        <w:rPr>
          <w:rFonts w:cs="Arial Narrow" w:ascii="Arial Narrow" w:hAnsi="Arial Narrow"/>
          <w:sz w:val="18"/>
        </w:rPr>
        <w:t>.  Within ten (10) Business Days of the date of this Confirmation, ENA shall cause to be delivered to Counterparty the duly executed guaranty (</w:t>
      </w:r>
      <w:r>
        <w:rPr>
          <w:rFonts w:cs="Arial Narrow" w:ascii="Arial Narrow" w:hAnsi="Arial Narrow"/>
          <w:i/>
          <w:sz w:val="18"/>
        </w:rPr>
        <w:t>"</w:t>
      </w:r>
      <w:r>
        <w:rPr>
          <w:rFonts w:cs="Arial Narrow" w:ascii="Arial Narrow" w:hAnsi="Arial Narrow"/>
          <w:i/>
          <w:sz w:val="18"/>
          <w:u w:val="single"/>
        </w:rPr>
        <w:t>Guaranty</w:t>
      </w:r>
      <w:r>
        <w:rPr>
          <w:rFonts w:cs="Arial Narrow" w:ascii="Arial Narrow" w:hAnsi="Arial Narrow"/>
          <w:i/>
          <w:sz w:val="18"/>
        </w:rPr>
        <w:t>"</w:t>
      </w:r>
      <w:r>
        <w:rPr>
          <w:rFonts w:cs="Arial Narrow" w:ascii="Arial Narrow" w:hAnsi="Arial Narrow"/>
          <w:sz w:val="18"/>
        </w:rPr>
        <w:t>) from its Credit Support Provider in favor of Counterparty in the form attached as Annex B-2."</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4.</w:t>
        <w:tab/>
      </w:r>
      <w:r>
        <w:rPr>
          <w:rFonts w:cs="Arial Narrow" w:ascii="Arial Narrow" w:hAnsi="Arial Narrow"/>
          <w:sz w:val="18"/>
          <w:u w:val="single"/>
        </w:rPr>
        <w:t>Financial Information</w:t>
      </w:r>
      <w:r>
        <w:rPr>
          <w:rFonts w:cs="Arial Narrow" w:ascii="Arial Narrow" w:hAnsi="Arial Narrow"/>
          <w:sz w:val="18"/>
        </w:rPr>
        <w:t>.</w:t>
      </w:r>
    </w:p>
    <w:p>
      <w:pPr>
        <w:pStyle w:val="Normal"/>
        <w:ind w:hanging="720" w:start="720" w:end="0"/>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sectPr>
          <w:footerReference w:type="default" r:id="rId2"/>
          <w:type w:val="nextPage"/>
          <w:pgSz w:w="12240" w:h="15840"/>
          <w:pgMar w:left="864" w:right="720" w:gutter="0" w:header="0" w:top="1440" w:footer="720" w:bottom="1440"/>
          <w:pgNumType w:start="1" w:fmt="decimal"/>
          <w:formProt w:val="false"/>
          <w:textDirection w:val="lrTb"/>
          <w:docGrid w:type="default" w:linePitch="360" w:charSpace="0"/>
        </w:sectPr>
        <w:pStyle w:val="Normal"/>
        <w:ind w:start="360" w:end="0"/>
        <w:jc w:val="both"/>
        <w:rPr/>
      </w:pPr>
      <w:r>
        <w:rPr>
          <w:rFonts w:cs="Arial Narrow" w:ascii="Arial Narrow" w:hAnsi="Arial Narrow"/>
          <w:sz w:val="18"/>
        </w:rPr>
        <w:t xml:space="preserve">"Upon written request, each party shall deliver to the other (i) as soon as available and in any event within 120 days after the end of its (or in the case of ENA, </w:t>
      </w:r>
      <w:r>
        <w:rPr>
          <w:rFonts w:cs="Arial Narrow" w:ascii="Arial Narrow" w:hAnsi="Arial Narrow"/>
          <w:sz w:val="18"/>
          <w:szCs w:val="17"/>
        </w:rPr>
        <w:t>its Credit Support Provider's</w:t>
      </w:r>
      <w:r>
        <w:rPr>
          <w:rFonts w:cs="Arial Narrow" w:ascii="Arial Narrow" w:hAnsi="Arial Narrow"/>
          <w:sz w:val="18"/>
        </w:rPr>
        <w:t xml:space="preserve">) fiscal year a copy of its (or in the case of ENA, </w:t>
      </w:r>
      <w:r>
        <w:rPr>
          <w:rFonts w:cs="Arial Narrow" w:ascii="Arial Narrow" w:hAnsi="Arial Narrow"/>
          <w:sz w:val="18"/>
          <w:szCs w:val="17"/>
        </w:rPr>
        <w:t>its Credit Support Provider's</w:t>
      </w:r>
      <w:r>
        <w:rPr>
          <w:rFonts w:cs="Arial Narrow" w:ascii="Arial Narrow" w:hAnsi="Arial Narrow"/>
          <w:sz w:val="18"/>
        </w:rPr>
        <w:t>)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xml:space="preserve">), and further with respect to ENA, only if its Credit Support Provider’s annual consolidated financial statements are not available on “EDGAR” or its Credit Support Provider’s home page on the World Wide Web at www.enron.com;  (ii) as soon as available and in any event within sixty (60) days after the end of each of its (or in the case of ENA, </w:t>
      </w:r>
      <w:r>
        <w:rPr>
          <w:rFonts w:cs="Arial Narrow" w:ascii="Arial Narrow" w:hAnsi="Arial Narrow"/>
          <w:sz w:val="18"/>
          <w:szCs w:val="17"/>
        </w:rPr>
        <w:t>its Credit Support Provider's</w:t>
      </w:r>
      <w:r>
        <w:rPr>
          <w:rFonts w:cs="Arial Narrow" w:ascii="Arial Narrow" w:hAnsi="Arial Narrow"/>
          <w:sz w:val="18"/>
        </w:rPr>
        <w:t xml:space="preserve">) first three fiscal quarters of its fiscal year, copies of its (or in the case of ENA, </w:t>
      </w:r>
      <w:r>
        <w:rPr>
          <w:rFonts w:cs="Arial Narrow" w:ascii="Arial Narrow" w:hAnsi="Arial Narrow"/>
          <w:sz w:val="18"/>
          <w:szCs w:val="17"/>
        </w:rPr>
        <w:t>its Credit Support Provider's</w:t>
      </w:r>
      <w:r>
        <w:rPr>
          <w:rFonts w:cs="Arial Narrow" w:ascii="Arial Narrow" w:hAnsi="Arial Narrow"/>
          <w:sz w:val="18"/>
        </w:rPr>
        <w:t xml:space="preserve">) quarterly reports containing unaudited consolidated financial statements for such fiscal quarter prepared in accordance with GAAP, and further with respect to ENA, only if its Credit Support Provider’s quarterly unaudited consolidated financial statements are not available on “EDGAR” or its Credit Support Provider’s home page on the World Wide Web at www.enron.com; and (iii) such other publicly available financial information as the other party may reasonably request.” </w:t>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(b)</w:t>
        <w:tab/>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for a Non-Exposed Party shall mean the excess, if any, of (i) (x) the Exposed Party’s Net Exposure plus (y) the aggregate of all Additional Amounts applicable to the Non-Exposed Party minus (ii) the Non-Exposed Party’s Exposure Threshold plus the sum of (x) the Valuation Percentage times the remaining, undrawn portion of any outstanding Letters of Credit maintained by the Non-Exposed Party and issued for the benefit of the Exposed Party in connection with the Swaps;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(d)</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(f)</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(i) ENA, $10,000,000 and (ii) Counterparty, $100,000; provided, however, that the Exposure Threshold for a party shall be zero upon the occurrence and during the continuance of a Material Adverse Change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such party.  The Exposure Threshold assigned to a 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(i)</w:t>
        <w:tab/>
      </w:r>
      <w:r>
        <w:rPr>
          <w:rFonts w:cs="Arial Narrow" w:ascii="Arial Narrow" w:hAnsi="Arial Narrow"/>
          <w:i/>
          <w:sz w:val="18"/>
        </w:rPr>
        <w:t>"</w:t>
      </w:r>
      <w:r>
        <w:rPr>
          <w:rFonts w:cs="Arial Narrow" w:ascii="Arial Narrow" w:hAnsi="Arial Narrow"/>
          <w:i/>
          <w:iCs/>
          <w:sz w:val="18"/>
          <w:u w:val="single"/>
        </w:rPr>
        <w:t>Issuer</w:t>
      </w:r>
      <w:r>
        <w:rPr>
          <w:rFonts w:cs="Arial Narrow" w:ascii="Arial Narrow" w:hAnsi="Arial Narrow"/>
          <w:i/>
          <w:sz w:val="18"/>
        </w:rPr>
        <w:t>"</w:t>
      </w:r>
      <w:r>
        <w:rPr>
          <w:rFonts w:cs="Arial Narrow" w:ascii="Arial Narrow" w:hAnsi="Arial Narrow"/>
          <w:iCs/>
          <w:sz w:val="18"/>
        </w:rPr>
        <w:t xml:space="preserve"> shall mean the bank issuing a Letter of Credit at the request of the Non-Exposed Party that meets the requirements set forth in the definition of Letter of Credit herein.</w:t>
      </w:r>
    </w:p>
    <w:p>
      <w:pPr>
        <w:pStyle w:val="Normal"/>
        <w:tabs>
          <w:tab w:val="left" w:pos="720" w:leader="none"/>
        </w:tabs>
        <w:ind w:hanging="720" w:start="1440" w:end="0"/>
        <w:jc w:val="both"/>
        <w:rPr>
          <w:rFonts w:ascii="Arial Narrow" w:hAnsi="Arial Narrow" w:cs="Arial Narrow"/>
          <w:iCs/>
          <w:sz w:val="18"/>
        </w:rPr>
      </w:pPr>
      <w:r>
        <w:rPr>
          <w:rFonts w:cs="Arial Narrow" w:ascii="Arial Narrow" w:hAnsi="Arial Narrow"/>
          <w:iCs/>
          <w:sz w:val="18"/>
        </w:rPr>
      </w:r>
    </w:p>
    <w:p>
      <w:pPr>
        <w:pStyle w:val="Normal"/>
        <w:tabs>
          <w:tab w:val="left" w:pos="720" w:leader="none"/>
        </w:tabs>
        <w:ind w:hanging="720" w:start="1440" w:end="0"/>
        <w:jc w:val="both"/>
        <w:rPr/>
      </w:pPr>
      <w:r>
        <w:rPr>
          <w:rFonts w:cs="Arial Narrow" w:ascii="Arial Narrow" w:hAnsi="Arial Narrow"/>
          <w:sz w:val="18"/>
        </w:rPr>
        <w:t>(j)</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(k)</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(l)</w:t>
        <w:tab/>
        <w:t>"</w:t>
      </w:r>
      <w:r>
        <w:rPr>
          <w:rFonts w:cs="Arial Narrow" w:ascii="Arial Narrow" w:hAnsi="Arial Narrow"/>
          <w:i/>
          <w:sz w:val="18"/>
          <w:u w:val="single"/>
        </w:rPr>
        <w:t>Performance Assurance</w:t>
      </w:r>
      <w:r>
        <w:rPr>
          <w:rFonts w:cs="Arial Narrow" w:ascii="Arial Narrow" w:hAnsi="Arial Narrow"/>
          <w:sz w:val="18"/>
        </w:rPr>
        <w:t xml:space="preserve">" means (i)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Issuer and as are acceptable to the Exposed Party; (ii) all Cash that has been Transferred to or received by the Exposed Party and not Transferred to the Non-Exposed Party pursuant to Section 2(b) of this Annex or released by the Exposed Party; (iii) any Interest Amount or portion thereof that has not been Transferred pursuant to Section 3(b) of this Annex and any Cash received by the Exposed Party pursuant to Section 4 of this Annex; and (iv) all proceeds of all of the foregoing property that have been Transferred to or received by the Exposed Party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(m)</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(n)</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(o)</w:t>
        <w:tab/>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(p)</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(q)</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 xml:space="preserve">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$25,000 with respect to Counterparty, and $250,000 with respect to ENA,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either (i) increasing the amount of any outstanding Letter of Credit; (ii) establishing additional Letters of Credit; or (ii) delivering Cash to the Exposed Party.  Unless otherwise agreed in writing by the parties, Performance Assurance demanded of the Non-Exposed Party by 10:00 a.m., New York time, on a Business Day shall be provided by the close of business on the next succeeding Business Day; </w:t>
      </w:r>
      <w:r>
        <w:rPr>
          <w:rFonts w:cs="Arial Narrow" w:ascii="Arial Narrow" w:hAnsi="Arial Narrow"/>
          <w:sz w:val="18"/>
          <w:u w:val="single"/>
        </w:rPr>
        <w:t>provided, however</w:t>
      </w:r>
      <w:r>
        <w:rPr>
          <w:rFonts w:cs="Arial Narrow" w:ascii="Arial Narrow" w:hAnsi="Arial Narrow"/>
          <w:sz w:val="18"/>
        </w:rPr>
        <w:t>, that Letters of Credit shall be Transferred by the close of business on the second succeeding Business Day.</w:t>
      </w:r>
    </w:p>
    <w:p>
      <w:pPr>
        <w:pStyle w:val="BodyTextIndent"/>
        <w:rPr/>
      </w:pPr>
      <w:r>
        <w:rPr/>
        <w:t>(b)</w:t>
        <w:tab/>
        <w:t>On any Business Day (but no more frequently than weekly), a party (the “</w:t>
      </w:r>
      <w:r>
        <w:rPr>
          <w:u w:val="single"/>
        </w:rPr>
        <w:t>Requesting Party</w:t>
      </w:r>
      <w:r>
        <w:rPr/>
        <w:t>”) that has provided Performance Assurance to the other party (the “</w:t>
      </w:r>
      <w:r>
        <w:rPr>
          <w:u w:val="single"/>
        </w:rPr>
        <w:t>Non-Requesting Party</w:t>
      </w:r>
      <w:r>
        <w:rPr/>
        <w:t xml:space="preserve">”) may request a reduction in the amount of Performance Assurance previously provided by it, </w:t>
      </w:r>
      <w:r>
        <w:rPr>
          <w:u w:val="single"/>
        </w:rPr>
        <w:t>provided that</w:t>
      </w:r>
      <w:r>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or Potential Event of Default with respect to the Requesting Party shall have occurred and be continuing; and (iv) no Early Termination Date for which any unsatisfied payment obligations of the Requesting Party exist has occurred or been designated as a result of an Event of Default with respect to the Requesting Party.  A permitted reduction in Performance Assurance shall be effected by either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then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BodyTextIndent2"/>
        <w:spacing w:lineRule="auto" w:line="240"/>
        <w:rPr/>
      </w:pPr>
      <w:r>
        <w:rPr/>
        <w:tab/>
        <w:t>(b)</w:t>
        <w:tab/>
        <w:t>So long as no Event of Default with respect to the Non-Exposed Party has occurred and is continuing, and no Early Termination Date for which any unsatisfied payment obligations of the Non-Exposed Party exist has occurred or been designated as the result of an Event of Default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with respect to the Non-Exposed Party or an Early Termination Date as a result of an Event of Default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4.  </w:t>
      </w:r>
      <w:r>
        <w:rPr>
          <w:rFonts w:cs="Arial Narrow" w:ascii="Arial Narrow" w:hAnsi="Arial Narrow"/>
          <w:sz w:val="18"/>
          <w:u w:val="single"/>
        </w:rPr>
        <w:t>Letters of Credit</w:t>
      </w:r>
      <w:r>
        <w:rPr>
          <w:rFonts w:cs="Arial Narrow" w:ascii="Arial Narrow" w:hAnsi="Arial Narrow"/>
          <w:sz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Unless otherwise agreed in writing by the parties, a Letter of Credit shall be provided in accordance with this Annex, and the Letter of Credit shall be maintained for the benefit of the Exposed Party.  The Non-Exposed 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the Exposed Party’s properly documented request to draw on an outstanding Letter of Credit, provide for the benefit of the Exposed Party either a substitute Letter of Credit that is issued by a bank acceptable to the Exposed Party or other substitute Performance Assurance, in each case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(b)</w:t>
        <w:tab/>
        <w:t>Upon the occurrence of a Letter of Credit Default, the Non-Exposed Party agrees to either cause another Issuer to deliver to the Exposed Party a substitute Letter of Credit, or alternatively, the Non-Exposed Party shall provide other Performance Assurance, in each case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t>Upon or at any time after the occurrence of an Event of Default with respect to the Non-Exposed Party, the Exposed Party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the Non-Exposed Party’s obligations to the Exposed Party (and the Non-Exposed Party hereby pledges and grants to the Exposed Party as security for such obligations a first lien, priority security interest in and to such cash proceeds) and the Exposed Party shall have the rights and remedies set forth in Section 6 herein with respect to such cash proceeds.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5.  </w:t>
      </w:r>
      <w:r>
        <w:rPr>
          <w:rFonts w:cs="Arial Narrow" w:ascii="Arial Narrow" w:hAnsi="Arial Narrow"/>
          <w:sz w:val="18"/>
          <w:u w:val="single"/>
        </w:rPr>
        <w:t>Additional Representation</w:t>
      </w:r>
      <w:r>
        <w:rPr>
          <w:rFonts w:cs="Arial Narrow" w:ascii="Arial Narrow" w:hAnsi="Arial Narrow"/>
          <w:sz w:val="18"/>
        </w:rPr>
        <w:t>.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(other than Letters of Credit)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Exposed Party’s Rights and Remedies</w:t>
      </w:r>
      <w:r>
        <w:rPr>
          <w:rFonts w:cs="Arial Narrow" w:ascii="Arial Narrow" w:hAnsi="Arial Narrow"/>
          <w:sz w:val="18"/>
        </w:rPr>
        <w:t>.    If at any time (i) an Event of Default with respect to the Non-Exposed Party has occurred and is continuing or (ii) an Early Termination Date has occurred or been designated as a result of an Event of Default with respect to the Non-Exposed Party, then the Exposed Party may do any one or more of the following: (x) exercise any of the rights and remedies of a secured party with respect to the Performance Assurance provided by the Non-Exposed Party to it hereunder, including any such rights and remedies under law then in effect; (y) exercise its rights of setoff against any and all property of the Non-Exposed Party in the possession of the Exposed Party or its agent; or (z) draw on any outstanding Letter of Credit issued for its benefit.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7.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the Non-Exposed Party hereby grants to the Exposed Party a present and continuing first-priority security interest in, and lien on (and right of setoff against), all Performance Assurance (other than Letters of Credit)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8.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sectPr>
          <w:footerReference w:type="default" r:id="rId3"/>
          <w:footerReference w:type="first" r:id="rId4"/>
          <w:type w:val="nextPage"/>
          <w:pgSz w:w="12240" w:h="15840"/>
          <w:pgMar w:left="864" w:right="720" w:gutter="0" w:header="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the Exposed Party is not a Defaulting Party and no Early Termination Date has occurred or been designated as a result of an Event of Default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  Wherefore, the undersigned does hereby demand payment of the entire undrawn amount of the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sectPr>
          <w:footerReference w:type="default" r:id="rId5"/>
          <w:footerReference w:type="first" r:id="rId6"/>
          <w:type w:val="nextPage"/>
          <w:pgSz w:w="12240" w:h="15840"/>
          <w:pgMar w:left="1728" w:right="1728" w:gutter="0" w:header="0" w:top="1728" w:footer="720" w:bottom="1728"/>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ind w:start="5040" w:end="0"/>
        <w:rPr>
          <w:lang w:val="en-CA" w:eastAsia="en-CA"/>
        </w:rPr>
      </w:pPr>
      <w:r>
        <w:rPr>
          <w:rFonts w:cs="Arial Narrow" w:ascii="Arial Narrow" w:hAnsi="Arial Narrow"/>
          <w:sz w:val="18"/>
        </w:rPr>
        <w:t>[BANK SIGNATURE]</w:t>
      </w:r>
    </w:p>
    <w:p>
      <w:pPr>
        <w:pStyle w:val="Normal"/>
        <w:ind w:end="180"/>
        <w:jc w:val="center"/>
        <w:rPr>
          <w:rFonts w:ascii="Arial Narrow" w:hAnsi="Arial Narrow" w:cs="Arial Narrow"/>
          <w:b/>
          <w:bCs/>
          <w:sz w:val="18"/>
          <w:szCs w:val="22"/>
        </w:rPr>
      </w:pPr>
      <w:r>
        <w:rPr>
          <w:rFonts w:cs="Arial Narrow" w:ascii="Arial Narrow" w:hAnsi="Arial Narrow"/>
          <w:b/>
          <w:bCs/>
          <w:sz w:val="18"/>
          <w:szCs w:val="22"/>
          <w:u w:val="single"/>
        </w:rPr>
        <w:t>ANNEX B-2</w:t>
      </w:r>
    </w:p>
    <w:p>
      <w:pPr>
        <w:pStyle w:val="Normal"/>
        <w:ind w:end="180"/>
        <w:jc w:val="center"/>
        <w:rPr>
          <w:rFonts w:ascii="Arial Narrow" w:hAnsi="Arial Narrow" w:cs="Arial Narrow"/>
          <w:b/>
          <w:bCs/>
          <w:sz w:val="18"/>
          <w:szCs w:val="22"/>
        </w:rPr>
      </w:pPr>
      <w:r>
        <w:rPr>
          <w:rFonts w:cs="Arial Narrow" w:ascii="Arial Narrow" w:hAnsi="Arial Narrow"/>
          <w:b/>
          <w:bCs/>
          <w:sz w:val="18"/>
          <w:szCs w:val="22"/>
        </w:rPr>
      </w:r>
    </w:p>
    <w:p>
      <w:pPr>
        <w:pStyle w:val="Normal"/>
        <w:ind w:end="180"/>
        <w:jc w:val="center"/>
        <w:rPr>
          <w:rFonts w:ascii="Arial Narrow" w:hAnsi="Arial Narrow" w:cs="Arial Narrow"/>
          <w:b/>
          <w:bCs/>
          <w:sz w:val="18"/>
          <w:szCs w:val="22"/>
        </w:rPr>
      </w:pPr>
      <w:r>
        <w:rPr>
          <w:rFonts w:cs="Arial Narrow" w:ascii="Arial Narrow" w:hAnsi="Arial Narrow"/>
          <w:b/>
          <w:bCs/>
          <w:sz w:val="18"/>
          <w:szCs w:val="22"/>
        </w:rPr>
        <w:t>ENRON CORP.</w:t>
      </w:r>
    </w:p>
    <w:p>
      <w:pPr>
        <w:pStyle w:val="Normal"/>
        <w:spacing w:lineRule="exact" w:line="240"/>
        <w:ind w:end="180"/>
        <w:jc w:val="center"/>
        <w:rPr>
          <w:rFonts w:ascii="Arial Narrow" w:hAnsi="Arial Narrow" w:cs="Arial Narrow"/>
          <w:b/>
          <w:bCs/>
          <w:sz w:val="18"/>
          <w:szCs w:val="22"/>
          <w:u w:val="single"/>
        </w:rPr>
      </w:pPr>
      <w:r>
        <w:rPr>
          <w:rFonts w:cs="Arial Narrow" w:ascii="Arial Narrow" w:hAnsi="Arial Narrow"/>
          <w:b/>
          <w:bCs/>
          <w:sz w:val="18"/>
          <w:szCs w:val="22"/>
          <w:u w:val="single"/>
        </w:rPr>
      </w:r>
    </w:p>
    <w:p>
      <w:pPr>
        <w:pStyle w:val="Normal"/>
        <w:spacing w:lineRule="exact" w:line="240"/>
        <w:ind w:end="180"/>
        <w:jc w:val="center"/>
        <w:rPr>
          <w:rFonts w:ascii="Arial Narrow" w:hAnsi="Arial Narrow" w:cs="Arial Narrow"/>
          <w:sz w:val="18"/>
          <w:szCs w:val="22"/>
        </w:rPr>
      </w:pPr>
      <w:r>
        <w:rPr>
          <w:rFonts w:cs="Arial Narrow" w:ascii="Arial Narrow" w:hAnsi="Arial Narrow"/>
          <w:sz w:val="18"/>
          <w:szCs w:val="22"/>
          <w:u w:val="single"/>
        </w:rPr>
        <w:t>Guaranty</w:t>
      </w:r>
    </w:p>
    <w:p>
      <w:pPr>
        <w:pStyle w:val="Normal"/>
        <w:spacing w:lineRule="exact" w:line="48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This Guaranty (this “Guaranty”), dated effective as of November 14, 2001 (the “Effective Date”), is made and entered into by </w:t>
      </w:r>
      <w:r>
        <w:rPr>
          <w:rFonts w:cs="Arial Narrow" w:ascii="Arial Narrow" w:hAnsi="Arial Narrow"/>
          <w:caps/>
          <w:sz w:val="18"/>
          <w:szCs w:val="22"/>
        </w:rPr>
        <w:t>Enron Corp.</w:t>
      </w:r>
      <w:r>
        <w:rPr>
          <w:rFonts w:cs="Arial Narrow" w:ascii="Arial Narrow" w:hAnsi="Arial Narrow"/>
          <w:sz w:val="18"/>
          <w:szCs w:val="22"/>
        </w:rPr>
        <w:t>, an Oregon corporation (“Guarantor”).</w:t>
      </w:r>
    </w:p>
    <w:p>
      <w:pPr>
        <w:pStyle w:val="Normal"/>
        <w:keepNext w:val="true"/>
        <w:spacing w:lineRule="exact" w:line="240" w:before="480" w:after="0"/>
        <w:jc w:val="center"/>
        <w:rPr>
          <w:rFonts w:ascii="Arial Narrow" w:hAnsi="Arial Narrow" w:cs="Arial Narrow"/>
          <w:b/>
          <w:bCs/>
          <w:caps/>
          <w:sz w:val="18"/>
          <w:szCs w:val="22"/>
        </w:rPr>
      </w:pPr>
      <w:r>
        <w:rPr>
          <w:rFonts w:cs="Arial Narrow" w:ascii="Arial Narrow" w:hAnsi="Arial Narrow"/>
          <w:b/>
          <w:bCs/>
          <w:caps/>
          <w:sz w:val="18"/>
          <w:szCs w:val="22"/>
        </w:rPr>
        <w:t>W I T N E S S E T H:</w:t>
      </w:r>
    </w:p>
    <w:p>
      <w:pPr>
        <w:pStyle w:val="Normal"/>
        <w:spacing w:lineRule="atLeast" w:line="240"/>
        <w:jc w:val="both"/>
        <w:rPr>
          <w:rFonts w:ascii="Arial Narrow" w:hAnsi="Arial Narrow" w:cs="Arial Narrow"/>
          <w:b/>
          <w:bCs/>
          <w:caps/>
          <w:sz w:val="18"/>
          <w:szCs w:val="22"/>
        </w:rPr>
      </w:pPr>
      <w:r>
        <w:rPr>
          <w:rFonts w:cs="Arial Narrow" w:ascii="Arial Narrow" w:hAnsi="Arial Narrow"/>
          <w:b/>
          <w:bCs/>
          <w:caps/>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 xml:space="preserve">WHEREAS, FIDELITY CONTAINER CORPORATION, an Illinois corporation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(all such swap, option or other financially-settled derivative transactions and the agreements evidencing same, including without limitation,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WHEREAS, Guarantor will directly or indirectly benefit from the transactions to be entered into between Enron and Counterparty;</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NOW THEREFORE, in consideration of Counterparty entering into the Contract, Guarantor hereby covenants and agrees as follows:</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1.  </w:t>
      </w:r>
      <w:r>
        <w:rPr>
          <w:rFonts w:cs="Arial Narrow" w:ascii="Arial Narrow" w:hAnsi="Arial Narrow"/>
          <w:sz w:val="18"/>
          <w:szCs w:val="22"/>
          <w:u w:val="single"/>
        </w:rPr>
        <w:t>GUARANTY</w:t>
      </w:r>
      <w:r>
        <w:rPr>
          <w:rFonts w:cs="Arial Narrow" w:ascii="Arial Narrow" w:hAnsi="Arial Narrow"/>
          <w:sz w:val="18"/>
          <w:szCs w:val="22"/>
        </w:rPr>
        <w:t>.  Subject to the provisions hereof, Guarantor hereby irrevocably and unconditionally guarantees the timely payment when due of the obligations of Enron (the “Obligations”) to Counterparty under the Contract.  This Guaranty shall constitute a continuing guarantee and a guarantee of payment and not of collection.  The liability of Guarantor under this Guaranty shall be subject to the following:</w:t>
      </w:r>
    </w:p>
    <w:p>
      <w:pPr>
        <w:pStyle w:val="BodyTextIndent3"/>
        <w:widowControl w:val="false"/>
        <w:numPr>
          <w:ilvl w:val="0"/>
          <w:numId w:val="2"/>
        </w:numPr>
        <w:spacing w:lineRule="exact" w:line="240" w:before="240" w:after="0"/>
        <w:ind w:hanging="0" w:start="720" w:end="0"/>
        <w:rPr/>
      </w:pPr>
      <w:r>
        <w:rPr/>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numPr>
          <w:ilvl w:val="0"/>
          <w:numId w:val="2"/>
        </w:numPr>
        <w:spacing w:lineRule="exact" w:line="240" w:before="240" w:after="0"/>
        <w:ind w:hanging="0" w:start="720" w:end="0"/>
        <w:rPr/>
      </w:pPr>
      <w:r>
        <w:rPr/>
        <w:t>The aggregate amount covered by this Guaranty shall not exceed U.S. $15,000,000  (the “Guaranty Cap”).</w:t>
      </w:r>
    </w:p>
    <w:p>
      <w:pPr>
        <w:pStyle w:val="BodyTextIndent3"/>
        <w:spacing w:lineRule="exact" w:line="240" w:before="240" w:after="0"/>
        <w:ind w:hanging="0" w:start="0" w:end="0"/>
        <w:rPr/>
      </w:pPr>
      <w:r>
        <w:rPr/>
        <w:t>The Guaranty Cap shall not be affected by the holding or application of any collateral or other credit support by Counterparty.</w:t>
      </w:r>
    </w:p>
    <w:p>
      <w:pPr>
        <w:pStyle w:val="Normal"/>
        <w:spacing w:lineRule="atLeast" w:line="24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2.  </w:t>
      </w:r>
      <w:r>
        <w:rPr>
          <w:rFonts w:cs="Arial Narrow" w:ascii="Arial Narrow" w:hAnsi="Arial Narrow"/>
          <w:sz w:val="18"/>
          <w:szCs w:val="22"/>
          <w:u w:val="single"/>
        </w:rPr>
        <w:t>DEMANDS AND NOTICE</w:t>
      </w:r>
      <w:r>
        <w:rPr>
          <w:rFonts w:cs="Arial Narrow" w:ascii="Arial Narrow" w:hAnsi="Arial Narrow"/>
          <w:sz w:val="18"/>
          <w:szCs w:val="22"/>
        </w:rPr>
        <w:t>.  Upon the occurrence and during the continuance of an Event of Default or Termination Event, as may be defined in any Contract,</w:t>
      </w:r>
      <w:r>
        <w:rPr>
          <w:rFonts w:cs="Arial Narrow" w:ascii="Arial Narrow" w:hAnsi="Arial Narrow"/>
          <w:color w:val="FF0000"/>
          <w:sz w:val="18"/>
          <w:szCs w:val="22"/>
        </w:rPr>
        <w:t xml:space="preserve"> </w:t>
      </w:r>
      <w:r>
        <w:rPr>
          <w:rFonts w:cs="Arial Narrow" w:ascii="Arial Narrow" w:hAnsi="Arial Narrow"/>
          <w:sz w:val="18"/>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keepNext w:val="true"/>
        <w:spacing w:lineRule="atLeast" w:line="240"/>
        <w:ind w:firstLine="720" w:end="0"/>
        <w:jc w:val="both"/>
        <w:rPr/>
      </w:pPr>
      <w:r>
        <w:rPr>
          <w:rFonts w:cs="Arial Narrow" w:ascii="Arial Narrow" w:hAnsi="Arial Narrow"/>
          <w:sz w:val="18"/>
          <w:szCs w:val="22"/>
        </w:rPr>
        <w:t xml:space="preserve">3.  </w:t>
      </w:r>
      <w:r>
        <w:rPr>
          <w:rFonts w:cs="Arial Narrow" w:ascii="Arial Narrow" w:hAnsi="Arial Narrow"/>
          <w:sz w:val="18"/>
          <w:szCs w:val="22"/>
          <w:u w:val="single"/>
        </w:rPr>
        <w:t>REPRESENTATIONS AND WARRANTIES</w:t>
      </w:r>
      <w:r>
        <w:rPr>
          <w:rFonts w:cs="Arial Narrow" w:ascii="Arial Narrow" w:hAnsi="Arial Narrow"/>
          <w:sz w:val="18"/>
          <w:szCs w:val="22"/>
        </w:rPr>
        <w:t>.  Guarantor represents and warrants that:</w:t>
      </w:r>
    </w:p>
    <w:p>
      <w:pPr>
        <w:pStyle w:val="Normal"/>
        <w:keepNext w:val="true"/>
        <w:spacing w:lineRule="exact" w:line="240" w:before="240" w:after="0"/>
        <w:ind w:firstLine="630" w:start="810" w:end="0"/>
        <w:jc w:val="both"/>
        <w:rPr>
          <w:rFonts w:ascii="Arial Narrow" w:hAnsi="Arial Narrow" w:cs="Arial Narrow"/>
          <w:sz w:val="18"/>
          <w:szCs w:val="22"/>
        </w:rPr>
      </w:pPr>
      <w:r>
        <w:rPr>
          <w:rFonts w:cs="Arial Narrow" w:ascii="Arial Narrow" w:hAnsi="Arial Narrow"/>
          <w:sz w:val="18"/>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rFonts w:ascii="Arial Narrow" w:hAnsi="Arial Narrow" w:cs="Arial Narrow"/>
          <w:sz w:val="18"/>
          <w:szCs w:val="22"/>
        </w:rPr>
      </w:pPr>
      <w:r>
        <w:rPr>
          <w:rFonts w:cs="Arial Narrow" w:ascii="Arial Narrow" w:hAnsi="Arial Narrow"/>
          <w:sz w:val="18"/>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rFonts w:ascii="Arial Narrow" w:hAnsi="Arial Narrow" w:cs="Arial Narrow"/>
          <w:sz w:val="18"/>
          <w:szCs w:val="22"/>
        </w:rPr>
      </w:pPr>
      <w:r>
        <w:rPr>
          <w:rFonts w:cs="Arial Narrow" w:ascii="Arial Narrow" w:hAnsi="Arial Narrow"/>
          <w:sz w:val="18"/>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4.  </w:t>
      </w:r>
      <w:r>
        <w:rPr>
          <w:rFonts w:cs="Arial Narrow" w:ascii="Arial Narrow" w:hAnsi="Arial Narrow"/>
          <w:sz w:val="18"/>
          <w:szCs w:val="22"/>
          <w:u w:val="single"/>
        </w:rPr>
        <w:t>SETOFFS AND COUNTERCLAIMS</w:t>
      </w:r>
      <w:r>
        <w:rPr>
          <w:rFonts w:cs="Arial Narrow" w:ascii="Arial Narrow" w:hAnsi="Arial Narrow"/>
          <w:sz w:val="18"/>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5.  </w:t>
      </w:r>
      <w:r>
        <w:rPr>
          <w:rFonts w:cs="Arial Narrow" w:ascii="Arial Narrow" w:hAnsi="Arial Narrow"/>
          <w:sz w:val="18"/>
          <w:szCs w:val="22"/>
          <w:u w:val="single"/>
        </w:rPr>
        <w:t>AMENDMENT OF GUARANTY</w:t>
      </w:r>
      <w:r>
        <w:rPr>
          <w:rFonts w:cs="Arial Narrow" w:ascii="Arial Narrow" w:hAnsi="Arial Narrow"/>
          <w:sz w:val="18"/>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6.  </w:t>
      </w:r>
      <w:r>
        <w:rPr>
          <w:rFonts w:cs="Arial Narrow" w:ascii="Arial Narrow" w:hAnsi="Arial Narrow"/>
          <w:sz w:val="18"/>
          <w:szCs w:val="22"/>
          <w:u w:val="single"/>
        </w:rPr>
        <w:t>WAIVERS</w:t>
      </w:r>
      <w:r>
        <w:rPr>
          <w:rFonts w:cs="Arial Narrow" w:ascii="Arial Narrow" w:hAnsi="Arial Narrow"/>
          <w:sz w:val="18"/>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7.  </w:t>
      </w:r>
      <w:r>
        <w:rPr>
          <w:rFonts w:cs="Arial Narrow" w:ascii="Arial Narrow" w:hAnsi="Arial Narrow"/>
          <w:sz w:val="18"/>
          <w:szCs w:val="22"/>
          <w:u w:val="single"/>
        </w:rPr>
        <w:t>NOTICE</w:t>
      </w:r>
      <w:r>
        <w:rPr>
          <w:rFonts w:cs="Arial Narrow" w:ascii="Arial Narrow" w:hAnsi="Arial Narrow"/>
          <w:sz w:val="18"/>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rFonts w:ascii="Arial Narrow" w:hAnsi="Arial Narrow" w:cs="Arial Narrow"/>
          <w:sz w:val="18"/>
          <w:szCs w:val="22"/>
        </w:rPr>
      </w:pPr>
      <w:r>
        <w:rPr>
          <w:rFonts w:cs="Arial Narrow" w:ascii="Arial Narrow" w:hAnsi="Arial Narrow"/>
          <w:sz w:val="18"/>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rFonts w:ascii="Arial Narrow" w:hAnsi="Arial Narrow" w:cs="Arial Narrow"/>
                <w:color w:val="000000"/>
                <w:sz w:val="18"/>
                <w:szCs w:val="22"/>
              </w:rPr>
            </w:pPr>
            <w:r>
              <w:rPr>
                <w:rFonts w:cs="Arial Narrow" w:ascii="Arial Narrow" w:hAnsi="Arial Narrow"/>
                <w:color w:val="000000"/>
                <w:sz w:val="18"/>
                <w:szCs w:val="22"/>
              </w:rPr>
              <w:t>To Counterparty:</w:t>
            </w:r>
          </w:p>
        </w:tc>
        <w:tc>
          <w:tcPr>
            <w:tcW w:w="3330"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Fidelity Container Corporation</w:t>
            </w:r>
          </w:p>
        </w:tc>
        <w:tc>
          <w:tcPr>
            <w:tcW w:w="1530" w:type="dxa"/>
            <w:tcBorders/>
          </w:tcPr>
          <w:p>
            <w:pPr>
              <w:pStyle w:val="Normal"/>
              <w:keepNext w:val="true"/>
              <w:keepLines/>
              <w:spacing w:lineRule="atLeast" w:line="240"/>
              <w:rPr>
                <w:rFonts w:ascii="Arial Narrow" w:hAnsi="Arial Narrow" w:cs="Arial Narrow"/>
                <w:color w:val="000000"/>
                <w:sz w:val="18"/>
                <w:szCs w:val="22"/>
              </w:rPr>
            </w:pPr>
            <w:r>
              <w:rPr>
                <w:rFonts w:cs="Arial Narrow" w:ascii="Arial Narrow" w:hAnsi="Arial Narrow"/>
                <w:color w:val="000000"/>
                <w:sz w:val="18"/>
                <w:szCs w:val="22"/>
              </w:rPr>
              <w:t>To Guarantor:</w:t>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Enron Corp.</w:t>
            </w:r>
          </w:p>
        </w:tc>
      </w:tr>
      <w:tr>
        <w:trPr/>
        <w:tc>
          <w:tcPr>
            <w:tcW w:w="1908"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330"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1601 Lunt Avenue</w:t>
            </w:r>
          </w:p>
        </w:tc>
        <w:tc>
          <w:tcPr>
            <w:tcW w:w="1530"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1400 Smith Street</w:t>
            </w:r>
          </w:p>
        </w:tc>
      </w:tr>
      <w:tr>
        <w:trPr/>
        <w:tc>
          <w:tcPr>
            <w:tcW w:w="1908"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330"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Elk Grove Village, Illinois 60007</w:t>
            </w:r>
          </w:p>
        </w:tc>
        <w:tc>
          <w:tcPr>
            <w:tcW w:w="1530"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Houston, Texas 77002</w:t>
            </w:r>
          </w:p>
        </w:tc>
      </w:tr>
      <w:tr>
        <w:trPr/>
        <w:tc>
          <w:tcPr>
            <w:tcW w:w="1908"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330"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18"/>
                <w:szCs w:val="22"/>
                <w:u w:val="single"/>
              </w:rPr>
            </w:pPr>
            <w:r>
              <w:rPr>
                <w:rFonts w:cs="Arial Narrow" w:ascii="Arial Narrow" w:hAnsi="Arial Narrow"/>
                <w:color w:val="000000"/>
                <w:sz w:val="18"/>
                <w:szCs w:val="22"/>
              </w:rPr>
              <w:t>Attn.: Larry Carlson</w:t>
            </w:r>
          </w:p>
          <w:p>
            <w:pPr>
              <w:pStyle w:val="Normal"/>
              <w:keepNext w:val="true"/>
              <w:keepLines/>
              <w:tabs>
                <w:tab w:val="clear" w:pos="720"/>
                <w:tab w:val="left" w:pos="3132" w:leader="none"/>
              </w:tabs>
              <w:spacing w:lineRule="atLeast" w:line="240"/>
              <w:rPr>
                <w:rFonts w:ascii="Arial Narrow" w:hAnsi="Arial Narrow" w:cs="Arial Narrow"/>
                <w:color w:val="000000"/>
                <w:sz w:val="18"/>
                <w:szCs w:val="22"/>
                <w:u w:val="single"/>
              </w:rPr>
            </w:pPr>
            <w:r>
              <w:rPr>
                <w:rFonts w:cs="Arial Narrow" w:ascii="Arial Narrow" w:hAnsi="Arial Narrow"/>
                <w:color w:val="000000"/>
                <w:sz w:val="18"/>
                <w:szCs w:val="22"/>
                <w:u w:val="single"/>
              </w:rPr>
            </w:r>
          </w:p>
        </w:tc>
        <w:tc>
          <w:tcPr>
            <w:tcW w:w="1530"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Attn.:  Vice President, Finance and Treasurer</w:t>
            </w:r>
          </w:p>
        </w:tc>
      </w:tr>
      <w:tr>
        <w:trPr/>
        <w:tc>
          <w:tcPr>
            <w:tcW w:w="1908"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330"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Fax No.:  (847) 364-0385</w:t>
            </w:r>
          </w:p>
        </w:tc>
        <w:tc>
          <w:tcPr>
            <w:tcW w:w="1530"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Fax No.:  (713) 646-3422</w:t>
            </w:r>
          </w:p>
        </w:tc>
      </w:tr>
    </w:tbl>
    <w:p>
      <w:pPr>
        <w:pStyle w:val="Normal"/>
        <w:tabs>
          <w:tab w:val="clear" w:pos="720"/>
          <w:tab w:val="left" w:pos="2880" w:leader="none"/>
          <w:tab w:val="left" w:pos="6480" w:leader="none"/>
        </w:tabs>
        <w:spacing w:lineRule="exact" w:line="240"/>
        <w:ind w:start="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jc w:val="both"/>
        <w:rPr>
          <w:rFonts w:ascii="Arial Narrow" w:hAnsi="Arial Narrow" w:cs="Arial Narrow"/>
          <w:sz w:val="18"/>
          <w:szCs w:val="22"/>
        </w:rPr>
      </w:pPr>
      <w:r>
        <w:rPr>
          <w:rFonts w:cs="Arial Narrow" w:ascii="Arial Narrow" w:hAnsi="Arial Narrow"/>
          <w:sz w:val="18"/>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8.  </w:t>
      </w:r>
      <w:r>
        <w:rPr>
          <w:rFonts w:cs="Arial Narrow" w:ascii="Arial Narrow" w:hAnsi="Arial Narrow"/>
          <w:sz w:val="18"/>
          <w:szCs w:val="22"/>
          <w:u w:val="single"/>
        </w:rPr>
        <w:t>MISCELLANEOUS</w:t>
      </w:r>
      <w:r>
        <w:rPr>
          <w:rFonts w:cs="Arial Narrow" w:ascii="Arial Narrow" w:hAnsi="Arial Narrow"/>
          <w:sz w:val="18"/>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IN WITNESS WHEREOF, the Guarantor has executed this Guaranty on </w:t>
        <w:tab/>
      </w:r>
      <w:r>
        <w:rPr>
          <w:rFonts w:cs="Arial Narrow" w:ascii="Arial Narrow" w:hAnsi="Arial Narrow"/>
          <w:sz w:val="18"/>
          <w:szCs w:val="22"/>
          <w:u w:val="single"/>
        </w:rPr>
        <w:tab/>
      </w:r>
      <w:r>
        <w:rPr>
          <w:rFonts w:cs="Arial Narrow" w:ascii="Arial Narrow" w:hAnsi="Arial Narrow"/>
          <w:sz w:val="18"/>
          <w:szCs w:val="22"/>
        </w:rPr>
        <w:t>, 2001, but it is effective as of the Effective Date.</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start="5040" w:end="0"/>
        <w:jc w:val="both"/>
        <w:rPr>
          <w:rFonts w:ascii="Arial Narrow" w:hAnsi="Arial Narrow" w:cs="Arial Narrow"/>
          <w:b/>
          <w:bCs/>
          <w:sz w:val="18"/>
          <w:szCs w:val="22"/>
        </w:rPr>
      </w:pPr>
      <w:r>
        <w:rPr>
          <w:rFonts w:cs="Arial Narrow" w:ascii="Arial Narrow" w:hAnsi="Arial Narrow"/>
          <w:b/>
          <w:bCs/>
          <w:sz w:val="18"/>
          <w:szCs w:val="22"/>
        </w:rPr>
        <w:t>ENRON CORP.</w:t>
      </w:r>
    </w:p>
    <w:p>
      <w:pPr>
        <w:pStyle w:val="Normal"/>
        <w:spacing w:lineRule="atLeast" w:line="240"/>
        <w:ind w:start="5040" w:end="0"/>
        <w:jc w:val="both"/>
        <w:rPr>
          <w:rFonts w:ascii="Arial Narrow" w:hAnsi="Arial Narrow" w:cs="Arial Narrow"/>
          <w:b/>
          <w:bCs/>
          <w:sz w:val="18"/>
          <w:szCs w:val="22"/>
        </w:rPr>
      </w:pPr>
      <w:r>
        <w:rPr>
          <w:rFonts w:cs="Arial Narrow" w:ascii="Arial Narrow" w:hAnsi="Arial Narrow"/>
          <w:b/>
          <w:bCs/>
          <w:sz w:val="18"/>
          <w:szCs w:val="22"/>
        </w:rPr>
      </w:r>
    </w:p>
    <w:p>
      <w:pPr>
        <w:pStyle w:val="Normal"/>
        <w:spacing w:lineRule="atLeast" w:line="240"/>
        <w:ind w:start="5040" w:end="0"/>
        <w:jc w:val="both"/>
        <w:rPr>
          <w:rFonts w:ascii="Arial Narrow" w:hAnsi="Arial Narrow" w:cs="Arial Narrow"/>
          <w:b/>
          <w:bCs/>
          <w:sz w:val="18"/>
          <w:szCs w:val="22"/>
        </w:rPr>
      </w:pPr>
      <w:r>
        <w:rPr>
          <w:rFonts w:cs="Arial Narrow" w:ascii="Arial Narrow" w:hAnsi="Arial Narrow"/>
          <w:b/>
          <w:bCs/>
          <w:sz w:val="18"/>
          <w:szCs w:val="22"/>
        </w:rPr>
      </w:r>
    </w:p>
    <w:p>
      <w:pPr>
        <w:pStyle w:val="Normal"/>
        <w:spacing w:lineRule="atLeast" w:line="240"/>
        <w:ind w:start="5040" w:end="0"/>
        <w:jc w:val="both"/>
        <w:rPr>
          <w:rFonts w:ascii="Arial Narrow" w:hAnsi="Arial Narrow" w:cs="Arial Narrow"/>
          <w:sz w:val="18"/>
          <w:szCs w:val="22"/>
        </w:rPr>
      </w:pPr>
      <w:r>
        <w:rPr>
          <w:rFonts w:cs="Arial Narrow" w:ascii="Arial Narrow" w:hAnsi="Arial Narrow"/>
          <w:sz w:val="18"/>
          <w:szCs w:val="22"/>
        </w:rPr>
        <w:t xml:space="preserve">By:  </w:t>
      </w:r>
      <w:r>
        <w:rPr>
          <w:rFonts w:cs="Arial Narrow" w:ascii="Arial Narrow" w:hAnsi="Arial Narrow"/>
          <w:sz w:val="18"/>
          <w:szCs w:val="22"/>
          <w:u w:val="single"/>
        </w:rPr>
        <w:tab/>
        <w:tab/>
        <w:tab/>
        <w:tab/>
        <w:tab/>
      </w:r>
    </w:p>
    <w:p>
      <w:pPr>
        <w:pStyle w:val="Normal"/>
        <w:spacing w:lineRule="atLeast" w:line="240"/>
        <w:ind w:start="5040" w:end="0"/>
        <w:jc w:val="both"/>
        <w:rPr>
          <w:rFonts w:ascii="Arial Narrow" w:hAnsi="Arial Narrow" w:cs="Arial Narrow"/>
          <w:sz w:val="18"/>
          <w:szCs w:val="22"/>
        </w:rPr>
      </w:pPr>
      <w:r>
        <w:rPr>
          <w:rFonts w:cs="Arial Narrow" w:ascii="Arial Narrow" w:hAnsi="Arial Narrow"/>
          <w:sz w:val="18"/>
          <w:szCs w:val="22"/>
        </w:rPr>
        <w:t xml:space="preserve">Name:  </w:t>
      </w:r>
      <w:r>
        <w:rPr>
          <w:rFonts w:cs="Arial Narrow" w:ascii="Arial Narrow" w:hAnsi="Arial Narrow"/>
          <w:sz w:val="18"/>
          <w:szCs w:val="22"/>
          <w:u w:val="single"/>
        </w:rPr>
        <w:tab/>
        <w:tab/>
        <w:tab/>
        <w:tab/>
        <w:tab/>
      </w:r>
    </w:p>
    <w:p>
      <w:pPr>
        <w:pStyle w:val="Normal"/>
        <w:spacing w:lineRule="atLeast" w:line="240"/>
        <w:ind w:start="5040" w:end="0"/>
        <w:jc w:val="both"/>
        <w:rPr>
          <w:rFonts w:ascii="Arial Narrow" w:hAnsi="Arial Narrow" w:cs="Arial Narrow"/>
          <w:sz w:val="18"/>
          <w:szCs w:val="22"/>
        </w:rPr>
      </w:pPr>
      <w:r>
        <w:rPr>
          <w:rFonts w:cs="Arial Narrow" w:ascii="Arial Narrow" w:hAnsi="Arial Narrow"/>
          <w:sz w:val="18"/>
          <w:szCs w:val="22"/>
        </w:rPr>
        <w:t xml:space="preserve">Title:  </w:t>
      </w:r>
      <w:r>
        <w:rPr>
          <w:rFonts w:cs="Arial Narrow" w:ascii="Arial Narrow" w:hAnsi="Arial Narrow"/>
          <w:sz w:val="18"/>
          <w:szCs w:val="22"/>
          <w:u w:val="single"/>
        </w:rPr>
        <w:tab/>
        <w:tab/>
        <w:tab/>
        <w:tab/>
        <w:tab/>
      </w:r>
    </w:p>
    <w:p>
      <w:pPr>
        <w:pStyle w:val="Normal"/>
        <w:tabs>
          <w:tab w:val="clear" w:pos="720"/>
          <w:tab w:val="left" w:pos="4320" w:leader="none"/>
          <w:tab w:val="left" w:pos="5040" w:leader="none"/>
          <w:tab w:val="left" w:pos="5760" w:leader="none"/>
        </w:tabs>
        <w:ind w:start="5040" w:end="0"/>
        <w:rPr>
          <w:rFonts w:ascii="Arial Narrow" w:hAnsi="Arial Narrow" w:cs="Arial Narrow"/>
          <w:sz w:val="18"/>
          <w:szCs w:val="22"/>
        </w:rPr>
      </w:pPr>
      <w:r>
        <w:rPr>
          <w:rFonts w:cs="Arial Narrow" w:ascii="Arial Narrow" w:hAnsi="Arial Narrow"/>
          <w:sz w:val="18"/>
          <w:szCs w:val="22"/>
        </w:rPr>
      </w:r>
    </w:p>
    <w:p>
      <w:pPr>
        <w:pStyle w:val="Normal"/>
        <w:jc w:val="center"/>
        <w:rPr>
          <w:rFonts w:ascii="Arial Narrow" w:hAnsi="Arial Narrow" w:cs="Arial Narrow"/>
          <w:sz w:val="18"/>
        </w:rPr>
      </w:pPr>
      <w:r>
        <w:rPr>
          <w:rFonts w:cs="Arial Narrow" w:ascii="Arial Narrow" w:hAnsi="Arial Narrow"/>
          <w:sz w:val="18"/>
        </w:rPr>
      </w:r>
    </w:p>
    <w:p>
      <w:pPr>
        <w:pStyle w:val="Header"/>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sectPr>
      <w:footerReference w:type="default" r:id="rId7"/>
      <w:footerReference w:type="first" r:id="rId8"/>
      <w:type w:val="nextPage"/>
      <w:pgSz w:w="12240" w:h="15840"/>
      <w:pgMar w:left="1728" w:right="1728" w:gutter="0" w:header="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Arial Narrow" w:ascii="Arial Narrow" w:hAnsi="Arial Narrow"/>
        <w:sz w:val="16"/>
      </w:rPr>
      <w:t>O:\Legal\Sbailey\Conf\197conf(fidelity container).doc</w:t>
    </w:r>
  </w:p>
  <w:p>
    <w:pPr>
      <w:pStyle w:val="Footer"/>
      <w:jc w:val="center"/>
      <w:rPr>
        <w:rFonts w:ascii="Arial Narrow" w:hAnsi="Arial Narrow" w:cs="Arial Narrow"/>
        <w:sz w:val="16"/>
      </w:rPr>
    </w:pPr>
    <w:r>
      <w:rPr>
        <w:rStyle w:val="PageNumber"/>
        <w:rFonts w:cs="Arial Narrow" w:ascii="Arial Narrow" w:hAnsi="Arial Narrow"/>
        <w:sz w:val="16"/>
      </w:rPr>
      <w:t>Annex B</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2</w:t>
    </w:r>
    <w:r>
      <w:rPr>
        <w:rStyle w:val="PageNumbe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Arial Narrow" w:ascii="Arial Narrow" w:hAnsi="Arial Narrow"/>
        <w:sz w:val="16"/>
      </w:rPr>
      <w:t>O:\Legal\Sbailey\Conf\197conf(fidelity container).doc</w:t>
    </w:r>
  </w:p>
  <w:p>
    <w:pPr>
      <w:pStyle w:val="Footer"/>
      <w:rPr>
        <w:rStyle w:val="PageNumber"/>
        <w:rFonts w:ascii="Arial Narrow" w:hAnsi="Arial Narrow" w:cs="Arial Narrow"/>
        <w:sz w:val="16"/>
      </w:rPr>
    </w:pPr>
    <w:r>
      <w:rPr/>
    </w:r>
  </w:p>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Arial Narrow" w:ascii="Arial Narrow" w:hAnsi="Arial Narrow"/>
        <w:sz w:val="16"/>
      </w:rPr>
      <w:t>O:\Legal\Sbailey\Conf\197conf(fidelity container).doc</w:t>
    </w:r>
  </w:p>
  <w:p>
    <w:pPr>
      <w:pStyle w:val="Footer"/>
      <w:rPr>
        <w:rStyle w:val="PageNumber"/>
        <w:rFonts w:ascii="Arial Narrow" w:hAnsi="Arial Narrow" w:cs="Arial Narrow"/>
        <w:sz w:val="16"/>
      </w:rPr>
    </w:pPr>
    <w:r>
      <w:rPr/>
    </w:r>
  </w:p>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6</w:t>
    </w:r>
    <w:r>
      <w:rPr>
        <w:rStyle w:val="PageNumber"/>
        <w:sz w:val="16"/>
        <w:rFonts w:cs="Arial Narrow" w:ascii="Arial Narrow" w:hAnsi="Arial Narrow"/>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Arial Narrow" w:ascii="Arial Narrow" w:hAnsi="Arial Narrow"/>
        <w:sz w:val="16"/>
      </w:rPr>
      <w:t>O:\Legal\Sbailey\Conf\197conf(fidelity container).doc</w:t>
    </w:r>
  </w:p>
  <w:p>
    <w:pPr>
      <w:pStyle w:val="Footer"/>
      <w:rPr>
        <w:rStyle w:val="PageNumber"/>
        <w:rFonts w:ascii="Arial Narrow" w:hAnsi="Arial Narrow" w:cs="Arial Narrow"/>
        <w:sz w:val="16"/>
      </w:rPr>
    </w:pPr>
    <w:r>
      <w:rPr/>
    </w:r>
  </w:p>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9</w:t>
    </w:r>
    <w:r>
      <w:rPr>
        <w:rStyle w:val="PageNumber"/>
        <w:sz w:val="16"/>
        <w:rFonts w:cs="Arial Narrow" w:ascii="Arial Narrow" w:hAnsi="Arial Narrow"/>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140"/>
        </w:tabs>
        <w:ind w:start="1140" w:hanging="4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2001-11-15T18:05:00Z</dcterms:created>
  <dc:creator>mheard</dc:creator>
  <dc:description/>
  <dc:language>en-CA</dc:language>
  <cp:lastModifiedBy>Susan Bailey</cp:lastModifiedBy>
  <cp:lastPrinted>2001-11-15T16:00:00Z</cp:lastPrinted>
  <dcterms:modified xsi:type="dcterms:W3CDTF">2001-11-15T19:33:00Z</dcterms:modified>
  <cp:revision>8</cp:revision>
  <dc:subject/>
  <dc:title>DRAFT OF 10/15/99</dc:title>
</cp:coreProperties>
</file>