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caps/>
          <w:color w:val="000000"/>
          <w:sz w:val="17"/>
        </w:rPr>
      </w:pPr>
      <w:r>
        <w:rPr>
          <w:b/>
          <w:caps/>
          <w:sz w:val="17"/>
        </w:rPr>
        <w:t>Project Name:</w:t>
      </w:r>
      <w:r>
        <w:rPr>
          <w:b/>
          <w:sz w:val="17"/>
        </w:rPr>
        <w:t xml:space="preserve">  </w:t>
      </w:r>
      <w:r>
        <w:rPr>
          <w:b/>
          <w:color w:val="000000"/>
          <w:sz w:val="17"/>
        </w:rPr>
        <w:t>CONSTRUCTION OF THE PINEDALE SUBSTATION</w:t>
      </w:r>
    </w:p>
    <w:p>
      <w:pPr>
        <w:pStyle w:val="Normal"/>
        <w:widowControl/>
        <w:rPr>
          <w:b/>
          <w:color w:val="000000"/>
          <w:sz w:val="17"/>
        </w:rPr>
      </w:pPr>
      <w:r>
        <w:rPr>
          <w:b/>
          <w:color w:val="000000"/>
          <w:sz w:val="17"/>
        </w:rPr>
        <w:t>ADVICE LETTER NUMBER:  1965-E</w:t>
      </w:r>
    </w:p>
    <w:p>
      <w:pPr>
        <w:pStyle w:val="Normal"/>
        <w:widowControl/>
        <w:rPr>
          <w:b/>
          <w:color w:val="000000"/>
          <w:sz w:val="17"/>
        </w:rPr>
      </w:pPr>
      <w:r>
        <w:rPr>
          <w:b/>
          <w:color w:val="000000"/>
          <w:sz w:val="17"/>
        </w:rPr>
      </w:r>
    </w:p>
    <w:p>
      <w:pPr>
        <w:pStyle w:val="Normal"/>
        <w:widowControl/>
        <w:jc w:val="both"/>
        <w:rPr>
          <w:sz w:val="17"/>
        </w:rPr>
      </w:pPr>
      <w:r>
        <w:rPr>
          <w:b/>
          <w:sz w:val="17"/>
        </w:rPr>
        <w:t>Proposed Project:</w:t>
      </w:r>
      <w:r>
        <w:rPr>
          <w:sz w:val="17"/>
        </w:rPr>
        <w:t xml:space="preserve">  Pacific Gas and Electric Company </w:t>
      </w:r>
      <w:r>
        <w:rPr>
          <w:color w:val="000000"/>
          <w:sz w:val="17"/>
        </w:rPr>
        <w:t>proposes to construct a new three bank 115 kilovolt substation in the unincorporated area of Pinedale, in the City of Fresno, as part of the new  Palm Buffs Corporate Center industrial park.  The substation will be located within Lot 103 and shown on Tract No. 4637 recorded in Volume 62 of Plats at pages 39 through 48 Fresno County Records.  Pacific Gas and Electric Company will also construct take down structures from tower 7/38 of the existing Herndon-Bullard 115 kilovolt power line located on Lot 103.  The line will then tie into the proposed substation.  No other properties will be impacted by the construction of the proposed substation.  Construction is scheduled to begin in March 2000, and the new facilities should be in operation by the year 2002.</w:t>
      </w:r>
    </w:p>
    <w:p>
      <w:pPr>
        <w:pStyle w:val="Normal"/>
        <w:widowControl/>
        <w:rPr>
          <w:sz w:val="17"/>
        </w:rPr>
      </w:pPr>
      <w:r>
        <w:rPr>
          <w:sz w:val="17"/>
        </w:rPr>
      </w:r>
    </w:p>
    <w:p>
      <w:pPr>
        <w:pStyle w:val="Normal"/>
        <w:widowControl/>
        <w:jc w:val="both"/>
        <w:rPr/>
      </w:pPr>
      <w:r>
        <w:rPr>
          <w:b/>
          <w:sz w:val="17"/>
        </w:rPr>
        <w:t>Electric and Magnetic Fields (EMF):</w:t>
      </w:r>
      <w:r>
        <w:rPr>
          <w:sz w:val="17"/>
        </w:rPr>
        <w:t xml:space="preserve">  Pacific Gas and Electric Company will employ “no cost” and “low cost” measures to reduce public exposure to EMF in accordance with California Public Utilities Commission (CPUC) Decision 93-11-013 and Pacific Gas and Electric Company’s “EMF Design Guidelines of New Electrical Facilities:  Transmission, Substation, and Distribution.”  The following measure</w:t>
      </w:r>
      <w:r>
        <w:rPr>
          <w:color w:val="000000"/>
          <w:sz w:val="17"/>
        </w:rPr>
        <w:t>s</w:t>
      </w:r>
      <w:r>
        <w:rPr>
          <w:sz w:val="17"/>
        </w:rPr>
        <w:t xml:space="preserve"> are proposed for this project</w:t>
      </w:r>
      <w:r>
        <w:rPr>
          <w:color w:val="000000"/>
          <w:sz w:val="17"/>
        </w:rPr>
        <w:t>:</w:t>
      </w:r>
    </w:p>
    <w:p>
      <w:pPr>
        <w:pStyle w:val="Normal"/>
        <w:widowControl/>
        <w:rPr>
          <w:color w:val="000000"/>
          <w:sz w:val="17"/>
        </w:rPr>
      </w:pPr>
      <w:r>
        <w:rPr>
          <w:color w:val="000000"/>
          <w:sz w:val="17"/>
        </w:rPr>
      </w:r>
    </w:p>
    <w:p>
      <w:pPr>
        <w:pStyle w:val="Normal"/>
        <w:numPr>
          <w:ilvl w:val="0"/>
          <w:numId w:val="1"/>
        </w:numPr>
        <w:ind w:hanging="360" w:start="540" w:end="0"/>
        <w:jc w:val="both"/>
        <w:rPr>
          <w:sz w:val="17"/>
        </w:rPr>
      </w:pPr>
      <w:r>
        <w:rPr>
          <w:sz w:val="17"/>
        </w:rPr>
        <w:t>Compacting the equipment spacing within the substation.  The 115 kilovolt Pinedale Substation equipment would fit in an approximately 300' x 300' area (two acres).  A conventional three bank substation would require a larger area (approximately three acres) for the substation equipment only.  This compaction reduces the EMF field at the fence line by increasing the distance between equipment and fence line.</w:t>
      </w:r>
    </w:p>
    <w:p>
      <w:pPr>
        <w:pStyle w:val="Normal"/>
        <w:numPr>
          <w:ilvl w:val="0"/>
          <w:numId w:val="1"/>
        </w:numPr>
        <w:ind w:hanging="360" w:start="540" w:end="0"/>
        <w:jc w:val="both"/>
        <w:rPr>
          <w:sz w:val="17"/>
        </w:rPr>
      </w:pPr>
      <w:r>
        <w:rPr>
          <w:sz w:val="17"/>
        </w:rPr>
        <w:t>Low-side metal clad switchgear reduces low-side bus phase spacing from three feet (used in low-profile buses) to one foot.  This reduces the EMF contribution from the 21 kilovolt bus. (A BUSS structure is where the wires from the towerline meet the wires from the substation.)</w:t>
      </w:r>
    </w:p>
    <w:p>
      <w:pPr>
        <w:pStyle w:val="Normal"/>
        <w:numPr>
          <w:ilvl w:val="0"/>
          <w:numId w:val="1"/>
        </w:numPr>
        <w:ind w:hanging="360" w:start="540" w:end="0"/>
        <w:jc w:val="both"/>
        <w:rPr>
          <w:sz w:val="17"/>
        </w:rPr>
      </w:pPr>
      <w:r>
        <w:rPr>
          <w:sz w:val="17"/>
        </w:rPr>
        <w:t>Use of underground 21 kilovolt feeder termination to the property limit.</w:t>
      </w:r>
    </w:p>
    <w:p>
      <w:pPr>
        <w:pStyle w:val="Normal"/>
        <w:widowControl/>
        <w:rPr>
          <w:b/>
          <w:sz w:val="17"/>
        </w:rPr>
      </w:pPr>
      <w:r>
        <w:rPr>
          <w:b/>
          <w:sz w:val="17"/>
        </w:rPr>
      </w:r>
    </w:p>
    <w:p>
      <w:pPr>
        <w:pStyle w:val="Normal"/>
        <w:widowControl/>
        <w:jc w:val="both"/>
        <w:rPr/>
      </w:pPr>
      <w:r>
        <w:rPr>
          <w:b/>
          <w:sz w:val="17"/>
        </w:rPr>
        <w:t>Exemption from CPUC Authority:</w:t>
      </w:r>
      <w:r>
        <w:rPr>
          <w:sz w:val="17"/>
        </w:rPr>
        <w:t xml:space="preserve">  Pursuant to CPUC General Order 131-D, Section III, B.1, projects meeting specific conditions are exempt from the CPUC’s requirement to file an application requesting authority to construct.  Pacific Gas and Electric Company believes this project qualifies for the following exemption</w:t>
      </w:r>
      <w:r>
        <w:rPr>
          <w:color w:val="000000"/>
          <w:sz w:val="17"/>
        </w:rPr>
        <w:t>s</w:t>
      </w:r>
      <w:r>
        <w:rPr>
          <w:sz w:val="17"/>
        </w:rPr>
        <w:t>:</w:t>
      </w:r>
    </w:p>
    <w:p>
      <w:pPr>
        <w:pStyle w:val="Normal"/>
        <w:rPr>
          <w:sz w:val="17"/>
        </w:rPr>
      </w:pPr>
      <w:r>
        <w:rPr>
          <w:sz w:val="17"/>
        </w:rPr>
      </w:r>
    </w:p>
    <w:p>
      <w:pPr>
        <w:pStyle w:val="Normal"/>
        <w:numPr>
          <w:ilvl w:val="0"/>
          <w:numId w:val="2"/>
        </w:numPr>
        <w:tabs>
          <w:tab w:val="clear" w:pos="720"/>
          <w:tab w:val="left" w:pos="360" w:leader="none"/>
        </w:tabs>
        <w:jc w:val="both"/>
        <w:rPr>
          <w:sz w:val="17"/>
        </w:rPr>
      </w:pPr>
      <w:r>
        <w:rPr>
          <w:sz w:val="17"/>
        </w:rPr>
        <w:t>power lines or substations to be relocated or constructed which have undergone environmental review pursuant to CEQA as part of a larger project, and for which the final CEQA document (Environmental Impact Report (EIR) or Negative Declaration) finds no significant unavoidable environmental impacts caused by the proposed line or substation.</w:t>
      </w:r>
    </w:p>
    <w:p>
      <w:pPr>
        <w:pStyle w:val="Normal"/>
        <w:rPr>
          <w:sz w:val="17"/>
        </w:rPr>
      </w:pPr>
      <w:r>
        <w:rPr>
          <w:sz w:val="17"/>
        </w:rPr>
      </w:r>
    </w:p>
    <w:p>
      <w:pPr>
        <w:pStyle w:val="Normal"/>
        <w:numPr>
          <w:ilvl w:val="0"/>
          <w:numId w:val="2"/>
        </w:numPr>
        <w:tabs>
          <w:tab w:val="clear" w:pos="720"/>
          <w:tab w:val="left" w:pos="360" w:leader="none"/>
        </w:tabs>
        <w:jc w:val="both"/>
        <w:rPr>
          <w:sz w:val="17"/>
        </w:rPr>
      </w:pPr>
      <w:r>
        <w:rPr>
          <w:sz w:val="17"/>
        </w:rPr>
        <w:t>power line facilities or substations to be located in an existing franchise, road-widening setback easement, or public utility easement; or in a utility corridor designated, precisely mapped and officially adopted pursuant to law by federal, state, or local agencies for which a final Negative Declaration or EIR finds no significant unavoidable environmental impacts.</w:t>
      </w:r>
    </w:p>
    <w:p>
      <w:pPr>
        <w:pStyle w:val="Normal"/>
        <w:rPr>
          <w:sz w:val="17"/>
        </w:rPr>
      </w:pPr>
      <w:r>
        <w:rPr>
          <w:sz w:val="17"/>
        </w:rPr>
      </w:r>
    </w:p>
    <w:p>
      <w:pPr>
        <w:pStyle w:val="BodyText"/>
        <w:jc w:val="both"/>
        <w:rPr>
          <w:sz w:val="17"/>
        </w:rPr>
      </w:pPr>
      <w:r>
        <w:rPr>
          <w:color w:val="000000"/>
          <w:sz w:val="17"/>
        </w:rPr>
        <w:t>The City of Fresno prepared an Environmental Impact Report, No. 10096, dated November 9, 1988, for the Bullard Community Plan, State Clearing House No. 1987030914.  Also filed was a Mitigated Negative Declaration for the Palm Bluffs Corporate Center, Environmental Assessment No. E-95-07/R-95-10, dated October 30, 1996.  No significant unavoidable environmental impacts were identified for PG&amp;E’s proposed substation.</w:t>
      </w:r>
    </w:p>
    <w:p>
      <w:pPr>
        <w:pStyle w:val="Normal"/>
        <w:rPr>
          <w:sz w:val="17"/>
        </w:rPr>
      </w:pPr>
      <w:r>
        <w:rPr>
          <w:sz w:val="17"/>
        </w:rPr>
      </w:r>
    </w:p>
    <w:p>
      <w:pPr>
        <w:pStyle w:val="Normal"/>
        <w:widowControl/>
        <w:jc w:val="both"/>
        <w:rPr/>
      </w:pPr>
      <w:r>
        <w:rPr>
          <w:b/>
          <w:sz w:val="17"/>
        </w:rPr>
        <w:t>Public Review Process:</w:t>
      </w:r>
      <w:r>
        <w:rPr>
          <w:sz w:val="17"/>
        </w:rPr>
        <w:t xml:space="preserve">  Persons or groups may protest the proposed construction if they believe that Pacific Gas and Electric Company has incorrectly applied for an exemption or that the conditions set out in Section III.B.2 of GO 131-D exist.</w:t>
      </w:r>
    </w:p>
    <w:p>
      <w:pPr>
        <w:pStyle w:val="Normal"/>
        <w:widowControl/>
        <w:rPr>
          <w:sz w:val="17"/>
        </w:rPr>
      </w:pPr>
      <w:r>
        <w:rPr>
          <w:sz w:val="17"/>
        </w:rPr>
      </w:r>
    </w:p>
    <w:p>
      <w:pPr>
        <w:pStyle w:val="Normal"/>
        <w:widowControl/>
        <w:rPr/>
      </w:pPr>
      <w:r>
        <w:rPr>
          <w:sz w:val="17"/>
        </w:rPr>
        <w:t>Protests must be filed by</w:t>
      </w:r>
      <w:r>
        <w:rPr>
          <w:color w:val="000000"/>
          <w:sz w:val="17"/>
        </w:rPr>
        <w:t xml:space="preserve"> </w:t>
      </w:r>
      <w:r>
        <w:rPr>
          <w:b/>
          <w:color w:val="FF0000"/>
          <w:sz w:val="17"/>
        </w:rPr>
        <w:t>February 23, 2000</w:t>
      </w:r>
      <w:r>
        <w:rPr>
          <w:color w:val="000000"/>
          <w:sz w:val="17"/>
        </w:rPr>
        <w:t>,</w:t>
      </w:r>
      <w:r>
        <w:rPr>
          <w:sz w:val="17"/>
        </w:rPr>
        <w:t xml:space="preserve"> and should include the following:</w:t>
      </w:r>
    </w:p>
    <w:p>
      <w:pPr>
        <w:pStyle w:val="Normal"/>
        <w:widowControl/>
        <w:rPr>
          <w:sz w:val="17"/>
        </w:rPr>
      </w:pPr>
      <w:r>
        <w:rPr>
          <w:sz w:val="17"/>
        </w:rPr>
      </w:r>
    </w:p>
    <w:p>
      <w:pPr>
        <w:pStyle w:val="Normal"/>
        <w:widowControl/>
        <w:ind w:hanging="360" w:start="360" w:end="0"/>
        <w:rPr>
          <w:sz w:val="17"/>
        </w:rPr>
      </w:pPr>
      <w:r>
        <w:rPr>
          <w:sz w:val="17"/>
        </w:rPr>
        <w:t>1.</w:t>
        <w:tab/>
        <w:t>Your name, mailing address and daytime telephone number.</w:t>
      </w:r>
    </w:p>
    <w:p>
      <w:pPr>
        <w:pStyle w:val="Normal"/>
        <w:widowControl/>
        <w:ind w:hanging="360" w:start="360" w:end="0"/>
        <w:rPr>
          <w:sz w:val="17"/>
        </w:rPr>
      </w:pPr>
      <w:r>
        <w:rPr>
          <w:sz w:val="17"/>
        </w:rPr>
        <w:t>2.</w:t>
        <w:tab/>
        <w:t>Reference to the CPUC Advice Letter Number and Project Name identified.</w:t>
      </w:r>
    </w:p>
    <w:p>
      <w:pPr>
        <w:pStyle w:val="Normal"/>
        <w:widowControl/>
        <w:ind w:hanging="360" w:start="360" w:end="0"/>
        <w:rPr>
          <w:sz w:val="17"/>
        </w:rPr>
      </w:pPr>
      <w:r>
        <w:rPr>
          <w:sz w:val="17"/>
        </w:rPr>
        <w:t>3.</w:t>
        <w:tab/>
        <w:t>A clear description of the reason for the protest.</w:t>
      </w:r>
    </w:p>
    <w:p>
      <w:pPr>
        <w:pStyle w:val="Normal"/>
        <w:widowControl/>
        <w:rPr>
          <w:sz w:val="17"/>
        </w:rPr>
      </w:pPr>
      <w:r>
        <w:rPr>
          <w:sz w:val="17"/>
        </w:rPr>
        <w:t>The letter should also indicate whether you believe that evidentiary hearings are necessary to resolve factual disputes.</w:t>
      </w:r>
    </w:p>
    <w:p>
      <w:pPr>
        <w:pStyle w:val="Normal"/>
        <w:widowControl/>
        <w:rPr>
          <w:b/>
          <w:i/>
          <w:i/>
          <w:sz w:val="17"/>
        </w:rPr>
      </w:pPr>
      <w:r>
        <w:rPr>
          <w:b/>
          <w:i/>
          <w:sz w:val="17"/>
        </w:rPr>
      </w:r>
    </w:p>
    <w:p>
      <w:pPr>
        <w:pStyle w:val="Normal"/>
        <w:widowControl/>
        <w:rPr/>
      </w:pPr>
      <w:r>
        <w:rPr/>
        <w:t>Protests for this project must be mailed within 20 calendar days to:</w:t>
      </w:r>
    </w:p>
    <w:tbl>
      <w:tblPr>
        <w:tblW w:w="10188" w:type="dxa"/>
        <w:jc w:val="start"/>
        <w:tblInd w:w="0" w:type="dxa"/>
        <w:tblLayout w:type="fixed"/>
        <w:tblCellMar>
          <w:top w:w="0" w:type="dxa"/>
          <w:start w:w="108" w:type="dxa"/>
          <w:bottom w:w="0" w:type="dxa"/>
          <w:end w:w="108" w:type="dxa"/>
        </w:tblCellMar>
      </w:tblPr>
      <w:tblGrid>
        <w:gridCol w:w="3708"/>
        <w:gridCol w:w="1613"/>
        <w:gridCol w:w="4867"/>
      </w:tblGrid>
      <w:tr>
        <w:trPr/>
        <w:tc>
          <w:tcPr>
            <w:tcW w:w="3708" w:type="dxa"/>
            <w:tcBorders/>
          </w:tcPr>
          <w:p>
            <w:pPr>
              <w:pStyle w:val="Normal"/>
              <w:widowControl/>
              <w:rPr>
                <w:sz w:val="17"/>
              </w:rPr>
            </w:pPr>
            <w:r>
              <w:rPr>
                <w:sz w:val="17"/>
              </w:rPr>
              <w:t>California Public Utilities Commission</w:t>
            </w:r>
          </w:p>
          <w:p>
            <w:pPr>
              <w:pStyle w:val="Normal"/>
              <w:widowControl/>
              <w:rPr>
                <w:sz w:val="17"/>
              </w:rPr>
            </w:pPr>
            <w:r>
              <w:rPr>
                <w:sz w:val="17"/>
              </w:rPr>
              <w:t>Director, Energy Division</w:t>
            </w:r>
          </w:p>
          <w:p>
            <w:pPr>
              <w:pStyle w:val="Normal"/>
              <w:widowControl/>
              <w:rPr>
                <w:sz w:val="17"/>
              </w:rPr>
            </w:pPr>
            <w:r>
              <w:rPr>
                <w:sz w:val="17"/>
              </w:rPr>
              <w:t>505 Van Ness Avenue, Fourth Floor</w:t>
            </w:r>
          </w:p>
          <w:p>
            <w:pPr>
              <w:pStyle w:val="Normal"/>
              <w:widowControl/>
              <w:rPr>
                <w:sz w:val="17"/>
              </w:rPr>
            </w:pPr>
            <w:r>
              <w:rPr>
                <w:sz w:val="17"/>
              </w:rPr>
              <w:t>San Francisco, California  94102</w:t>
            </w:r>
          </w:p>
          <w:p>
            <w:pPr>
              <w:pStyle w:val="Normal"/>
              <w:widowControl/>
              <w:rPr>
                <w:sz w:val="17"/>
              </w:rPr>
            </w:pPr>
            <w:r>
              <w:rPr>
                <w:sz w:val="17"/>
              </w:rPr>
            </w:r>
          </w:p>
        </w:tc>
        <w:tc>
          <w:tcPr>
            <w:tcW w:w="1613" w:type="dxa"/>
            <w:tcBorders/>
          </w:tcPr>
          <w:p>
            <w:pPr>
              <w:pStyle w:val="Normal"/>
              <w:widowControl/>
              <w:snapToGrid w:val="false"/>
              <w:ind w:start="162" w:end="0"/>
              <w:rPr>
                <w:b/>
                <w:sz w:val="17"/>
              </w:rPr>
            </w:pPr>
            <w:r>
              <w:rPr>
                <w:b/>
                <w:sz w:val="17"/>
              </w:rPr>
            </w:r>
          </w:p>
          <w:p>
            <w:pPr>
              <w:pStyle w:val="Normal"/>
              <w:widowControl/>
              <w:ind w:start="162" w:end="0"/>
              <w:rPr>
                <w:b/>
                <w:sz w:val="17"/>
              </w:rPr>
            </w:pPr>
            <w:r>
              <w:rPr>
                <w:b/>
                <w:sz w:val="17"/>
              </w:rPr>
              <w:t>WITH A COPY MAILED TO:</w:t>
            </w:r>
          </w:p>
        </w:tc>
        <w:tc>
          <w:tcPr>
            <w:tcW w:w="4867" w:type="dxa"/>
            <w:tcBorders/>
          </w:tcPr>
          <w:p>
            <w:pPr>
              <w:pStyle w:val="Normal"/>
              <w:widowControl/>
              <w:ind w:start="349" w:end="0"/>
              <w:rPr>
                <w:sz w:val="17"/>
              </w:rPr>
            </w:pPr>
            <w:r>
              <w:rPr>
                <w:sz w:val="17"/>
              </w:rPr>
              <w:t>Pacific Gas and Electric Company</w:t>
            </w:r>
          </w:p>
          <w:p>
            <w:pPr>
              <w:pStyle w:val="Normal"/>
              <w:widowControl/>
              <w:ind w:start="349" w:end="0"/>
              <w:rPr>
                <w:sz w:val="17"/>
              </w:rPr>
            </w:pPr>
            <w:r>
              <w:rPr>
                <w:sz w:val="17"/>
              </w:rPr>
              <w:t>Law Department (Attn: David Kraska)</w:t>
            </w:r>
          </w:p>
          <w:p>
            <w:pPr>
              <w:pStyle w:val="Normal"/>
              <w:widowControl/>
              <w:ind w:start="349" w:end="0"/>
              <w:rPr>
                <w:sz w:val="17"/>
              </w:rPr>
            </w:pPr>
            <w:r>
              <w:rPr>
                <w:sz w:val="17"/>
              </w:rPr>
              <w:t>P.O. Box 7442</w:t>
            </w:r>
          </w:p>
          <w:p>
            <w:pPr>
              <w:pStyle w:val="Normal"/>
              <w:widowControl/>
              <w:ind w:start="349" w:end="0"/>
              <w:rPr>
                <w:sz w:val="17"/>
              </w:rPr>
            </w:pPr>
            <w:r>
              <w:rPr>
                <w:sz w:val="17"/>
              </w:rPr>
              <w:t>San Francisco, California  94120</w:t>
            </w:r>
          </w:p>
        </w:tc>
      </w:tr>
    </w:tbl>
    <w:p>
      <w:pPr>
        <w:pStyle w:val="Normal"/>
        <w:widowControl/>
        <w:jc w:val="both"/>
        <w:rPr>
          <w:sz w:val="17"/>
        </w:rPr>
      </w:pPr>
      <w:r>
        <w:rPr>
          <w:sz w:val="17"/>
        </w:rPr>
        <w:t>Pacific Gas and Electric Company must respond within five business days of receipt and serve copies of its response on each protestant and the Energy Division.  Within 30 days after Pacific Gas and Electric Company has submitted its response, the Executive Director of the CPUC will send you a copy of an Executive Resolution granting or denying the request and stating the reasons for the decision.</w:t>
      </w:r>
    </w:p>
    <w:p>
      <w:pPr>
        <w:pStyle w:val="Normal"/>
        <w:widowControl/>
        <w:rPr>
          <w:sz w:val="17"/>
        </w:rPr>
      </w:pPr>
      <w:r>
        <w:rPr>
          <w:sz w:val="17"/>
        </w:rPr>
      </w:r>
    </w:p>
    <w:p>
      <w:pPr>
        <w:pStyle w:val="Normal"/>
        <w:widowControl/>
        <w:jc w:val="both"/>
        <w:rPr/>
      </w:pPr>
      <w:r>
        <w:rPr>
          <w:b/>
          <w:sz w:val="17"/>
        </w:rPr>
        <w:t>Assistance in Filing a Protest:</w:t>
      </w:r>
      <w:r>
        <w:rPr>
          <w:sz w:val="17"/>
        </w:rPr>
        <w:t xml:space="preserve">  For assistance in filing a protest, contact the CPUC Public Advisor in San Francisco at (415) 703-2074 or in Los Angeles at (213) 576-7055.</w:t>
      </w:r>
    </w:p>
    <w:p>
      <w:pPr>
        <w:pStyle w:val="Normal"/>
        <w:widowControl/>
        <w:rPr>
          <w:sz w:val="17"/>
        </w:rPr>
      </w:pPr>
      <w:r>
        <w:rPr>
          <w:sz w:val="17"/>
        </w:rPr>
      </w:r>
    </w:p>
    <w:p>
      <w:pPr>
        <w:pStyle w:val="Normal"/>
        <w:widowControl/>
        <w:jc w:val="both"/>
        <w:rPr/>
      </w:pPr>
      <w:r>
        <w:rPr>
          <w:b/>
          <w:sz w:val="17"/>
        </w:rPr>
        <w:t>Additional Project Information:</w:t>
      </w:r>
      <w:r>
        <w:rPr>
          <w:sz w:val="17"/>
        </w:rPr>
        <w:t xml:space="preserve">  To obtain further information on the proposed project, please call Pacific Gas and Electric Company’s </w:t>
      </w:r>
      <w:r>
        <w:rPr>
          <w:sz w:val="17"/>
          <w:u w:val="single"/>
        </w:rPr>
        <w:t>Project Information Line at (415) 973-5530</w:t>
      </w:r>
      <w:r>
        <w:rPr>
          <w:sz w:val="17"/>
        </w:rPr>
        <w:t>.</w:t>
      </w:r>
    </w:p>
    <w:p>
      <w:pPr>
        <w:sectPr>
          <w:headerReference w:type="default" r:id="rId2"/>
          <w:headerReference w:type="first" r:id="rId3"/>
          <w:type w:val="nextPage"/>
          <w:pgSz w:w="12240" w:h="15840"/>
          <w:pgMar w:left="1080" w:right="1080" w:gutter="0" w:header="432" w:top="1440" w:footer="0" w:bottom="288"/>
          <w:pgNumType w:fmt="decimal"/>
          <w:formProt w:val="false"/>
          <w:titlePg/>
          <w:textDirection w:val="lrTb"/>
          <w:docGrid w:type="default" w:linePitch="360" w:charSpace="0"/>
        </w:sectPr>
      </w:pPr>
    </w:p>
    <w:p>
      <w:pPr>
        <w:pStyle w:val="Normal"/>
        <w:widowControl/>
        <w:numPr>
          <w:ilvl w:val="0"/>
          <w:numId w:val="0"/>
        </w:numPr>
        <w:jc w:val="both"/>
        <w:rPr>
          <w:sz w:val="17"/>
        </w:rPr>
      </w:pPr>
      <w:r>
        <w:rPr>
          <w:sz w:val="17"/>
        </w:rPr>
      </w:r>
      <w:r>
        <w:br w:type="page"/>
      </w:r>
    </w:p>
    <w:p>
      <w:pPr>
        <w:pStyle w:val="Normal"/>
        <w:widowControl/>
        <w:jc w:val="both"/>
        <w:rPr>
          <w:sz w:val="17"/>
        </w:rPr>
      </w:pPr>
      <w:r>
        <w:rPr>
          <w:sz w:val="17"/>
        </w:rPr>
      </w:r>
    </w:p>
    <w:p>
      <w:pPr>
        <w:pStyle w:val="Normal"/>
        <w:widowControl/>
        <w:jc w:val="center"/>
        <w:rPr>
          <w:sz w:val="24"/>
        </w:rPr>
      </w:pPr>
      <w:r>
        <w:rPr>
          <w:b/>
          <w:sz w:val="24"/>
        </w:rPr>
        <w:t>Notice Distribution List</w:t>
      </w:r>
    </w:p>
    <w:p>
      <w:pPr>
        <w:pStyle w:val="Normal"/>
        <w:widowControl/>
        <w:jc w:val="center"/>
        <w:rPr>
          <w:sz w:val="24"/>
        </w:rPr>
      </w:pPr>
      <w:r>
        <w:rPr>
          <w:sz w:val="24"/>
        </w:rPr>
      </w:r>
    </w:p>
    <w:p>
      <w:pPr>
        <w:pStyle w:val="Normal"/>
        <w:widowControl/>
        <w:jc w:val="center"/>
        <w:rPr>
          <w:caps/>
          <w:color w:val="000000"/>
          <w:sz w:val="24"/>
        </w:rPr>
      </w:pPr>
      <w:r>
        <w:rPr>
          <w:b/>
          <w:color w:val="000000"/>
          <w:sz w:val="24"/>
        </w:rPr>
        <w:t>Construction of the Pinedale Substation</w:t>
      </w:r>
    </w:p>
    <w:p>
      <w:pPr>
        <w:pStyle w:val="Normal"/>
        <w:widowControl/>
        <w:jc w:val="center"/>
        <w:rPr>
          <w:caps/>
          <w:color w:val="000000"/>
          <w:sz w:val="24"/>
        </w:rPr>
      </w:pPr>
      <w:r>
        <w:rPr>
          <w:caps/>
          <w:color w:val="000000"/>
          <w:sz w:val="24"/>
        </w:rPr>
      </w:r>
    </w:p>
    <w:p>
      <w:pPr>
        <w:pStyle w:val="Normal"/>
        <w:widowControl/>
        <w:jc w:val="center"/>
        <w:rPr/>
      </w:pPr>
      <w:r>
        <w:rPr>
          <w:color w:val="000000"/>
          <w:sz w:val="24"/>
        </w:rPr>
        <w:t>Advice 1965</w:t>
      </w:r>
      <w:r>
        <w:rPr>
          <w:sz w:val="24"/>
        </w:rPr>
        <w:t>-E</w:t>
      </w:r>
    </w:p>
    <w:p>
      <w:pPr>
        <w:pStyle w:val="Normal"/>
        <w:widowControl/>
        <w:jc w:val="center"/>
        <w:rPr>
          <w:sz w:val="24"/>
        </w:rPr>
      </w:pPr>
      <w:r>
        <w:rPr>
          <w:sz w:val="24"/>
        </w:rPr>
      </w:r>
    </w:p>
    <w:p>
      <w:pPr>
        <w:pStyle w:val="Normal"/>
        <w:widowControl/>
        <w:ind w:start="360" w:end="0"/>
        <w:jc w:val="both"/>
        <w:rPr>
          <w:sz w:val="24"/>
        </w:rPr>
      </w:pPr>
      <w:r>
        <w:rPr>
          <w:b/>
          <w:sz w:val="24"/>
        </w:rPr>
        <w:t>Energy Commission</w:t>
      </w:r>
    </w:p>
    <w:p>
      <w:pPr>
        <w:pStyle w:val="Normal"/>
        <w:widowControl/>
        <w:ind w:start="360" w:end="0"/>
        <w:jc w:val="both"/>
        <w:rPr>
          <w:sz w:val="24"/>
        </w:rPr>
      </w:pPr>
      <w:r>
        <w:rPr>
          <w:sz w:val="24"/>
        </w:rPr>
      </w:r>
    </w:p>
    <w:p>
      <w:pPr>
        <w:pStyle w:val="Normal"/>
        <w:widowControl/>
        <w:ind w:start="360" w:end="0"/>
        <w:jc w:val="both"/>
        <w:rPr>
          <w:sz w:val="24"/>
        </w:rPr>
      </w:pPr>
      <w:r>
        <w:rPr>
          <w:sz w:val="24"/>
        </w:rPr>
        <w:t xml:space="preserve">Mr. Stephen Rhoads, Executive Director </w:t>
      </w:r>
    </w:p>
    <w:p>
      <w:pPr>
        <w:pStyle w:val="Normal"/>
        <w:widowControl/>
        <w:ind w:start="360" w:end="0"/>
        <w:jc w:val="both"/>
        <w:rPr>
          <w:sz w:val="24"/>
        </w:rPr>
      </w:pPr>
      <w:r>
        <w:rPr>
          <w:sz w:val="24"/>
        </w:rPr>
        <w:t>California Energy Commission</w:t>
      </w:r>
    </w:p>
    <w:p>
      <w:pPr>
        <w:pStyle w:val="Normal"/>
        <w:widowControl/>
        <w:ind w:start="360" w:end="0"/>
        <w:jc w:val="both"/>
        <w:rPr>
          <w:sz w:val="24"/>
        </w:rPr>
      </w:pPr>
      <w:r>
        <w:rPr>
          <w:sz w:val="24"/>
        </w:rPr>
        <w:t>1516 Ninth Street, Mail Stop 39</w:t>
      </w:r>
    </w:p>
    <w:p>
      <w:pPr>
        <w:pStyle w:val="Normal"/>
        <w:widowControl/>
        <w:ind w:start="360" w:end="0"/>
        <w:jc w:val="both"/>
        <w:rPr>
          <w:sz w:val="24"/>
        </w:rPr>
      </w:pPr>
      <w:r>
        <w:rPr>
          <w:sz w:val="24"/>
        </w:rPr>
        <w:t>Sacramento, CA  95814</w:t>
      </w:r>
    </w:p>
    <w:p>
      <w:pPr>
        <w:pStyle w:val="Normal"/>
        <w:widowControl/>
        <w:ind w:start="360" w:end="0"/>
        <w:jc w:val="both"/>
        <w:rPr>
          <w:sz w:val="24"/>
        </w:rPr>
      </w:pPr>
      <w:r>
        <w:rPr>
          <w:sz w:val="24"/>
        </w:rPr>
      </w:r>
    </w:p>
    <w:p>
      <w:pPr>
        <w:pStyle w:val="Normal"/>
        <w:widowControl/>
        <w:ind w:start="360" w:end="0"/>
        <w:jc w:val="both"/>
        <w:rPr>
          <w:sz w:val="24"/>
        </w:rPr>
      </w:pPr>
      <w:r>
        <w:rPr>
          <w:sz w:val="24"/>
        </w:rPr>
        <w:t>Mr. Bob Therleksen</w:t>
      </w:r>
    </w:p>
    <w:p>
      <w:pPr>
        <w:pStyle w:val="Normal"/>
        <w:widowControl/>
        <w:ind w:start="360" w:end="0"/>
        <w:jc w:val="both"/>
        <w:rPr>
          <w:sz w:val="24"/>
        </w:rPr>
      </w:pPr>
      <w:r>
        <w:rPr>
          <w:sz w:val="24"/>
        </w:rPr>
        <w:t>California Energy Commission</w:t>
      </w:r>
    </w:p>
    <w:p>
      <w:pPr>
        <w:pStyle w:val="Normal"/>
        <w:widowControl/>
        <w:ind w:start="360" w:end="0"/>
        <w:jc w:val="both"/>
        <w:rPr>
          <w:sz w:val="24"/>
        </w:rPr>
      </w:pPr>
      <w:r>
        <w:rPr>
          <w:sz w:val="24"/>
        </w:rPr>
        <w:t>1516 Ninth Street, Mail Stop 39</w:t>
      </w:r>
    </w:p>
    <w:p>
      <w:pPr>
        <w:pStyle w:val="Normal"/>
        <w:widowControl/>
        <w:ind w:start="360" w:end="0"/>
        <w:jc w:val="both"/>
        <w:rPr>
          <w:sz w:val="24"/>
        </w:rPr>
      </w:pPr>
      <w:r>
        <w:rPr>
          <w:sz w:val="24"/>
        </w:rPr>
        <w:t>Sacramento, CA  95814</w:t>
      </w:r>
    </w:p>
    <w:p>
      <w:pPr>
        <w:pStyle w:val="Normal"/>
        <w:widowControl/>
        <w:ind w:start="360" w:end="0"/>
        <w:jc w:val="both"/>
        <w:rPr>
          <w:sz w:val="24"/>
        </w:rPr>
      </w:pPr>
      <w:r>
        <w:rPr>
          <w:sz w:val="24"/>
        </w:rPr>
      </w:r>
    </w:p>
    <w:p>
      <w:pPr>
        <w:pStyle w:val="Normal"/>
        <w:widowControl/>
        <w:ind w:start="360" w:end="0"/>
        <w:jc w:val="both"/>
        <w:rPr>
          <w:b/>
          <w:sz w:val="24"/>
        </w:rPr>
      </w:pPr>
      <w:r>
        <w:rPr>
          <w:b/>
          <w:sz w:val="24"/>
        </w:rPr>
        <w:t>City of Fresno</w:t>
      </w:r>
    </w:p>
    <w:p>
      <w:pPr>
        <w:pStyle w:val="Normal"/>
        <w:widowControl/>
        <w:ind w:start="360" w:end="0"/>
        <w:jc w:val="both"/>
        <w:rPr>
          <w:b/>
          <w:sz w:val="24"/>
        </w:rPr>
      </w:pPr>
      <w:r>
        <w:rPr>
          <w:b/>
          <w:sz w:val="24"/>
        </w:rPr>
      </w:r>
    </w:p>
    <w:p>
      <w:pPr>
        <w:pStyle w:val="Normal"/>
        <w:ind w:start="360" w:end="0"/>
        <w:rPr>
          <w:color w:val="000000"/>
          <w:sz w:val="24"/>
        </w:rPr>
      </w:pPr>
      <w:r>
        <w:rPr>
          <w:color w:val="000000"/>
          <w:sz w:val="24"/>
        </w:rPr>
        <w:t>Nick Yovino, Director</w:t>
      </w:r>
    </w:p>
    <w:p>
      <w:pPr>
        <w:pStyle w:val="Normal"/>
        <w:ind w:start="360" w:end="0"/>
        <w:rPr>
          <w:color w:val="000000"/>
          <w:sz w:val="24"/>
        </w:rPr>
      </w:pPr>
      <w:r>
        <w:rPr>
          <w:color w:val="000000"/>
          <w:sz w:val="24"/>
        </w:rPr>
        <w:t>Development Department</w:t>
      </w:r>
    </w:p>
    <w:p>
      <w:pPr>
        <w:pStyle w:val="Normal"/>
        <w:ind w:start="360" w:end="0"/>
        <w:rPr>
          <w:color w:val="000000"/>
          <w:sz w:val="24"/>
        </w:rPr>
      </w:pPr>
      <w:r>
        <w:rPr>
          <w:color w:val="000000"/>
          <w:sz w:val="24"/>
        </w:rPr>
        <w:t>Planning Division</w:t>
      </w:r>
    </w:p>
    <w:p>
      <w:pPr>
        <w:pStyle w:val="Normal"/>
        <w:ind w:start="360" w:end="0"/>
        <w:rPr>
          <w:color w:val="000000"/>
          <w:sz w:val="24"/>
        </w:rPr>
      </w:pPr>
      <w:r>
        <w:rPr>
          <w:color w:val="000000"/>
          <w:sz w:val="24"/>
        </w:rPr>
        <w:t>2600 Fresno Street</w:t>
      </w:r>
    </w:p>
    <w:p>
      <w:pPr>
        <w:pStyle w:val="Normal"/>
        <w:ind w:start="360" w:end="0"/>
        <w:rPr>
          <w:sz w:val="24"/>
        </w:rPr>
      </w:pPr>
      <w:r>
        <w:rPr>
          <w:color w:val="000000"/>
          <w:sz w:val="24"/>
        </w:rPr>
        <w:t>Fresno, CA  93721-3604</w:t>
      </w:r>
    </w:p>
    <w:p>
      <w:pPr>
        <w:pStyle w:val="Normal"/>
        <w:widowControl/>
        <w:ind w:start="360" w:end="0"/>
        <w:jc w:val="both"/>
        <w:rPr>
          <w:sz w:val="24"/>
        </w:rPr>
      </w:pPr>
      <w:r>
        <w:rPr>
          <w:sz w:val="24"/>
        </w:rPr>
      </w:r>
    </w:p>
    <w:p>
      <w:pPr>
        <w:pStyle w:val="Normal"/>
        <w:widowControl/>
        <w:ind w:start="360" w:end="0"/>
        <w:jc w:val="both"/>
        <w:rPr>
          <w:sz w:val="24"/>
        </w:rPr>
      </w:pPr>
      <w:r>
        <w:rPr>
          <w:b/>
          <w:sz w:val="24"/>
        </w:rPr>
        <w:t>Newspaper</w:t>
      </w:r>
    </w:p>
    <w:p>
      <w:pPr>
        <w:pStyle w:val="Normal"/>
        <w:widowControl/>
        <w:ind w:start="360" w:end="0"/>
        <w:jc w:val="both"/>
        <w:rPr>
          <w:sz w:val="24"/>
        </w:rPr>
      </w:pPr>
      <w:r>
        <w:rPr>
          <w:sz w:val="24"/>
        </w:rPr>
      </w:r>
    </w:p>
    <w:p>
      <w:pPr>
        <w:pStyle w:val="Normal"/>
        <w:widowControl/>
        <w:ind w:start="360" w:end="0"/>
        <w:jc w:val="both"/>
        <w:rPr>
          <w:sz w:val="24"/>
        </w:rPr>
      </w:pPr>
      <w:r>
        <w:rPr>
          <w:sz w:val="24"/>
        </w:rPr>
        <w:t>The Fresno Bee</w:t>
      </w:r>
    </w:p>
    <w:sectPr>
      <w:type w:val="continuous"/>
      <w:pgSz w:w="12240" w:h="15840"/>
      <w:pgMar w:left="1440" w:right="1440" w:gutter="0" w:header="432" w:top="1440" w:footer="0" w:bottom="288"/>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sz w:val="20"/>
      </w:rPr>
    </w:pPr>
    <w:r>
      <w:rPr>
        <w:b/>
        <w:sz w:val="20"/>
      </w:rPr>
      <w:t>Attachment I</w:t>
    </w:r>
  </w:p>
  <w:p>
    <w:pPr>
      <w:pStyle w:val="Header"/>
      <w:widowControl/>
      <w:spacing w:lineRule="auto" w:line="480"/>
      <w:jc w:val="center"/>
      <w:rPr>
        <w:b/>
        <w:sz w:val="24"/>
      </w:rPr>
    </w:pPr>
    <w:r>
      <w:rPr>
        <w:b/>
        <w:sz w:val="24"/>
      </w:rPr>
      <w:t>NOTICE OF PROPOSED CONSTRUCTION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0" w:hanging="0"/>
      </w:pPr>
      <w:rPr>
        <w:rFonts w:ascii="Symbol" w:hAnsi="Symbol" w:cs="Symbol" w:hint="default"/>
      </w:rPr>
    </w:lvl>
  </w:abstractNum>
  <w:abstractNum w:abstractNumId="2">
    <w:lvl w:ilvl="0">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2"/>
      <w:szCs w:val="20"/>
      <w:lang w:val="en-US" w:eastAsia="zh-CN" w:bidi="hi-IN"/>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2000-03-22T15:30:00Z</dcterms:created>
  <dc:creator>Al Galvez</dc:creator>
  <dc:description/>
  <dc:language>en-CA</dc:language>
  <cp:lastModifiedBy>Morgen Ahad</cp:lastModifiedBy>
  <cp:lastPrinted>2000-02-03T09:54:00Z</cp:lastPrinted>
  <dcterms:modified xsi:type="dcterms:W3CDTF">2000-03-22T15:30:00Z</dcterms:modified>
  <cp:revision>2</cp:revision>
  <dc:subject/>
  <dc:title>NOTICE OF PROPOSED CONSTRUCTION:_CABRILLO SUBSTATION</dc:title>
</cp:coreProperties>
</file>