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8"/>
        </w:rPr>
      </w:pPr>
      <w:r>
        <w:rPr/>
        <w:tab/>
      </w:r>
      <w:r>
        <w:rPr>
          <w:b/>
          <w:sz w:val="28"/>
        </w:rPr>
        <w:t>M E M O R A N D U 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exact" w:line="18"/>
        <w:jc w:val="both"/>
        <w:rPr>
          <w:sz w:val="28"/>
          <w:lang w:val="en-CA" w:eastAsia="en-CA"/>
        </w:rPr>
      </w:pPr>
      <w:r>
        <w:rPr>
          <w:sz w:val="28"/>
          <w:lang w:val="en-CA" w:eastAsia="en-CA"/>
        </w:rPr>
      </w:r>
      <w:r>
        <mc:AlternateContent>
          <mc:Choice Requires="wps">
            <w:drawing>
              <wp:anchor behindDoc="1" distT="0" distB="0" distL="114935" distR="114935" simplePos="0" locked="0" layoutInCell="0" allowOverlap="1" relativeHeight="2">
                <wp:simplePos x="0" y="0"/>
                <wp:positionH relativeFrom="page">
                  <wp:posOffset>2377440</wp:posOffset>
                </wp:positionH>
                <wp:positionV relativeFrom="paragraph">
                  <wp:posOffset>635</wp:posOffset>
                </wp:positionV>
                <wp:extent cx="3017520" cy="57150"/>
                <wp:effectExtent l="0" t="0" r="0" b="0"/>
                <wp:wrapNone/>
                <wp:docPr id="1" name="Frame1"/>
                <a:graphic xmlns:a="http://schemas.openxmlformats.org/drawingml/2006/main">
                  <a:graphicData uri="http://schemas.microsoft.com/office/word/2010/wordprocessingShape">
                    <wps:wsp>
                      <wps:cNvSpPr txBox="1"/>
                      <wps:spPr>
                        <a:xfrm>
                          <a:off x="0" y="0"/>
                          <a:ext cx="3017520" cy="57150"/>
                        </a:xfrm>
                        <a:prstGeom prst="rect"/>
                        <a:solidFill>
                          <a:srgbClr val="FFFFFF">
                            <a:alpha val="0"/>
                          </a:srgbClr>
                        </a:solidFill>
                      </wps:spPr>
                      <wps:txbx>
                        <w:txbxContent>
                          <w:p>
                            <w:pPr>
                              <w:pStyle w:val="Normal"/>
                              <w:pBdr>
                                <w:top w:val="single" w:sz="6" w:space="0" w:color="FFFFFF"/>
                                <w:left w:val="single" w:sz="6" w:space="0" w:color="FFFFFF"/>
                                <w:bottom w:val="single" w:sz="6" w:space="0" w:color="FFFFFF"/>
                                <w:right w:val="single" w:sz="6" w:space="0" w:color="FFFFFF"/>
                              </w:pBdr>
                              <w:rPr>
                                <w:sz w:val="20"/>
                              </w:rPr>
                            </w:pPr>
                            <w:r>
                              <w:rPr>
                                <w:sz w:val="20"/>
                              </w:rPr>
                              <w:drawing>
                                <wp:inline distT="0" distB="0" distL="0" distR="0">
                                  <wp:extent cx="3017520" cy="5715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2" t="-633" r="-12" b="-633"/>
                                          <a:stretch>
                                            <a:fillRect/>
                                          </a:stretch>
                                        </pic:blipFill>
                                        <pic:spPr bwMode="auto">
                                          <a:xfrm>
                                            <a:off x="0" y="0"/>
                                            <a:ext cx="3017520" cy="5715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237.6pt;height:4.5pt;mso-wrap-distance-left:9.05pt;mso-wrap-distance-right:9.05pt;mso-wrap-distance-top:0pt;mso-wrap-distance-bottom:0pt;margin-top:0pt;mso-position-vertical-relative:text;margin-left:187.2pt;mso-position-horizontal-relative:page">
                <v:fill opacity="0f"/>
                <v:textbox inset="0.000694444444444445in,0.000694444444444445in,0.000694444444444445in,0.000694444444444445in">
                  <w:txbxContent>
                    <w:p>
                      <w:pPr>
                        <w:pStyle w:val="Normal"/>
                        <w:pBdr>
                          <w:top w:val="single" w:sz="6" w:space="0" w:color="FFFFFF"/>
                          <w:left w:val="single" w:sz="6" w:space="0" w:color="FFFFFF"/>
                          <w:bottom w:val="single" w:sz="6" w:space="0" w:color="FFFFFF"/>
                          <w:right w:val="single" w:sz="6" w:space="0" w:color="FFFFFF"/>
                        </w:pBdr>
                        <w:rPr>
                          <w:sz w:val="20"/>
                        </w:rPr>
                      </w:pPr>
                      <w:r>
                        <w:rPr>
                          <w:sz w:val="20"/>
                        </w:rPr>
                        <w:drawing>
                          <wp:inline distT="0" distB="0" distL="0" distR="0">
                            <wp:extent cx="3017520" cy="5715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2" t="-633" r="-12" b="-633"/>
                                    <a:stretch>
                                      <a:fillRect/>
                                    </a:stretch>
                                  </pic:blipFill>
                                  <pic:spPr bwMode="auto">
                                    <a:xfrm>
                                      <a:off x="0" y="0"/>
                                      <a:ext cx="3017520" cy="57150"/>
                                    </a:xfrm>
                                    <a:prstGeom prst="rect">
                                      <a:avLst/>
                                    </a:prstGeom>
                                    <a:noFill/>
                                  </pic:spPr>
                                </pic:pic>
                              </a:graphicData>
                            </a:graphic>
                          </wp:inline>
                        </w:drawing>
                      </w:r>
                    </w:p>
                  </w:txbxContent>
                </v:textbox>
                <w10:wrap type="none"/>
              </v:rect>
            </w:pict>
          </mc:Fallback>
        </mc:AlternateConten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8"/>
        </w:rPr>
      </w:pPr>
      <w:r>
        <w:rPr>
          <w:sz w:val="28"/>
        </w:rPr>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bookmarkStart w:id="0" w:name="BodyDate"/>
      <w:bookmarkEnd w:id="0"/>
      <w:r>
        <w:rPr/>
        <w:t>April 22,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0" w:leader="none"/>
          <w:tab w:val="right" w:pos="9360" w:leader="none"/>
        </w:tabs>
        <w:jc w:val="both"/>
        <w:rPr/>
      </w:pPr>
      <w:r>
        <w:rPr/>
        <w:tab/>
      </w:r>
      <w:r>
        <w:rPr>
          <w:b/>
          <w:i/>
        </w:rPr>
        <w:t>Privileged and Confidential</w:t>
      </w:r>
    </w:p>
    <w:p>
      <w:pPr>
        <w:pStyle w:val="Normal"/>
        <w:widowControl/>
        <w:tabs>
          <w:tab w:val="clear" w:pos="720"/>
          <w:tab w:val="left" w:pos="0" w:leader="none"/>
          <w:tab w:val="right" w:pos="9360" w:leader="none"/>
        </w:tabs>
        <w:jc w:val="both"/>
        <w:rPr>
          <w:b/>
          <w:i/>
          <w:i/>
        </w:rPr>
      </w:pPr>
      <w:r>
        <w:rPr>
          <w:b/>
          <w:i/>
        </w:rPr>
        <w:tab/>
        <w:t>Attorney Work Product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TO:</w:t>
        <w:tab/>
      </w:r>
      <w:bookmarkStart w:id="1" w:name="HeaderAAddressee"/>
      <w:bookmarkEnd w:id="1"/>
      <w:r>
        <w:rPr/>
        <w:t>Pam Butler, Enron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FROM:</w:t>
        <w:tab/>
      </w:r>
      <w:bookmarkStart w:id="2" w:name="Sender"/>
      <w:bookmarkEnd w:id="2"/>
      <w:r>
        <w:rPr/>
        <w:t>Jeanne K. Wilson, Vinson &amp; Elkins L.L.P.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RE:</w:t>
        <w:tab/>
      </w:r>
      <w:bookmarkStart w:id="3" w:name="Subject"/>
      <w:bookmarkEnd w:id="3"/>
      <w:r>
        <w:rPr/>
        <w:t xml:space="preserve">Enron Investment Partners Incentive Plan (the </w:t>
      </w:r>
      <w:r>
        <w:rPr>
          <w:rFonts w:cs="WP TypographicSymbols" w:ascii="WP TypographicSymbols" w:hAnsi="WP TypographicSymbols"/>
        </w:rPr>
        <w:t>A</w:t>
      </w:r>
      <w:r>
        <w:rPr/>
        <w:t>EIP Plan</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FACTS/ISSUE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you requested, this memorandum documents our telephone conversation on April 20, 2000, regarding the proposed timing of payouts from the EIP Plan.  As proposed, the EIP Plan has two payout alternatives.  In general terms, the first alternative provides a 20 percent payout at the end of each year for three years following an initial grant.  A final 40 percent payout occurs following the termination of a fund.  The second alternative generally provides for a 100 percent payout upon termination of a fund.  In earlier conversations, Pat Mackin expressed concern that if, on a regular basis, participants under the EIP Plan terminated employment before the fund(s) terminated (and therefore before payout occurred), the EIP Plan could be subject to the provisions of the Employee Retirement Income Security Act of 1974, as amended (</w:t>
      </w:r>
      <w:r>
        <w:rPr>
          <w:rFonts w:cs="WP TypographicSymbols" w:ascii="WP TypographicSymbols" w:hAnsi="WP TypographicSymbols"/>
        </w:rPr>
        <w:t>A</w:t>
      </w:r>
      <w:r>
        <w:rPr/>
        <w:t>ERISA</w:t>
      </w:r>
      <w:r>
        <w:rPr>
          <w:rFonts w:cs="WP TypographicSymbols" w:ascii="WP TypographicSymbols" w:hAnsi="WP TypographicSymbols"/>
        </w:rPr>
        <w:t>@</w:t>
      </w:r>
      <w:r>
        <w:rPr/>
        <w:t>).  That is, the EIP Plan could be an ERISA plan.  Mr. Mackin</w:t>
      </w:r>
      <w:r>
        <w:rPr>
          <w:rFonts w:cs="WP TypographicSymbols" w:ascii="WP TypographicSymbols" w:hAnsi="WP TypographicSymbols"/>
        </w:rPr>
        <w:t>=</w:t>
      </w:r>
      <w:r>
        <w:rPr/>
        <w:t xml:space="preserve">s concern is valid because if the EIP Plan operates to systematically defer income to the termination of covered employment or beyond, under </w:t>
      </w:r>
      <w:r>
        <w:rPr>
          <w:rFonts w:cs="WP TypographicSymbols" w:ascii="WP TypographicSymbols" w:hAnsi="WP TypographicSymbols"/>
        </w:rPr>
        <w:t>A</w:t>
      </w:r>
      <w:r>
        <w:rPr/>
        <w:t>the surrounding circumstances test</w:t>
      </w:r>
      <w:r>
        <w:rPr>
          <w:rFonts w:cs="WP TypographicSymbols" w:ascii="WP TypographicSymbols" w:hAnsi="WP TypographicSymbols"/>
        </w:rPr>
        <w:t>@</w:t>
      </w:r>
      <w:r>
        <w:rPr/>
        <w:t xml:space="preserve"> the EIP Plan will be an ERISA plan.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PROPOSED CHANGES TO PLAN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Two changes were proposed to reduce the risk that the EIP Plan will be an ERISA plan. The first change would eliminate the second payout alternative (which pays out 100 percent upon termination of the fund) and retain only the first payout alternative (which should provide some payments during employment).  Even under the first payout alternative, however, substantial amounts will be paid out upon termination of the fund.  Thus Pat Mackin suggested a second change which would provide that the payments under the EIP Plan may be accelerated at the discretion of management.  Management could trigger this provision if two or more participants terminated employment before payout.  Such clause may reduce the risk that the EIP Plan will be an ERISA plan.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addition to discussing the foregoing changes, we noted that the inclusion of phantom appreciation rights in the EIP Plan would act to extend the deferral period, thus increasing the risk discussed above.  In view of this, we proposed not adding phantom appreciation rights to the EIP Plan.  However, the right to convert payments to stock options would be added.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
          <w:type w:val="nextPage"/>
          <w:pgSz w:w="12240" w:h="15840"/>
          <w:pgMar w:left="1440" w:right="1440" w:gutter="0" w:header="720" w:top="776" w:footer="0" w:bottom="1440"/>
          <w:pgNumType w:fmt="decimal"/>
          <w:formProt w:val="false"/>
          <w:textDirection w:val="lrTb"/>
          <w:docGrid w:type="default" w:linePitch="360" w:charSpace="0"/>
        </w:sectPr>
      </w:pP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b/>
        </w:rPr>
        <w:tab/>
        <w:t>RELEVANT LAW</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3(3) of the Employee Retirement Income Security Act of 1974, as amended (</w:t>
      </w:r>
      <w:r>
        <w:rPr>
          <w:rFonts w:cs="WP TypographicSymbols" w:ascii="WP TypographicSymbols" w:hAnsi="WP TypographicSymbols"/>
        </w:rPr>
        <w:t>A</w:t>
      </w:r>
      <w:r>
        <w:rPr/>
        <w:t>ERISA</w:t>
      </w:r>
      <w:r>
        <w:rPr>
          <w:rFonts w:cs="WP TypographicSymbols" w:ascii="WP TypographicSymbols" w:hAnsi="WP TypographicSymbols"/>
        </w:rPr>
        <w:t>@</w:t>
      </w:r>
      <w:r>
        <w:rPr/>
        <w:t xml:space="preserve">), defines </w:t>
      </w:r>
      <w:r>
        <w:rPr>
          <w:rFonts w:cs="WP TypographicSymbols" w:ascii="WP TypographicSymbols" w:hAnsi="WP TypographicSymbols"/>
        </w:rPr>
        <w:t>A</w:t>
      </w:r>
      <w:r>
        <w:rPr/>
        <w:t>employee benefit plan</w:t>
      </w:r>
      <w:r>
        <w:rPr>
          <w:rFonts w:cs="WP TypographicSymbols" w:ascii="WP TypographicSymbols" w:hAnsi="WP TypographicSymbols"/>
        </w:rPr>
        <w:t>@</w:t>
      </w:r>
      <w:r>
        <w:rPr/>
        <w:t xml:space="preserve"> to include employee pension benefit plans.  An employee pension benefit plan is defined in ERISA section 3(2) to include any program established by an employer which, by its express terms or as a result of surrounding circumstances, provides retirement income to employees or results in the deferral of income to the termination of covered employment or beyond. In regulation 29 C.F.R. </w:t>
      </w:r>
      <w:r>
        <w:rPr>
          <w:rFonts w:cs="WP TypographicSymbols" w:ascii="WP TypographicSymbols" w:hAnsi="WP TypographicSymbols"/>
        </w:rPr>
        <w:t>'</w:t>
      </w:r>
      <w:r>
        <w:rPr/>
        <w:t xml:space="preserve"> 2510.3-2, the Department of Labor (the </w:t>
      </w:r>
      <w:r>
        <w:rPr>
          <w:rFonts w:cs="WP TypographicSymbols" w:ascii="WP TypographicSymbols" w:hAnsi="WP TypographicSymbols"/>
        </w:rPr>
        <w:t>A</w:t>
      </w:r>
      <w:r>
        <w:rPr/>
        <w:t>DOL</w:t>
      </w:r>
      <w:r>
        <w:rPr>
          <w:rFonts w:cs="WP TypographicSymbols" w:ascii="WP TypographicSymbols" w:hAnsi="WP TypographicSymbols"/>
        </w:rPr>
        <w:t>@</w:t>
      </w:r>
      <w:r>
        <w:rPr/>
        <w:t xml:space="preserve">) identified certain programs that are not employee pension benefit plans.  In relevant part, that regulation provides that the term </w:t>
      </w:r>
      <w:r>
        <w:rPr>
          <w:rFonts w:cs="WP TypographicSymbols" w:ascii="WP TypographicSymbols" w:hAnsi="WP TypographicSymbols"/>
        </w:rPr>
        <w:t>A</w:t>
      </w:r>
      <w:r>
        <w:rPr/>
        <w:t>employee pension benefit plan</w:t>
      </w:r>
      <w:r>
        <w:rPr>
          <w:rFonts w:cs="WP TypographicSymbols" w:ascii="WP TypographicSymbols" w:hAnsi="WP TypographicSymbols"/>
        </w:rPr>
        <w:t>@</w:t>
      </w:r>
      <w:r>
        <w:rPr/>
        <w:t xml:space="preserve"> shall not include payments made by an employer to some of all of its employees as bonuses for work performed, unless such payments are systematically deferred to the termination of covered employment or beyond.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In a number of advisory opinions, the DOL has indicated that although a program may not be an employee pension plan by its express terms, it may be one </w:t>
      </w:r>
      <w:r>
        <w:rPr>
          <w:rFonts w:cs="WP TypographicSymbols" w:ascii="WP TypographicSymbols" w:hAnsi="WP TypographicSymbols"/>
        </w:rPr>
        <w:t>A</w:t>
      </w:r>
      <w:r>
        <w:rPr/>
        <w:t>as a result of surrounding circumstances</w:t>
      </w:r>
      <w:r>
        <w:rPr>
          <w:rFonts w:cs="WP TypographicSymbols" w:ascii="WP TypographicSymbols" w:hAnsi="WP TypographicSymbols"/>
        </w:rPr>
        <w:t>@</w:t>
      </w:r>
      <w:r>
        <w:rPr/>
        <w:t xml:space="preserve"> which result in the systematic deferral of income to termination of covered employment or beyond.</w:t>
      </w:r>
      <w:r>
        <w:rPr>
          <w:rStyle w:val="FootnoteCharacters"/>
          <w:rStyle w:val="FootnoteReference"/>
          <w:vertAlign w:val="superscript"/>
        </w:rPr>
        <w:footnoteReference w:id="2"/>
      </w:r>
      <w:r>
        <w:rPr/>
        <w:t xml:space="preserve">  Like the DOL, courts have also considered surrounding circumstances in determining whether a plan is a bonus plan or an employee pension plan subject to ERISA.</w:t>
      </w:r>
      <w:r>
        <w:rPr>
          <w:rStyle w:val="FootnoteCharacters"/>
          <w:rStyle w:val="FootnoteReference"/>
          <w:vertAlign w:val="superscript"/>
        </w:rPr>
        <w:footnoteReference w:id="3"/>
      </w:r>
      <w:r>
        <w:rPr/>
        <w:t xml:space="preserve">  The surrounding circumstances test could be applied to the EIP Plan to find an ERISA plan (rather than a bonus plan exempt from ERISA) if the EIP Plan operates to systematically defer income to the termination of covered employment or beyond.  There is no bright line test indicating how many of the five participants would have to terminate employment before payout in order for the EIP to systematically defer income to the termination of covered employment.  While one such employment termination may not jeopardize the status of the program as a bonus plan, it is difficult to say whether two or three such employment terminations would.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notePr>
            <w:numFmt w:val="decimal"/>
          </w:footnotePr>
          <w:type w:val="continuous"/>
          <w:pgSz w:w="12240" w:h="15840"/>
          <w:pgMar w:left="1440" w:right="1440" w:gutter="0" w:header="720" w:top="776" w:footer="0" w:bottom="144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If the EIP Plan were an ERISA plan, the employer would be subject to the reporting duties under Part 1, Title I of ERISA including summary plan descriptions and annual Forms 5500.  Further the EIP Plan would be subject to the participation and vesting requirements of Part 2, Title I of ERISA.  Under the participation rules, among other requirements, an employer can not impose a waiting period longer than one year of service for entry into an ERISA plan.  Under the vesting rules, among other requirements, an employer can not impose a vesting period of longer than five years or impose forfeiture provisions upon termination for cause with respect to a participant whose vesting service exceeds five years.  In addition, the EIP Plan would be subject to the funding requirements of Part 3 of Title I of ERISA.  Such requirements essentially eliminate the tax favorable treatment by causing the income to become subject to federal income tax upon vesting.  Finally, the fiduciary responsibility and enforcement rules of Part 4, Title I of ERISA would apply to the Plan.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As we discussed,  notwithstanding the foregoing, even if the EIP Plan is an ERISA plan, if properly designed to qualify as a </w:t>
      </w:r>
      <w:r>
        <w:rPr>
          <w:rFonts w:cs="WP TypographicSymbols" w:ascii="WP TypographicSymbols" w:hAnsi="WP TypographicSymbols"/>
        </w:rPr>
        <w:t>A</w:t>
      </w:r>
      <w:r>
        <w:rPr/>
        <w:t>top-hat</w:t>
      </w:r>
      <w:r>
        <w:rPr>
          <w:rFonts w:cs="WP TypographicSymbols" w:ascii="WP TypographicSymbols" w:hAnsi="WP TypographicSymbols"/>
        </w:rPr>
        <w:t>@</w:t>
      </w:r>
      <w:r>
        <w:rPr/>
        <w:t xml:space="preserve"> plan, it may be exempt from the requirements of Parts 2 and 3 of Title I of ERISA.  A top hat plan is a plan which is unfunded and is maintained by an employer primarily for a select group of management or highly compensated employees</w:t>
      </w:r>
      <w:bookmarkStart w:id="4" w:name="QuickMark"/>
      <w:bookmarkEnd w:id="4"/>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Houston:196052.1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sectPr>
      <w:footnotePr>
        <w:numFmt w:val="decimal"/>
      </w:footnotePr>
      <w:type w:val="continuous"/>
      <w:pgSz w:w="12240" w:h="15840"/>
      <w:pgMar w:left="1440" w:right="1440" w:gutter="0" w:header="720" w:top="77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ind w:firstLine="720" w:end="0"/>
        <w:jc w:val="both"/>
        <w:rPr/>
      </w:pPr>
      <w:r>
        <w:rPr>
          <w:rStyle w:val="FootnoteCharacters"/>
        </w:rPr>
        <w:footnoteRef/>
      </w:r>
      <w:r>
        <w:rPr>
          <w:sz w:val="20"/>
        </w:rPr>
        <w:t xml:space="preserve">  </w:t>
      </w:r>
      <w:r>
        <w:rPr>
          <w:sz w:val="20"/>
          <w:u w:val="single"/>
        </w:rPr>
        <w:t>See e.g.</w:t>
      </w:r>
      <w:r>
        <w:rPr>
          <w:sz w:val="20"/>
        </w:rPr>
        <w:t>, DOL Ad. Op. 95-23A (Aug. 30, 1995) (stating that a significant operational factor which might turn a bonus program into an ERISA pension plan would be that an inordinate percentage of the participants were at or near retirement age when the plan paid out); DOL Ad. Op. 98-02A (Mar. 6, 1998) (providing that if bonus amounts paid out under a plan are allocated disproportionately to retirees and participants reaching retirement age or if an inordinate percentage of the recipients are reaching retirement age or if bonus payments are not made often enough or within a reasonable time to avoid serving as retirement income, such plan may be a pension plan as a result of surrounding circumstances); DOL Ad. Op. 81-27A (Aug. 28, 1981) (providing that if distributions are skewed toward the last years of participants</w:t>
      </w:r>
      <w:r>
        <w:rPr>
          <w:rFonts w:cs="WP TypographicSymbols" w:ascii="WP TypographicSymbols" w:hAnsi="WP TypographicSymbols"/>
          <w:sz w:val="20"/>
        </w:rPr>
        <w:t>=</w:t>
      </w:r>
      <w:r>
        <w:rPr>
          <w:sz w:val="20"/>
        </w:rPr>
        <w:t xml:space="preserve"> careers, plan may be a pension plan).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0"/>
        <w:ind w:firstLine="720" w:end="0"/>
        <w:jc w:val="both"/>
        <w:rPr>
          <w:sz w:val="20"/>
        </w:rPr>
      </w:pPr>
      <w:r>
        <w:rPr>
          <w:sz w:val="20"/>
        </w:rPr>
      </w:r>
    </w:p>
  </w:footnote>
  <w:footnote w:id="3">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206"/>
        <w:ind w:firstLine="720" w:end="0"/>
        <w:jc w:val="both"/>
        <w:rPr/>
      </w:pPr>
      <w:r>
        <w:rPr>
          <w:rStyle w:val="FootnoteCharacters"/>
        </w:rPr>
        <w:footnoteRef/>
      </w:r>
      <w:r>
        <w:rPr>
          <w:sz w:val="20"/>
        </w:rPr>
        <w:t xml:space="preserve">  </w:t>
      </w:r>
      <w:r>
        <w:rPr>
          <w:sz w:val="20"/>
          <w:u w:val="single"/>
        </w:rPr>
        <w:t>See e.g.</w:t>
      </w:r>
      <w:r>
        <w:rPr>
          <w:sz w:val="20"/>
        </w:rPr>
        <w:t xml:space="preserve">, </w:t>
      </w:r>
      <w:r>
        <w:rPr>
          <w:sz w:val="20"/>
          <w:u w:val="single"/>
        </w:rPr>
        <w:t>Emmenegger v. Bull Moose Tube Co.</w:t>
      </w:r>
      <w:r>
        <w:rPr>
          <w:sz w:val="20"/>
        </w:rPr>
        <w:t xml:space="preserve">, 197 F.3d 929, 933 (8th Cir. 1999) (in applying surrounding circumstances test to determine if bonuses were systematically deferred, court considered that </w:t>
      </w:r>
      <w:r>
        <w:rPr>
          <w:rFonts w:cs="WP TypographicSymbols" w:ascii="WP TypographicSymbols" w:hAnsi="WP TypographicSymbols"/>
          <w:sz w:val="20"/>
        </w:rPr>
        <w:t>A</w:t>
      </w:r>
      <w:r>
        <w:rPr>
          <w:sz w:val="20"/>
        </w:rPr>
        <w:t>certain participants ...redeemed shares while still employed...providing present income</w:t>
      </w:r>
      <w:r>
        <w:rPr>
          <w:rFonts w:cs="WP TypographicSymbols" w:ascii="WP TypographicSymbols" w:hAnsi="WP TypographicSymbols"/>
          <w:sz w:val="20"/>
        </w:rPr>
        <w:t>@</w:t>
      </w:r>
      <w:r>
        <w:rPr>
          <w:sz w:val="20"/>
        </w:rPr>
        <w:t xml:space="preserve"> and that there was </w:t>
      </w:r>
      <w:r>
        <w:rPr>
          <w:rFonts w:cs="WP TypographicSymbols" w:ascii="WP TypographicSymbols" w:hAnsi="WP TypographicSymbols"/>
          <w:sz w:val="20"/>
        </w:rPr>
        <w:t>A</w:t>
      </w:r>
      <w:r>
        <w:rPr>
          <w:sz w:val="20"/>
        </w:rPr>
        <w:t>no indication that redemptions were regularly deferred</w:t>
      </w:r>
      <w:r>
        <w:rPr>
          <w:rFonts w:cs="WP TypographicSymbols" w:ascii="WP TypographicSymbols" w:hAnsi="WP TypographicSymbols"/>
          <w:sz w:val="20"/>
        </w:rPr>
        <w:t>@</w:t>
      </w:r>
      <w:r>
        <w:rPr>
          <w:sz w:val="20"/>
        </w:rPr>
        <w:t xml:space="preserve">); </w:t>
      </w:r>
      <w:r>
        <w:rPr>
          <w:sz w:val="20"/>
          <w:u w:val="single"/>
        </w:rPr>
        <w:t>but see</w:t>
      </w:r>
      <w:r>
        <w:rPr>
          <w:sz w:val="20"/>
        </w:rPr>
        <w:t xml:space="preserve">, </w:t>
      </w:r>
      <w:r>
        <w:rPr>
          <w:sz w:val="20"/>
          <w:u w:val="single"/>
        </w:rPr>
        <w:t>Depew v. MNC Financial Inc.</w:t>
      </w:r>
      <w:r>
        <w:rPr>
          <w:sz w:val="20"/>
        </w:rPr>
        <w:t>, 819 F. Supp. 492 (D. Ma. 1993) (holding that bonus plan designed to pay out upon liquidation of certain assets was not an ERISA plan because payout was not necessarily after termination of employment and, in so holding, ignoring the surrounding circumstances test presumably because no other participants had terminated and no payouts had been made at the time of the case).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right" w:pos="9360" w:leader="none"/>
      </w:tabs>
      <w:jc w:val="both"/>
      <w:rPr/>
    </w:pPr>
    <w:r>
      <w:rPr/>
      <w:tab/>
    </w:r>
  </w:p>
  <w:p>
    <w:pPr>
      <w:pStyle w:val="Normal"/>
      <w:spacing w:lineRule="exact" w:line="240"/>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
    <w:name w:val="Footnote Ref"/>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andFooter"/>
    <w:pPr>
      <w:suppressLineNumbers/>
    </w:pPr>
    <w:rPr/>
  </w:style>
  <w:style w:type="paragraph" w:styleId="Footer">
    <w:name w:val="footer"/>
    <w:basedOn w:val="HeaderandFooter"/>
    <w:pPr>
      <w:suppressLineNumbers/>
      <w:tabs>
        <w:tab w:val="clear" w:pos="4986"/>
        <w:tab w:val="clear" w:pos="9972"/>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2000-04-22T21:39:00Z</dcterms:created>
  <dc:creator>VE</dc:creator>
  <dc:description/>
  <dc:language>en-CA</dc:language>
  <cp:lastModifiedBy/>
  <cp:revision>1</cp:revision>
  <dc:subject/>
  <dc:title/>
</cp:coreProperties>
</file>