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t>TIMOTHY A. BEVERICK</w:t>
      </w:r>
    </w:p>
    <w:p>
      <w:pPr>
        <w:pStyle w:val="Normal"/>
        <w:tabs>
          <w:tab w:val="clear" w:pos="720"/>
          <w:tab w:val="left" w:pos="7380" w:leader="none"/>
        </w:tabs>
        <w:jc w:val="center"/>
        <w:rPr/>
      </w:pPr>
      <w:r>
        <w:rPr/>
        <w:t>3807 Stocksbridge Drive</w:t>
      </w:r>
    </w:p>
    <w:p>
      <w:pPr>
        <w:pStyle w:val="Normal"/>
        <w:tabs>
          <w:tab w:val="clear" w:pos="720"/>
          <w:tab w:val="left" w:pos="7380" w:leader="none"/>
        </w:tabs>
        <w:jc w:val="center"/>
        <w:rPr/>
      </w:pPr>
      <w:r>
        <w:rPr/>
        <w:t>Sugar Land, Texas 77479</w:t>
      </w:r>
    </w:p>
    <w:p>
      <w:pPr>
        <w:pStyle w:val="Normal"/>
        <w:tabs>
          <w:tab w:val="clear" w:pos="720"/>
          <w:tab w:val="left" w:pos="7380" w:leader="none"/>
        </w:tabs>
        <w:jc w:val="center"/>
        <w:rPr/>
      </w:pPr>
      <w:r>
        <w:rPr/>
        <w:t>Home:  (281) 265-1533     Work:  (713) 544-5123</w:t>
      </w:r>
    </w:p>
    <w:p>
      <w:pPr>
        <w:pStyle w:val="Normal"/>
        <w:rPr/>
      </w:pPr>
      <w:r>
        <w:rPr/>
        <w:t>_______________________________________________________________________________________</w:t>
      </w:r>
    </w:p>
    <w:p>
      <w:pPr>
        <w:pStyle w:val="Normal"/>
        <w:rPr/>
      </w:pPr>
      <w:r>
        <w:rPr/>
      </w:r>
    </w:p>
    <w:p>
      <w:pPr>
        <w:pStyle w:val="Normal"/>
        <w:rPr/>
      </w:pPr>
      <w:r>
        <w:rPr>
          <w:b/>
          <w:u w:val="single"/>
        </w:rPr>
        <w:t>Experience</w:t>
      </w:r>
      <w:r>
        <w:rPr>
          <w:b/>
        </w:rPr>
        <w:t>:</w:t>
      </w:r>
    </w:p>
    <w:p>
      <w:pPr>
        <w:pStyle w:val="Normal"/>
        <w:rPr/>
      </w:pPr>
      <w:r>
        <w:rPr>
          <w:b/>
          <w:sz w:val="22"/>
        </w:rPr>
        <w:t>1997</w:t>
      </w:r>
      <w:r>
        <w:rPr>
          <w:b/>
        </w:rPr>
        <w:t xml:space="preserve">-present </w:t>
        <w:tab/>
      </w:r>
      <w:r>
        <w:rPr>
          <w:b/>
          <w:u w:val="single"/>
        </w:rPr>
        <w:t>Koch Industries, Inc.</w:t>
      </w:r>
      <w:r>
        <w:rPr/>
        <w:t>, Houston, Texas - Attorney</w:t>
      </w:r>
    </w:p>
    <w:p>
      <w:pPr>
        <w:pStyle w:val="Normal"/>
        <w:numPr>
          <w:ilvl w:val="0"/>
          <w:numId w:val="1"/>
        </w:numPr>
        <w:rPr/>
      </w:pPr>
      <w:r>
        <w:rPr/>
        <w:t>Sole attorney supporting Koch Energy Trading, Inc.’s power traders.  Streamlined back office contract process, resulting in the freeing up of 80% of an attorney’s time.</w:t>
      </w:r>
    </w:p>
    <w:p>
      <w:pPr>
        <w:pStyle w:val="Normal"/>
        <w:numPr>
          <w:ilvl w:val="0"/>
          <w:numId w:val="1"/>
        </w:numPr>
        <w:rPr/>
      </w:pPr>
      <w:r>
        <w:rPr/>
        <w:t>Sole attorney supporting Koch Power, Inc. (KPI), a subsidiary charged with purchasing and operating generation facilities to support the power trading functions.</w:t>
      </w:r>
    </w:p>
    <w:p>
      <w:pPr>
        <w:pStyle w:val="Normal"/>
        <w:numPr>
          <w:ilvl w:val="0"/>
          <w:numId w:val="1"/>
        </w:numPr>
        <w:rPr/>
      </w:pPr>
      <w:r>
        <w:rPr/>
        <w:t>Originated and implemented electric service clearinghouse concept for all of Koch’s 5,000+ facilities receiving electric service, including:  1) negotiating all new and reforming existing electric service contracts to get lower rates and prepare them for retail wheeling, 2) qualifying and participating in state retail wheeling programs, and 3) aggregating accounts on a national and regional basis.  Acting in both legal and business roles.</w:t>
      </w:r>
    </w:p>
    <w:p>
      <w:pPr>
        <w:pStyle w:val="Normal"/>
        <w:numPr>
          <w:ilvl w:val="0"/>
          <w:numId w:val="1"/>
        </w:numPr>
        <w:rPr/>
      </w:pPr>
      <w:r>
        <w:rPr/>
        <w:t>One of two team leaders responsible for securing a third-party electric supplier to Koch’s largest oil refinery, resulting in a savings of approximately $8-10 million a year for the ten year term.  Acted in both legal and business roles.</w:t>
      </w:r>
    </w:p>
    <w:p>
      <w:pPr>
        <w:pStyle w:val="Normal"/>
        <w:numPr>
          <w:ilvl w:val="0"/>
          <w:numId w:val="1"/>
        </w:numPr>
        <w:rPr/>
      </w:pPr>
      <w:r>
        <w:rPr/>
        <w:t>Represent Koch’s oil refineries in all utility rate matters.</w:t>
      </w:r>
    </w:p>
    <w:p>
      <w:pPr>
        <w:pStyle w:val="Normal"/>
        <w:numPr>
          <w:ilvl w:val="0"/>
          <w:numId w:val="1"/>
        </w:numPr>
        <w:rPr/>
      </w:pPr>
      <w:r>
        <w:rPr/>
        <w:t>Manage outside counsel on numerous matters, and direct supervisor to three paralegals, a rate analyst, a contract administrator, a file clerk, and a secretary.</w:t>
      </w:r>
    </w:p>
    <w:p>
      <w:pPr>
        <w:pStyle w:val="Normal"/>
        <w:rPr>
          <w:b/>
          <w:sz w:val="22"/>
        </w:rPr>
      </w:pPr>
      <w:r>
        <w:rPr>
          <w:b/>
          <w:sz w:val="22"/>
        </w:rPr>
      </w:r>
    </w:p>
    <w:p>
      <w:pPr>
        <w:pStyle w:val="Normal"/>
        <w:rPr/>
      </w:pPr>
      <w:r>
        <w:rPr>
          <w:b/>
          <w:sz w:val="22"/>
        </w:rPr>
        <w:t>1990</w:t>
      </w:r>
      <w:r>
        <w:rPr>
          <w:b/>
        </w:rPr>
        <w:t xml:space="preserve">-1997 </w:t>
        <w:tab/>
      </w:r>
      <w:r>
        <w:rPr>
          <w:b/>
          <w:u w:val="single"/>
        </w:rPr>
        <w:t>The Dayton Power and Light Company</w:t>
      </w:r>
      <w:r>
        <w:rPr/>
        <w:t>, Dayton, Ohio - Associate Counsel</w:t>
      </w:r>
    </w:p>
    <w:p>
      <w:pPr>
        <w:pStyle w:val="Normal"/>
        <w:numPr>
          <w:ilvl w:val="0"/>
          <w:numId w:val="1"/>
        </w:numPr>
        <w:rPr/>
      </w:pPr>
      <w:r>
        <w:rPr/>
        <w:t>Drafted and negotiated numerous electric and natural gas wholesale and retail contracts and tariffs.</w:t>
      </w:r>
    </w:p>
    <w:p>
      <w:pPr>
        <w:pStyle w:val="Normal"/>
        <w:numPr>
          <w:ilvl w:val="0"/>
          <w:numId w:val="1"/>
        </w:numPr>
        <w:rPr/>
      </w:pPr>
      <w:r>
        <w:rPr/>
        <w:t>Represented the company in natural gas and electric matters before the Federal Energy Regulatory Commission (“FERC”) and The Public Utilities Commission of Ohio.</w:t>
      </w:r>
    </w:p>
    <w:p>
      <w:pPr>
        <w:pStyle w:val="Normal"/>
        <w:numPr>
          <w:ilvl w:val="0"/>
          <w:numId w:val="1"/>
        </w:numPr>
        <w:rPr/>
      </w:pPr>
      <w:r>
        <w:rPr/>
        <w:t>Represented the company in retail wheeling matters before the Ohio Joint Select Committee on Electric Utility Deregulation, including the drafting of legislation.</w:t>
      </w:r>
    </w:p>
    <w:p>
      <w:pPr>
        <w:pStyle w:val="Normal"/>
        <w:numPr>
          <w:ilvl w:val="0"/>
          <w:numId w:val="1"/>
        </w:numPr>
        <w:rPr/>
      </w:pPr>
      <w:r>
        <w:rPr/>
        <w:t>Represented the company in general corporate, contractual, tax, legislative, litigation, and bankruptcy matters.</w:t>
      </w:r>
    </w:p>
    <w:p>
      <w:pPr>
        <w:pStyle w:val="Normal"/>
        <w:numPr>
          <w:ilvl w:val="0"/>
          <w:numId w:val="1"/>
        </w:numPr>
        <w:rPr/>
      </w:pPr>
      <w:r>
        <w:rPr/>
        <w:t>Acted as the company’s point person for all FERC Order Nos. 888/889 electric matters, including preparing the company’s compliance plan, working will all relevant departments regarding compliance, drafting of all FERC pleadings, and handling the tariff proceeding.</w:t>
      </w:r>
    </w:p>
    <w:p>
      <w:pPr>
        <w:pStyle w:val="Normal"/>
        <w:numPr>
          <w:ilvl w:val="0"/>
          <w:numId w:val="1"/>
        </w:numPr>
        <w:rPr/>
      </w:pPr>
      <w:r>
        <w:rPr/>
        <w:t>Acted as the company’s point person for all FERC Order No. 636 matters, including the negotiating of settlements, drafting of comments in the Columbia Gas, Texas Gas, Panhandle, and ANR restructuring and transition cost proceedings, and establishing and implementing the company’s capacity release program.</w:t>
      </w:r>
    </w:p>
    <w:p>
      <w:pPr>
        <w:pStyle w:val="Normal"/>
        <w:numPr>
          <w:ilvl w:val="0"/>
          <w:numId w:val="1"/>
        </w:numPr>
        <w:rPr/>
      </w:pPr>
      <w:r>
        <w:rPr/>
        <w:t>Recipient of DPL 1995 Achievement Award and recipient of four DPL Recognizing Excellence Awards.</w:t>
      </w:r>
    </w:p>
    <w:p>
      <w:pPr>
        <w:pStyle w:val="Normal"/>
        <w:numPr>
          <w:ilvl w:val="0"/>
          <w:numId w:val="1"/>
        </w:numPr>
        <w:rPr/>
      </w:pPr>
      <w:r>
        <w:rPr/>
        <w:t xml:space="preserve">The company was selected as the 1994 Utility of the Year by </w:t>
      </w:r>
      <w:r>
        <w:rPr>
          <w:i/>
        </w:rPr>
        <w:t>Electric Light and Power</w:t>
      </w:r>
      <w:r>
        <w:rPr/>
        <w:t>.</w:t>
      </w:r>
    </w:p>
    <w:p>
      <w:pPr>
        <w:pStyle w:val="Normal"/>
        <w:numPr>
          <w:ilvl w:val="0"/>
          <w:numId w:val="0"/>
        </w:numPr>
        <w:ind w:hanging="360" w:start="1800" w:end="0"/>
        <w:rPr/>
      </w:pPr>
      <w:r>
        <w:rPr/>
      </w:r>
    </w:p>
    <w:p>
      <w:pPr>
        <w:pStyle w:val="Normal"/>
        <w:rPr/>
      </w:pPr>
      <w:r>
        <w:rPr>
          <w:b/>
          <w:sz w:val="22"/>
        </w:rPr>
        <w:t>1986-1990</w:t>
      </w:r>
      <w:r>
        <w:rPr>
          <w:b/>
        </w:rPr>
        <w:tab/>
      </w:r>
      <w:r>
        <w:rPr>
          <w:b/>
          <w:u w:val="single"/>
        </w:rPr>
        <w:t>Calfee, Halter &amp; Griswold</w:t>
      </w:r>
      <w:r>
        <w:rPr/>
        <w:t>, Cleveland, Ohio (150+ attorneys) - Associate, Summer Associate</w:t>
      </w:r>
    </w:p>
    <w:p>
      <w:pPr>
        <w:pStyle w:val="Normal"/>
        <w:numPr>
          <w:ilvl w:val="0"/>
          <w:numId w:val="1"/>
        </w:numPr>
        <w:rPr/>
      </w:pPr>
      <w:r>
        <w:rPr/>
        <w:t>As attorney (1988-1990), practiced in general corporate area of firm, with focus on:  1) mergers and acquisitions, and 2) general corporate contractual matters.</w:t>
      </w:r>
    </w:p>
    <w:p>
      <w:pPr>
        <w:pStyle w:val="Normal"/>
        <w:numPr>
          <w:ilvl w:val="0"/>
          <w:numId w:val="1"/>
        </w:numPr>
        <w:rPr/>
      </w:pPr>
      <w:r>
        <w:rPr/>
        <w:t>As summer associate (1986 &amp; 1987), practiced in various areas of firm, including: bankruptcy, general corporate, healthcare, labor, and litigation.</w:t>
      </w:r>
    </w:p>
    <w:p>
      <w:pPr>
        <w:pStyle w:val="Normal"/>
        <w:rPr/>
      </w:pPr>
      <w:r>
        <w:rPr/>
      </w:r>
    </w:p>
    <w:p>
      <w:pPr>
        <w:pStyle w:val="Normal"/>
        <w:rPr/>
      </w:pPr>
      <w:r>
        <w:rPr/>
      </w:r>
    </w:p>
    <w:p>
      <w:pPr>
        <w:pStyle w:val="Normal"/>
        <w:rPr/>
      </w:pPr>
      <w:r>
        <w:rPr>
          <w:b/>
          <w:u w:val="single"/>
        </w:rPr>
        <w:t>Education</w:t>
      </w:r>
      <w:r>
        <w:rPr>
          <w:b/>
        </w:rPr>
        <w:t>:</w:t>
      </w:r>
    </w:p>
    <w:p>
      <w:pPr>
        <w:pStyle w:val="Normal"/>
        <w:rPr/>
      </w:pPr>
      <w:r>
        <w:rPr>
          <w:b/>
          <w:sz w:val="22"/>
        </w:rPr>
        <w:t>1985-1988</w:t>
      </w:r>
      <w:r>
        <w:rPr>
          <w:b/>
        </w:rPr>
        <w:tab/>
      </w:r>
      <w:r>
        <w:rPr>
          <w:b/>
          <w:u w:val="single"/>
        </w:rPr>
        <w:t>Case Western Reserve University School of Law</w:t>
      </w:r>
      <w:r>
        <w:rPr/>
        <w:t>, Cleveland, Ohio, J.D., May 1988</w:t>
      </w:r>
    </w:p>
    <w:p>
      <w:pPr>
        <w:pStyle w:val="Normal"/>
        <w:rPr/>
      </w:pPr>
      <w:r>
        <w:rPr>
          <w:b/>
        </w:rPr>
        <w:tab/>
        <w:tab/>
      </w:r>
      <w:r>
        <w:rPr/>
        <w:t>Honors:  Professional Responsibility American Jurisprudence Recipient, 1988</w:t>
      </w:r>
    </w:p>
    <w:p>
      <w:pPr>
        <w:pStyle w:val="Normal"/>
        <w:rPr/>
      </w:pPr>
      <w:r>
        <w:rPr/>
      </w:r>
    </w:p>
    <w:p>
      <w:pPr>
        <w:pStyle w:val="Normal"/>
        <w:rPr/>
      </w:pPr>
      <w:r>
        <w:rPr>
          <w:b/>
          <w:sz w:val="22"/>
        </w:rPr>
        <w:t>1981-1985</w:t>
      </w:r>
      <w:r>
        <w:rPr>
          <w:b/>
        </w:rPr>
        <w:tab/>
      </w:r>
      <w:r>
        <w:rPr>
          <w:b/>
          <w:u w:val="single"/>
        </w:rPr>
        <w:t>John Carroll University</w:t>
      </w:r>
      <w:r>
        <w:rPr/>
        <w:t>, University Heights, Ohio, Bachelor of Arts</w:t>
      </w:r>
    </w:p>
    <w:p>
      <w:pPr>
        <w:pStyle w:val="Normal"/>
        <w:ind w:hanging="1080" w:start="2520" w:end="0"/>
        <w:rPr/>
      </w:pPr>
      <w:r>
        <w:rPr/>
        <w:t>Major:</w:t>
        <w:tab/>
        <w:t>Political Science</w:t>
      </w:r>
    </w:p>
    <w:p>
      <w:pPr>
        <w:pStyle w:val="Normal"/>
        <w:ind w:hanging="1080" w:start="2520" w:end="0"/>
        <w:rPr/>
      </w:pPr>
      <w:r>
        <w:rPr/>
        <w:t>Honors:</w:t>
        <w:tab/>
        <w:t>Dean’s List, American Values Scholarship</w:t>
      </w:r>
    </w:p>
    <w:p>
      <w:pPr>
        <w:pStyle w:val="Normal"/>
        <w:ind w:hanging="1080" w:start="2520" w:end="0"/>
        <w:rPr/>
      </w:pPr>
      <w:r>
        <w:rPr/>
        <w:t>Activities:</w:t>
        <w:tab/>
        <w:t>Freshman Class President, Sophomore Class Senator, Junior Class President, Varsity Wrestling</w:t>
      </w:r>
    </w:p>
    <w:p>
      <w:pPr>
        <w:pStyle w:val="Normal"/>
        <w:rPr>
          <w:b/>
          <w:u w:val="single"/>
        </w:rPr>
      </w:pPr>
      <w:r>
        <w:rPr>
          <w:b/>
        </w:rPr>
        <w:t>Pro Bono</w:t>
      </w:r>
    </w:p>
    <w:p>
      <w:pPr>
        <w:pStyle w:val="Normal"/>
        <w:rPr/>
      </w:pPr>
      <w:r>
        <w:rPr>
          <w:b/>
          <w:u w:val="single"/>
        </w:rPr>
        <w:t>Activities</w:t>
      </w:r>
      <w:r>
        <w:rPr>
          <w:b/>
        </w:rPr>
        <w:t>:</w:t>
        <w:tab/>
      </w:r>
      <w:r>
        <w:rPr/>
        <w:t>Legal Explorer Post Advisor, 1994 to 1997</w:t>
      </w:r>
    </w:p>
    <w:p>
      <w:pPr>
        <w:pStyle w:val="Normal"/>
        <w:ind w:start="1440" w:end="0"/>
        <w:rPr/>
      </w:pPr>
      <w:r>
        <w:rPr/>
        <w:t>Board of Directors of Fair Rivers Oaks Council Neighborhood Development Corporation, 1993-1995</w:t>
      </w:r>
    </w:p>
    <w:p>
      <w:pPr>
        <w:pStyle w:val="Normal"/>
        <w:ind w:start="1440" w:end="0"/>
        <w:rPr/>
      </w:pPr>
      <w:r>
        <w:rPr/>
        <w:t>Board of Trustees of Shoes for Kids, 1989-1990</w:t>
      </w:r>
    </w:p>
    <w:p>
      <w:pPr>
        <w:pStyle w:val="Normal"/>
        <w:ind w:start="1440" w:end="0"/>
        <w:rPr/>
      </w:pPr>
      <w:r>
        <w:rPr/>
        <w:t>United Way Associate Cabinet, 1988-1990, and United Way Loaned Executive, 1988</w:t>
      </w:r>
    </w:p>
    <w:sectPr>
      <w:type w:val="nextPage"/>
      <w:pgSz w:w="12240" w:h="15840"/>
      <w:pgMar w:left="720"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180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1999-01-11T10:47:00Z</dcterms:created>
  <dc:creator>BEVERICT</dc:creator>
  <dc:description/>
  <dc:language>en-CA</dc:language>
  <cp:lastModifiedBy>Koch</cp:lastModifiedBy>
  <cp:lastPrinted>2000-01-20T10:47:00Z</cp:lastPrinted>
  <dcterms:modified xsi:type="dcterms:W3CDTF">2000-02-02T17:23:00Z</dcterms:modified>
  <cp:revision>7</cp:revision>
  <dc:subject/>
  <dc:title>TABnew</dc:title>
</cp:coreProperties>
</file>