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Rob Milnthorp, Derek Davies, Peter Keohane, Jon McKay, Darren Cross &amp; Kate Joslyn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rPr>
                <w:sz w:val="18"/>
              </w:rPr>
            </w:pPr>
            <w:r>
              <w:rPr>
                <w:sz w:val="18"/>
              </w:rPr>
              <w:t>Greg Johnston</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Powell</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Risk Management Memo</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t>May 18, 2001</w:t>
            </w:r>
          </w:p>
        </w:tc>
      </w:tr>
      <w:tr>
        <w:trPr/>
        <w:tc>
          <w:tcPr>
            <w:tcW w:w="708" w:type="dxa"/>
            <w:tcBorders>
              <w:bottom w:val="single" w:sz="12" w:space="0" w:color="000000"/>
            </w:tcBorders>
          </w:tcPr>
          <w:p>
            <w:pPr>
              <w:pStyle w:val="Normal"/>
              <w:snapToGrid w:val="false"/>
              <w:ind w:start="-180" w:end="0"/>
              <w:jc w:val="end"/>
              <w:rPr>
                <w:sz w:val="16"/>
              </w:rPr>
            </w:pPr>
            <w:r>
              <w:rPr>
                <w:sz w:val="16"/>
              </w:rPr>
            </w:r>
          </w:p>
        </w:tc>
        <w:tc>
          <w:tcPr>
            <w:tcW w:w="6045" w:type="dxa"/>
            <w:tcBorders>
              <w:bottom w:val="single" w:sz="12" w:space="0" w:color="000000"/>
            </w:tcBorders>
          </w:tcPr>
          <w:p>
            <w:pPr>
              <w:pStyle w:val="Subject"/>
              <w:snapToGrid w:val="false"/>
              <w:rPr>
                <w:sz w:val="16"/>
              </w:rPr>
            </w:pPr>
            <w:r>
              <w:rPr>
                <w:sz w:val="16"/>
              </w:rPr>
            </w:r>
          </w:p>
        </w:tc>
        <w:tc>
          <w:tcPr>
            <w:tcW w:w="990" w:type="dxa"/>
            <w:tcBorders>
              <w:bottom w:val="single" w:sz="12" w:space="0" w:color="000000"/>
            </w:tcBorders>
          </w:tcPr>
          <w:p>
            <w:pPr>
              <w:pStyle w:val="Normal"/>
              <w:snapToGrid w:val="false"/>
              <w:ind w:start="-180" w:end="0"/>
              <w:jc w:val="end"/>
              <w:rPr>
                <w:sz w:val="16"/>
              </w:rPr>
            </w:pPr>
            <w:r>
              <w:rPr>
                <w:sz w:val="16"/>
              </w:rPr>
            </w:r>
          </w:p>
        </w:tc>
        <w:tc>
          <w:tcPr>
            <w:tcW w:w="2965" w:type="dxa"/>
            <w:tcBorders>
              <w:bottom w:val="single" w:sz="12" w:space="0" w:color="000000"/>
            </w:tcBorders>
          </w:tcPr>
          <w:p>
            <w:pPr>
              <w:pStyle w:val="Date"/>
              <w:snapToGrid w:val="false"/>
              <w:rPr>
                <w:sz w:val="16"/>
              </w:rPr>
            </w:pPr>
            <w:r>
              <w:rPr>
                <w:sz w:val="16"/>
              </w:rPr>
            </w:r>
          </w:p>
        </w:tc>
      </w:tr>
    </w:tbl>
    <w:p>
      <w:pPr>
        <w:pStyle w:val="Body"/>
        <w:spacing w:before="120" w:after="120"/>
        <w:jc w:val="both"/>
        <w:rPr/>
      </w:pPr>
      <w:r>
        <w:rPr/>
      </w:r>
      <w:bookmarkStart w:id="1" w:name="StartOfMemo"/>
      <w:bookmarkStart w:id="2" w:name="StartOfMemo"/>
      <w:bookmarkEnd w:id="2"/>
    </w:p>
    <w:p>
      <w:pPr>
        <w:pStyle w:val="Body"/>
        <w:spacing w:before="120" w:after="120"/>
        <w:jc w:val="both"/>
        <w:rPr/>
      </w:pPr>
      <w:r>
        <w:rPr/>
        <w:t>In light of the risk management meeting held on May 15, 2001, below is a summary of the current deal structures (and some outstanding issues relating to these structures) for:</w:t>
      </w:r>
    </w:p>
    <w:p>
      <w:pPr>
        <w:pStyle w:val="Body"/>
        <w:numPr>
          <w:ilvl w:val="0"/>
          <w:numId w:val="3"/>
        </w:numPr>
        <w:spacing w:before="120" w:after="120"/>
        <w:jc w:val="both"/>
        <w:rPr/>
      </w:pPr>
      <w:r>
        <w:rPr/>
        <w:t>Rate 11 retail natural gas transactions;</w:t>
      </w:r>
    </w:p>
    <w:p>
      <w:pPr>
        <w:pStyle w:val="Body"/>
        <w:numPr>
          <w:ilvl w:val="0"/>
          <w:numId w:val="3"/>
        </w:numPr>
        <w:spacing w:before="120" w:after="120"/>
        <w:jc w:val="both"/>
        <w:rPr/>
      </w:pPr>
      <w:r>
        <w:rPr/>
        <w:t>Rate 13 retail natural gas transactions; and</w:t>
      </w:r>
    </w:p>
    <w:p>
      <w:pPr>
        <w:pStyle w:val="Body"/>
        <w:numPr>
          <w:ilvl w:val="0"/>
          <w:numId w:val="3"/>
        </w:numPr>
        <w:spacing w:before="120" w:after="120"/>
        <w:jc w:val="both"/>
        <w:rPr/>
      </w:pPr>
      <w:r>
        <w:rPr/>
        <w:t>retail electricity transactions.</w:t>
      </w:r>
    </w:p>
    <w:p>
      <w:pPr>
        <w:pStyle w:val="Body"/>
        <w:spacing w:before="120" w:after="120"/>
        <w:jc w:val="both"/>
        <w:rPr/>
      </w:pPr>
      <w:r>
        <w:rPr/>
        <w:t>I have also prepared a list of the “legal” balancing requirements for Rate 11, Rate 13 and retail electricity transactions which is to be incorporated in a memo prepared by Kate Joslyn and Randel Dalgleish with respect to practical balancing obligations.</w:t>
      </w:r>
    </w:p>
    <w:p>
      <w:pPr>
        <w:pStyle w:val="Body"/>
        <w:spacing w:before="120" w:after="120"/>
        <w:jc w:val="both"/>
        <w:rPr>
          <w:b/>
          <w:bCs/>
        </w:rPr>
      </w:pPr>
      <w:r>
        <w:rPr>
          <w:b/>
          <w:bCs/>
        </w:rPr>
      </w:r>
    </w:p>
    <w:p>
      <w:pPr>
        <w:pStyle w:val="Body"/>
        <w:spacing w:before="120" w:after="120"/>
        <w:jc w:val="both"/>
        <w:rPr>
          <w:b/>
          <w:bCs/>
        </w:rPr>
      </w:pPr>
      <w:r>
        <w:rPr>
          <w:b/>
          <w:bCs/>
        </w:rPr>
        <w:t>A.</w:t>
        <w:tab/>
        <w:t>Rate 11</w:t>
      </w:r>
    </w:p>
    <w:p>
      <w:pPr>
        <w:pStyle w:val="Body"/>
        <w:spacing w:before="120" w:after="120"/>
        <w:ind w:firstLine="648" w:end="0"/>
        <w:jc w:val="both"/>
        <w:rPr/>
      </w:pPr>
      <w:r>
        <w:rPr/>
        <w:t>Rate 11 retail natural gas transactions are currently “All Requirements” (a.k.a. “Load Following”) contracts where:</w:t>
      </w:r>
    </w:p>
    <w:p>
      <w:pPr>
        <w:pStyle w:val="Body"/>
        <w:spacing w:before="120" w:after="120"/>
        <w:ind w:start="144" w:end="0"/>
        <w:jc w:val="both"/>
        <w:rPr/>
      </w:pPr>
      <w:r>
        <w:rPr/>
      </w:r>
    </w:p>
    <w:p>
      <w:pPr>
        <w:pStyle w:val="Body"/>
        <w:spacing w:before="120" w:after="120"/>
        <w:ind w:firstLine="504" w:start="288" w:end="0"/>
        <w:jc w:val="both"/>
        <w:rPr/>
      </w:pPr>
      <w:r>
        <w:rPr>
          <w:b/>
          <w:bCs/>
        </w:rPr>
        <w:t xml:space="preserve">ECC  </w:t>
      </w:r>
      <w:r>
        <w:rPr>
          <w:rFonts w:eastAsia="Wingdings" w:cs="Wingdings" w:ascii="Wingdings" w:hAnsi="Wingdings"/>
          <w:b/>
          <w:bCs/>
        </w:rPr>
        <w:sym w:font="Wingdings" w:char="f0df"/>
      </w:r>
      <w:r>
        <w:rPr/>
        <w:t xml:space="preserve"> </w:t>
      </w:r>
      <w:r>
        <w:rPr>
          <w:sz w:val="16"/>
        </w:rPr>
        <w:t>Fixed Price (“FP”) for a Fixed Volume</w:t>
      </w:r>
      <w:r>
        <w:rPr/>
        <w:t xml:space="preserve"> </w:t>
      </w:r>
      <w:r>
        <w:rPr>
          <w:rFonts w:eastAsia="Wingdings" w:cs="Wingdings" w:ascii="Wingdings" w:hAnsi="Wingdings"/>
          <w:b/>
          <w:bCs/>
        </w:rPr>
        <w:sym w:font="Wingdings" w:char="f0e0"/>
      </w:r>
      <w:r>
        <w:rPr>
          <w:b/>
          <w:bCs/>
        </w:rPr>
        <w:t xml:space="preserve"> EDC </w:t>
      </w:r>
      <w:r>
        <w:rPr>
          <w:rFonts w:eastAsia="Wingdings" w:cs="Wingdings" w:ascii="Wingdings" w:hAnsi="Wingdings"/>
          <w:b/>
          <w:bCs/>
        </w:rPr>
        <w:sym w:font="Wingdings" w:char="f0df"/>
      </w:r>
      <w:r>
        <w:rPr/>
        <w:t xml:space="preserve"> (</w:t>
      </w:r>
      <w:r>
        <w:rPr>
          <w:sz w:val="16"/>
        </w:rPr>
        <w:t>FP +  Retail &amp; Balancing Margin) for a Variable Volume</w:t>
      </w:r>
      <w:r>
        <w:rPr/>
        <w:t xml:space="preserve"> </w:t>
      </w:r>
      <w:r>
        <w:rPr>
          <w:rFonts w:eastAsia="Wingdings" w:cs="Wingdings" w:ascii="Wingdings" w:hAnsi="Wingdings"/>
          <w:b/>
          <w:bCs/>
        </w:rPr>
        <w:sym w:font="Wingdings" w:char="f0e0"/>
      </w:r>
      <w:r>
        <w:rPr>
          <w:b/>
          <w:bCs/>
        </w:rPr>
        <w:t xml:space="preserve">  Customer</w:t>
      </w:r>
    </w:p>
    <w:p>
      <w:pPr>
        <w:pStyle w:val="Body"/>
        <w:spacing w:before="120" w:after="120"/>
        <w:jc w:val="both"/>
        <w:rPr/>
      </w:pPr>
      <w:r>
        <w:rPr/>
      </w:r>
    </w:p>
    <w:p>
      <w:pPr>
        <w:pStyle w:val="Body"/>
        <w:numPr>
          <w:ilvl w:val="1"/>
          <w:numId w:val="5"/>
        </w:numPr>
        <w:spacing w:before="120" w:after="120"/>
        <w:jc w:val="both"/>
        <w:rPr/>
      </w:pPr>
      <w:r>
        <w:rPr/>
        <w:t>Customer contracts for full requirements with EDC – EDC obtains the balancing risk.</w:t>
        <w:br/>
        <w:t xml:space="preserve"> </w:t>
      </w:r>
    </w:p>
    <w:p>
      <w:pPr>
        <w:pStyle w:val="Body"/>
        <w:numPr>
          <w:ilvl w:val="1"/>
          <w:numId w:val="5"/>
        </w:numPr>
        <w:spacing w:before="120" w:after="120"/>
        <w:jc w:val="both"/>
        <w:rPr/>
      </w:pPr>
      <w:r>
        <w:rPr/>
        <w:t>EDC currently backs the transaction for an estimated notional quantity (based on the normalized volumes provided by ATCO) with ECC pursuant to a master physical agreement – EDC maintains the balancing risk.</w:t>
      </w:r>
    </w:p>
    <w:p>
      <w:pPr>
        <w:pStyle w:val="Body"/>
        <w:spacing w:before="120" w:after="120"/>
        <w:ind w:start="1440" w:end="0"/>
        <w:jc w:val="both"/>
        <w:rPr/>
      </w:pPr>
      <w:r>
        <w:rPr/>
        <w:t>[</w:t>
      </w:r>
      <w:r>
        <w:rPr>
          <w:b/>
          <w:bCs/>
        </w:rPr>
        <w:t>Note</w:t>
      </w:r>
      <w:r>
        <w:rPr/>
        <w:t>: Once we have a large volume of contracts coming through the door (through sales agents or otherwise), it will not likely be possible to get the normalized consumption for the customers prior to the date of the deal.  In which case, some form of estimation may be required)].</w:t>
      </w:r>
    </w:p>
    <w:p>
      <w:pPr>
        <w:pStyle w:val="Body"/>
        <w:numPr>
          <w:ilvl w:val="1"/>
          <w:numId w:val="5"/>
        </w:numPr>
        <w:spacing w:before="120" w:after="120"/>
        <w:jc w:val="both"/>
        <w:rPr/>
      </w:pPr>
      <w:r>
        <w:rPr/>
        <w:t>As currently transacted, ECC sells the fixed volume of gas to EDC for a fixed price.  EDC sells a variable amount of gas at:  fixed price + a retail margin + a balancing margin.</w:t>
      </w:r>
    </w:p>
    <w:p>
      <w:pPr>
        <w:pStyle w:val="Body"/>
        <w:numPr>
          <w:ilvl w:val="1"/>
          <w:numId w:val="5"/>
        </w:numPr>
        <w:spacing w:before="120" w:after="120"/>
        <w:jc w:val="both"/>
        <w:rPr/>
      </w:pPr>
      <w:r>
        <w:rPr/>
        <w:t>Balancing transactions take place between ECC and EDC as necessary.</w:t>
      </w:r>
    </w:p>
    <w:p>
      <w:pPr>
        <w:pStyle w:val="Body"/>
        <w:numPr>
          <w:ilvl w:val="1"/>
          <w:numId w:val="5"/>
        </w:numPr>
        <w:spacing w:before="120" w:after="120"/>
        <w:jc w:val="both"/>
        <w:rPr/>
      </w:pPr>
      <w:r>
        <w:rPr/>
        <w:t>This structure is to be modified to transfer the balancing risk from EDC to ECC.  For example, the transaction between ECC and EDC may be for a “DCQ: all volume of natural gas required to fulfill EDC’s supply requirements under the contracts attached hereto.”</w:t>
        <w:tab/>
      </w:r>
    </w:p>
    <w:p>
      <w:pPr>
        <w:pStyle w:val="Body"/>
        <w:spacing w:before="120" w:after="120"/>
        <w:ind w:start="1440" w:end="0"/>
        <w:jc w:val="both"/>
        <w:rPr/>
      </w:pPr>
      <w:r>
        <w:rPr/>
        <w:t>Under the modified structure, ECC would sell a variable volume of gas to ECC at:  fixed price + a balancing margin (collectively, the “ECC Price”) and EDC would sell to the customer at:  ECC Price + a retail margin as follows:</w:t>
      </w:r>
    </w:p>
    <w:p>
      <w:pPr>
        <w:pStyle w:val="Body"/>
        <w:spacing w:before="120" w:after="120"/>
        <w:ind w:firstLine="648" w:end="0"/>
        <w:jc w:val="both"/>
        <w:rPr>
          <w:sz w:val="18"/>
        </w:rPr>
      </w:pPr>
      <w:r>
        <w:rPr>
          <w:b/>
          <w:bCs/>
          <w:sz w:val="18"/>
        </w:rPr>
        <w:t xml:space="preserve">ECC </w:t>
      </w:r>
      <w:r>
        <w:rPr>
          <w:rFonts w:eastAsia="Wingdings" w:cs="Wingdings" w:ascii="Wingdings" w:hAnsi="Wingdings"/>
          <w:b/>
          <w:bCs/>
          <w:sz w:val="18"/>
        </w:rPr>
        <w:sym w:font="Wingdings" w:char="f0df"/>
      </w:r>
      <w:r>
        <w:rPr>
          <w:sz w:val="18"/>
        </w:rPr>
        <w:t xml:space="preserve"> </w:t>
      </w:r>
      <w:r>
        <w:rPr>
          <w:sz w:val="14"/>
        </w:rPr>
        <w:t>(FP + Balancing Margin (“EDC Price”)) and a Variable Volume</w:t>
      </w:r>
      <w:r>
        <w:rPr>
          <w:sz w:val="18"/>
        </w:rPr>
        <w:t xml:space="preserve"> </w:t>
      </w:r>
      <w:r>
        <w:rPr>
          <w:rFonts w:eastAsia="Wingdings" w:cs="Wingdings" w:ascii="Wingdings" w:hAnsi="Wingdings"/>
          <w:b/>
          <w:bCs/>
          <w:sz w:val="18"/>
        </w:rPr>
        <w:sym w:font="Wingdings" w:char="f0e0"/>
      </w:r>
      <w:r>
        <w:rPr>
          <w:b/>
          <w:bCs/>
          <w:sz w:val="18"/>
        </w:rPr>
        <w:t xml:space="preserve"> EDC </w:t>
      </w:r>
      <w:r>
        <w:rPr>
          <w:rFonts w:eastAsia="Wingdings" w:cs="Wingdings" w:ascii="Wingdings" w:hAnsi="Wingdings"/>
          <w:b/>
          <w:bCs/>
          <w:sz w:val="18"/>
        </w:rPr>
        <w:sym w:font="Wingdings" w:char="f0df"/>
      </w:r>
      <w:r>
        <w:rPr>
          <w:sz w:val="18"/>
        </w:rPr>
        <w:t xml:space="preserve">  </w:t>
      </w:r>
      <w:r>
        <w:rPr>
          <w:sz w:val="14"/>
        </w:rPr>
        <w:t>(ECC Price + Retail Margin) and a Variable Volume</w:t>
      </w:r>
      <w:r>
        <w:rPr>
          <w:sz w:val="18"/>
        </w:rPr>
        <w:t xml:space="preserve">  </w:t>
      </w:r>
      <w:r>
        <w:rPr>
          <w:rFonts w:eastAsia="Wingdings" w:cs="Wingdings" w:ascii="Wingdings" w:hAnsi="Wingdings"/>
          <w:b/>
          <w:bCs/>
          <w:sz w:val="18"/>
        </w:rPr>
        <w:sym w:font="Wingdings" w:char="f0e0"/>
      </w:r>
      <w:r>
        <w:rPr>
          <w:b/>
          <w:bCs/>
          <w:sz w:val="18"/>
        </w:rPr>
        <w:t xml:space="preserve">  Customer</w:t>
      </w:r>
    </w:p>
    <w:p>
      <w:pPr>
        <w:pStyle w:val="Body"/>
        <w:numPr>
          <w:ilvl w:val="1"/>
          <w:numId w:val="5"/>
        </w:numPr>
        <w:spacing w:before="120" w:after="120"/>
        <w:jc w:val="both"/>
        <w:rPr/>
      </w:pPr>
      <w:r>
        <w:rPr>
          <w:b/>
          <w:bCs/>
        </w:rPr>
        <w:t>Negative Price Risk Issue</w:t>
      </w:r>
      <w:r>
        <w:rPr/>
        <w:t>: we need to further assess whether or not the Rate 11 contract should include provisions which would address negative price risk.</w:t>
      </w:r>
    </w:p>
    <w:p>
      <w:pPr>
        <w:pStyle w:val="Body"/>
        <w:numPr>
          <w:ilvl w:val="1"/>
          <w:numId w:val="5"/>
        </w:numPr>
        <w:spacing w:before="120" w:after="120"/>
        <w:jc w:val="both"/>
        <w:rPr/>
      </w:pPr>
      <w:r>
        <w:rPr>
          <w:b/>
          <w:bCs/>
        </w:rPr>
        <w:t>Changing Rate Class Issue</w:t>
      </w:r>
      <w:r>
        <w:rPr/>
        <w:t>:  In the event that a site is re-classified as a Rate 13 site, we will have a supply agreement which does not pass the balancing risk to the Customer even though we would have the information to do so (as well as some potential issues as regarding the mechanics of the re-classification.  For example, the Rate 11 agreement does not include an indemnity clause which is required if the Customer will be required to enter a Rate 13 transportation contract with ATCO).</w:t>
      </w:r>
    </w:p>
    <w:p>
      <w:pPr>
        <w:pStyle w:val="Body"/>
        <w:spacing w:before="120" w:after="120"/>
        <w:ind w:start="1440" w:end="0"/>
        <w:jc w:val="both"/>
        <w:rPr/>
      </w:pPr>
      <w:r>
        <w:rPr/>
        <w:t>At this time, the following courses of action have been suggested:</w:t>
      </w:r>
    </w:p>
    <w:p>
      <w:pPr>
        <w:pStyle w:val="Body"/>
        <w:numPr>
          <w:ilvl w:val="3"/>
          <w:numId w:val="5"/>
        </w:numPr>
        <w:spacing w:before="120" w:after="120"/>
        <w:jc w:val="both"/>
        <w:rPr/>
      </w:pPr>
      <w:r>
        <w:rPr/>
        <w:t>a cap on the volume at which the customer will be able to buy gas at the fixed price (8,000 GJs) with all remaining gas bought at a slight premium to ADI; or</w:t>
      </w:r>
    </w:p>
    <w:p>
      <w:pPr>
        <w:pStyle w:val="Body"/>
        <w:numPr>
          <w:ilvl w:val="3"/>
          <w:numId w:val="5"/>
        </w:numPr>
        <w:spacing w:before="120" w:after="120"/>
        <w:jc w:val="both"/>
        <w:rPr/>
      </w:pPr>
      <w:r>
        <w:rPr/>
        <w:t>unilateral termination rights of Enron Direct upon the reclassification.</w:t>
      </w:r>
      <w:r>
        <w:rPr>
          <w:b/>
          <w:bCs/>
        </w:rPr>
        <w:t xml:space="preserve"> </w:t>
      </w:r>
    </w:p>
    <w:p>
      <w:pPr>
        <w:pStyle w:val="Body"/>
        <w:spacing w:before="120" w:after="120"/>
        <w:ind w:start="1512" w:end="0"/>
        <w:jc w:val="both"/>
        <w:rPr/>
      </w:pPr>
      <w:r>
        <w:rPr/>
        <w:t>FYI – ATCO current practice is to re-classify a site if it shows consistently over the period of a year that it would reasonably be expected for consumption to exceed 8,000 GJs in a normal year.</w:t>
      </w:r>
    </w:p>
    <w:p>
      <w:pPr>
        <w:pStyle w:val="Body"/>
        <w:spacing w:before="120" w:after="120"/>
        <w:ind w:start="792" w:end="0"/>
        <w:jc w:val="both"/>
        <w:rPr/>
      </w:pPr>
      <w:r>
        <w:rPr/>
      </w:r>
    </w:p>
    <w:p>
      <w:pPr>
        <w:pStyle w:val="Body"/>
        <w:spacing w:before="120" w:after="120"/>
        <w:ind w:hanging="645" w:start="717" w:end="0"/>
        <w:jc w:val="both"/>
        <w:rPr>
          <w:b/>
          <w:bCs/>
        </w:rPr>
      </w:pPr>
      <w:r>
        <w:rPr>
          <w:b/>
          <w:bCs/>
        </w:rPr>
        <w:t>B.</w:t>
        <w:tab/>
        <w:t>Rate 13</w:t>
      </w:r>
    </w:p>
    <w:p>
      <w:pPr>
        <w:pStyle w:val="Body"/>
        <w:spacing w:before="120" w:after="120"/>
        <w:ind w:start="717" w:end="0"/>
        <w:jc w:val="both"/>
        <w:rPr/>
      </w:pPr>
      <w:r>
        <w:rPr/>
        <w:t>Rate 13 retail natural gas transactions are not “all requirements/load following” contracts; therefore, the balancing risk is held by the customer as follows:</w:t>
      </w:r>
    </w:p>
    <w:p>
      <w:pPr>
        <w:pStyle w:val="Body"/>
        <w:spacing w:before="120" w:after="120"/>
        <w:ind w:start="717" w:end="0"/>
        <w:jc w:val="both"/>
        <w:rPr/>
      </w:pPr>
      <w:r>
        <w:rPr/>
      </w:r>
    </w:p>
    <w:p>
      <w:pPr>
        <w:pStyle w:val="Body"/>
        <w:spacing w:before="120" w:after="120"/>
        <w:ind w:start="717" w:end="0"/>
        <w:jc w:val="both"/>
        <w:rPr/>
      </w:pPr>
      <w:r>
        <w:rPr/>
        <w:t>Notional Quantity Transactions:</w:t>
      </w:r>
    </w:p>
    <w:p>
      <w:pPr>
        <w:pStyle w:val="Body"/>
        <w:spacing w:before="120" w:after="120"/>
        <w:ind w:firstLine="504" w:start="936" w:end="0"/>
        <w:jc w:val="both"/>
        <w:rPr/>
      </w:pPr>
      <w:r>
        <w:rPr>
          <w:b/>
          <w:bCs/>
        </w:rPr>
        <w:t xml:space="preserve">ECC  </w:t>
      </w:r>
      <w:r>
        <w:rPr>
          <w:rFonts w:eastAsia="Wingdings" w:cs="Wingdings" w:ascii="Wingdings" w:hAnsi="Wingdings"/>
          <w:b/>
          <w:bCs/>
        </w:rPr>
        <w:sym w:font="Wingdings" w:char="f0df"/>
      </w:r>
      <w:r>
        <w:rPr/>
        <w:t xml:space="preserve"> </w:t>
      </w:r>
      <w:r>
        <w:rPr>
          <w:sz w:val="16"/>
        </w:rPr>
        <w:t>Fixed Price (“FP”) for a Fixed Volume</w:t>
      </w:r>
      <w:r>
        <w:rPr/>
        <w:t xml:space="preserve"> </w:t>
      </w:r>
      <w:r>
        <w:rPr>
          <w:rFonts w:eastAsia="Wingdings" w:cs="Wingdings" w:ascii="Wingdings" w:hAnsi="Wingdings"/>
          <w:b/>
          <w:bCs/>
        </w:rPr>
        <w:sym w:font="Wingdings" w:char="f0e0"/>
      </w:r>
      <w:r>
        <w:rPr>
          <w:b/>
          <w:bCs/>
        </w:rPr>
        <w:t xml:space="preserve"> EDC </w:t>
      </w:r>
      <w:r>
        <w:rPr>
          <w:rFonts w:eastAsia="Wingdings" w:cs="Wingdings" w:ascii="Wingdings" w:hAnsi="Wingdings"/>
          <w:b/>
          <w:bCs/>
        </w:rPr>
        <w:sym w:font="Wingdings" w:char="f0df"/>
      </w:r>
      <w:r>
        <w:rPr/>
        <w:t xml:space="preserve"> (</w:t>
      </w:r>
      <w:r>
        <w:rPr>
          <w:sz w:val="16"/>
        </w:rPr>
        <w:t>FP +  Retail Margin) for a Fixed Volume</w:t>
      </w:r>
      <w:r>
        <w:rPr/>
        <w:t xml:space="preserve"> </w:t>
      </w:r>
      <w:r>
        <w:rPr>
          <w:rFonts w:eastAsia="Wingdings" w:cs="Wingdings" w:ascii="Wingdings" w:hAnsi="Wingdings"/>
          <w:b/>
          <w:bCs/>
        </w:rPr>
        <w:sym w:font="Wingdings" w:char="f0e0"/>
      </w:r>
      <w:r>
        <w:rPr>
          <w:b/>
          <w:bCs/>
        </w:rPr>
        <w:t xml:space="preserve">  Customer</w:t>
      </w:r>
    </w:p>
    <w:p>
      <w:pPr>
        <w:pStyle w:val="Body"/>
        <w:spacing w:before="120" w:after="120"/>
        <w:ind w:firstLine="504" w:start="216" w:end="0"/>
        <w:jc w:val="both"/>
        <w:rPr/>
      </w:pPr>
      <w:r>
        <w:rPr/>
      </w:r>
    </w:p>
    <w:p>
      <w:pPr>
        <w:pStyle w:val="Body"/>
        <w:spacing w:before="120" w:after="120"/>
        <w:ind w:firstLine="504" w:start="216" w:end="0"/>
        <w:jc w:val="both"/>
        <w:rPr/>
      </w:pPr>
      <w:r>
        <w:rPr/>
        <w:t>Balancing Quantities Transactions:</w:t>
      </w:r>
    </w:p>
    <w:p>
      <w:pPr>
        <w:pStyle w:val="Body"/>
        <w:spacing w:before="120" w:after="120"/>
        <w:ind w:firstLine="504" w:start="933" w:end="0"/>
        <w:jc w:val="both"/>
        <w:rPr/>
      </w:pPr>
      <w:r>
        <w:rPr>
          <w:b/>
          <w:bCs/>
        </w:rPr>
        <w:t xml:space="preserve">ECC  </w:t>
      </w:r>
      <w:r>
        <w:rPr>
          <w:rFonts w:eastAsia="Wingdings" w:cs="Wingdings" w:ascii="Wingdings" w:hAnsi="Wingdings"/>
          <w:b/>
          <w:bCs/>
        </w:rPr>
        <w:sym w:font="Wingdings" w:char="f0df"/>
      </w:r>
      <w:r>
        <w:rPr/>
        <w:t xml:space="preserve"> </w:t>
      </w:r>
      <w:r>
        <w:rPr>
          <w:sz w:val="16"/>
        </w:rPr>
        <w:t>Daily Index Price for daily balanced volume</w:t>
      </w:r>
      <w:r>
        <w:rPr/>
        <w:t xml:space="preserve"> </w:t>
      </w:r>
      <w:r>
        <w:rPr>
          <w:rFonts w:eastAsia="Wingdings" w:cs="Wingdings" w:ascii="Wingdings" w:hAnsi="Wingdings"/>
          <w:b/>
          <w:bCs/>
        </w:rPr>
        <w:sym w:font="Wingdings" w:char="f0e0"/>
      </w:r>
      <w:r>
        <w:rPr>
          <w:b/>
          <w:bCs/>
        </w:rPr>
        <w:t xml:space="preserve"> EDC </w:t>
      </w:r>
      <w:r>
        <w:rPr>
          <w:rFonts w:eastAsia="Wingdings" w:cs="Wingdings" w:ascii="Wingdings" w:hAnsi="Wingdings"/>
          <w:b/>
          <w:bCs/>
        </w:rPr>
        <w:sym w:font="Wingdings" w:char="f0df"/>
      </w:r>
      <w:r>
        <w:rPr/>
        <w:t xml:space="preserve"> </w:t>
      </w:r>
      <w:r>
        <w:rPr>
          <w:sz w:val="16"/>
        </w:rPr>
        <w:t>Daily Index Price for daily balanced volume</w:t>
      </w:r>
      <w:r>
        <w:rPr/>
        <w:t xml:space="preserve"> </w:t>
      </w:r>
      <w:r>
        <w:rPr>
          <w:rFonts w:eastAsia="Wingdings" w:cs="Wingdings" w:ascii="Wingdings" w:hAnsi="Wingdings"/>
          <w:b/>
          <w:bCs/>
        </w:rPr>
        <w:sym w:font="Wingdings" w:char="f0e0"/>
      </w:r>
      <w:r>
        <w:rPr>
          <w:b/>
          <w:bCs/>
        </w:rPr>
        <w:t xml:space="preserve">  Customer</w:t>
      </w:r>
    </w:p>
    <w:p>
      <w:pPr>
        <w:pStyle w:val="Body"/>
        <w:spacing w:before="120" w:after="120"/>
        <w:ind w:hanging="645" w:start="1437" w:end="0"/>
        <w:jc w:val="both"/>
        <w:rPr/>
      </w:pPr>
      <w:r>
        <w:rPr/>
      </w:r>
    </w:p>
    <w:p>
      <w:pPr>
        <w:pStyle w:val="Body"/>
        <w:spacing w:before="120" w:after="120"/>
        <w:ind w:hanging="645" w:start="1437" w:end="0"/>
        <w:jc w:val="both"/>
        <w:rPr/>
      </w:pPr>
      <w:r>
        <w:rPr/>
        <w:t>1.</w:t>
        <w:tab/>
        <w:t>Customer contracts for a fixed volume of gas (a notional quantity) at a fixed price and EDC buys or sell the excess or underused gas for the customer at the AECO “C” Daily Index on the day of balancing.</w:t>
      </w:r>
    </w:p>
    <w:p>
      <w:pPr>
        <w:pStyle w:val="Body"/>
        <w:numPr>
          <w:ilvl w:val="0"/>
          <w:numId w:val="2"/>
        </w:numPr>
        <w:spacing w:before="120" w:after="120"/>
        <w:jc w:val="both"/>
        <w:rPr/>
      </w:pPr>
      <w:r>
        <w:rPr/>
        <w:t xml:space="preserve">EDC purchases the fixed volume of gas from ECC at a fixed price.  </w:t>
      </w:r>
    </w:p>
    <w:p>
      <w:pPr>
        <w:pStyle w:val="Body"/>
        <w:numPr>
          <w:ilvl w:val="0"/>
          <w:numId w:val="2"/>
        </w:numPr>
        <w:spacing w:before="120" w:after="120"/>
        <w:jc w:val="both"/>
        <w:rPr/>
      </w:pPr>
      <w:r>
        <w:rPr/>
        <w:t>EDC purchases/sells the balancing gas from ECC at the AECO “C” Daily Index.</w:t>
      </w:r>
    </w:p>
    <w:p>
      <w:pPr>
        <w:pStyle w:val="Body"/>
        <w:numPr>
          <w:ilvl w:val="0"/>
          <w:numId w:val="2"/>
        </w:numPr>
        <w:spacing w:before="120" w:after="120"/>
        <w:jc w:val="both"/>
        <w:rPr/>
      </w:pPr>
      <w:r>
        <w:rPr>
          <w:b/>
          <w:bCs/>
        </w:rPr>
        <w:t>Negative Price Risk Issue</w:t>
      </w:r>
      <w:r>
        <w:rPr/>
        <w:t>: we need to further assess whether or not the Rate 13 contract should include provisions which would address negative price risk.</w:t>
      </w:r>
    </w:p>
    <w:p>
      <w:pPr>
        <w:pStyle w:val="Body"/>
        <w:numPr>
          <w:ilvl w:val="0"/>
          <w:numId w:val="2"/>
        </w:numPr>
        <w:spacing w:before="120" w:after="120"/>
        <w:jc w:val="both"/>
        <w:rPr/>
      </w:pPr>
      <w:r>
        <w:rPr>
          <w:b/>
          <w:bCs/>
        </w:rPr>
        <w:t>Changing Rate Class Issue</w:t>
      </w:r>
      <w:r>
        <w:rPr/>
        <w:t>:  In the event that a site is re-classified as a Rate 11 site, we will have a supply agreement which contemplates passing the balancing risk to the customer but we will not necessarily have the information to properly do so (as well as some potential issues as regarding the mechanics of the re-classification.  For example, the Rate 11 agreement does not include an indemnity clause which is required if the Customer will be required to enter a Rate 13 transportation contract with ATCO).</w:t>
      </w:r>
    </w:p>
    <w:p>
      <w:pPr>
        <w:pStyle w:val="Body"/>
        <w:spacing w:before="120" w:after="120"/>
        <w:jc w:val="both"/>
        <w:rPr/>
      </w:pPr>
      <w:r>
        <w:rPr/>
      </w:r>
    </w:p>
    <w:p>
      <w:pPr>
        <w:pStyle w:val="Body"/>
        <w:spacing w:before="120" w:after="120"/>
        <w:jc w:val="both"/>
        <w:rPr/>
      </w:pPr>
      <w:r>
        <w:rPr/>
        <w:br/>
      </w:r>
      <w:r>
        <w:rPr>
          <w:b/>
          <w:bCs/>
        </w:rPr>
        <w:t>C.</w:t>
        <w:tab/>
        <w:t>Power</w:t>
      </w:r>
    </w:p>
    <w:p>
      <w:pPr>
        <w:pStyle w:val="Body"/>
        <w:spacing w:before="120" w:after="120"/>
        <w:ind w:start="720" w:end="0"/>
        <w:jc w:val="both"/>
        <w:rPr/>
      </w:pPr>
      <w:r>
        <w:rPr/>
        <w:t>Power transactions gas transactions are not “all requirements/load following” contracts; therefore, the balancing risk is held by the customer as follows:</w:t>
      </w:r>
    </w:p>
    <w:p>
      <w:pPr>
        <w:pStyle w:val="Body"/>
        <w:spacing w:before="120" w:after="120"/>
        <w:ind w:start="0" w:end="0"/>
        <w:jc w:val="both"/>
        <w:rPr/>
      </w:pPr>
      <w:r>
        <w:rPr/>
        <w:tab/>
        <w:tab/>
        <w:t>Physical Transactions:</w:t>
      </w:r>
    </w:p>
    <w:p>
      <w:pPr>
        <w:pStyle w:val="Body"/>
        <w:spacing w:before="120" w:after="120"/>
        <w:ind w:start="1440" w:end="0"/>
        <w:jc w:val="both"/>
        <w:rPr/>
      </w:pPr>
      <w:r>
        <w:rPr>
          <w:b/>
          <w:bCs/>
          <w:sz w:val="18"/>
        </w:rPr>
        <w:t xml:space="preserve">Power Pool of Alberta  </w:t>
      </w:r>
      <w:r>
        <w:rPr>
          <w:rFonts w:eastAsia="Wingdings" w:cs="Wingdings" w:ascii="Wingdings" w:hAnsi="Wingdings"/>
          <w:b/>
          <w:bCs/>
          <w:sz w:val="18"/>
        </w:rPr>
        <w:sym w:font="Wingdings" w:char="f0df"/>
      </w:r>
      <w:r>
        <w:rPr>
          <w:sz w:val="18"/>
        </w:rPr>
        <w:t xml:space="preserve"> </w:t>
      </w:r>
      <w:r>
        <w:rPr>
          <w:sz w:val="14"/>
        </w:rPr>
        <w:t xml:space="preserve">Pool Price for total volume </w:t>
      </w:r>
      <w:r>
        <w:rPr>
          <w:rFonts w:eastAsia="Wingdings" w:cs="Wingdings" w:ascii="Wingdings" w:hAnsi="Wingdings"/>
          <w:b/>
          <w:bCs/>
          <w:sz w:val="18"/>
        </w:rPr>
        <w:sym w:font="Wingdings" w:char="f0e0"/>
      </w:r>
      <w:r>
        <w:rPr>
          <w:b/>
          <w:bCs/>
          <w:sz w:val="18"/>
        </w:rPr>
        <w:t xml:space="preserve"> EDC </w:t>
      </w:r>
      <w:r>
        <w:rPr>
          <w:rFonts w:eastAsia="Wingdings" w:cs="Wingdings" w:ascii="Wingdings" w:hAnsi="Wingdings"/>
          <w:b/>
          <w:bCs/>
          <w:sz w:val="18"/>
        </w:rPr>
        <w:sym w:font="Wingdings" w:char="f0df"/>
      </w:r>
      <w:r>
        <w:rPr>
          <w:sz w:val="18"/>
        </w:rPr>
        <w:t xml:space="preserve"> </w:t>
      </w:r>
      <w:r>
        <w:rPr>
          <w:sz w:val="14"/>
        </w:rPr>
        <w:t>fixed price + retail margin for a fixed volume and modified Pool Price for excess or underused volume</w:t>
      </w:r>
      <w:r>
        <w:rPr>
          <w:sz w:val="18"/>
        </w:rPr>
        <w:t xml:space="preserve"> </w:t>
      </w:r>
      <w:r>
        <w:rPr>
          <w:rFonts w:eastAsia="Wingdings" w:cs="Wingdings" w:ascii="Wingdings" w:hAnsi="Wingdings"/>
          <w:b/>
          <w:bCs/>
          <w:sz w:val="18"/>
        </w:rPr>
        <w:sym w:font="Wingdings" w:char="f0e0"/>
      </w:r>
      <w:r>
        <w:rPr>
          <w:b/>
          <w:bCs/>
          <w:sz w:val="18"/>
        </w:rPr>
        <w:t xml:space="preserve">  Customer</w:t>
      </w:r>
    </w:p>
    <w:p>
      <w:pPr>
        <w:pStyle w:val="Body"/>
        <w:spacing w:before="120" w:after="120"/>
        <w:ind w:firstLine="648" w:start="789" w:end="0"/>
        <w:jc w:val="both"/>
        <w:rPr/>
      </w:pPr>
      <w:r>
        <w:rPr/>
        <w:t>Financial Transactions:</w:t>
      </w:r>
    </w:p>
    <w:p>
      <w:pPr>
        <w:pStyle w:val="Body"/>
        <w:spacing w:before="120" w:after="120"/>
        <w:ind w:firstLine="648" w:start="789" w:end="0"/>
        <w:jc w:val="both"/>
        <w:rPr/>
      </w:pPr>
      <w:r>
        <w:rPr>
          <w:b/>
          <w:bCs/>
          <w:sz w:val="18"/>
        </w:rPr>
        <w:t xml:space="preserve">ECC  </w:t>
      </w:r>
      <w:r>
        <w:rPr>
          <w:rFonts w:eastAsia="Wingdings" w:cs="Wingdings" w:ascii="Wingdings" w:hAnsi="Wingdings"/>
          <w:b/>
          <w:bCs/>
          <w:sz w:val="18"/>
        </w:rPr>
        <w:sym w:font="Wingdings" w:char="f0df"/>
      </w:r>
      <w:r>
        <w:rPr>
          <w:sz w:val="18"/>
        </w:rPr>
        <w:t xml:space="preserve"> </w:t>
      </w:r>
      <w:r>
        <w:rPr>
          <w:sz w:val="14"/>
        </w:rPr>
        <w:t xml:space="preserve">fixed price swapped for Pool Price for the fixed volume </w:t>
      </w:r>
      <w:r>
        <w:rPr>
          <w:rFonts w:eastAsia="Wingdings" w:cs="Wingdings" w:ascii="Wingdings" w:hAnsi="Wingdings"/>
          <w:b/>
          <w:bCs/>
          <w:sz w:val="18"/>
        </w:rPr>
        <w:sym w:font="Wingdings" w:char="f0e0"/>
      </w:r>
      <w:r>
        <w:rPr>
          <w:b/>
          <w:bCs/>
          <w:sz w:val="18"/>
        </w:rPr>
        <w:t xml:space="preserve"> EDC </w:t>
      </w:r>
    </w:p>
    <w:p>
      <w:pPr>
        <w:pStyle w:val="Body"/>
        <w:spacing w:before="120" w:after="120"/>
        <w:jc w:val="both"/>
        <w:rPr/>
      </w:pPr>
      <w:r>
        <w:rPr/>
      </w:r>
    </w:p>
    <w:p>
      <w:pPr>
        <w:pStyle w:val="Body"/>
        <w:spacing w:before="120" w:after="120"/>
        <w:ind w:hanging="645" w:start="1437" w:end="0"/>
        <w:jc w:val="both"/>
        <w:rPr/>
      </w:pPr>
      <w:r>
        <w:rPr/>
        <w:t>1.</w:t>
        <w:tab/>
        <w:t>Customer contracts for a fixed volume of electricity (a notional quantity) at a fixed price and EDC buys or sell the excess or underused electricity for the customer at the Pool Price.  The standard form of contract states that EDC only credits the customer at 98% of the Pool Price for underused electricity sold but charges the customer 102% of the Pool Price for overused electricity bought on behalf of the customer.</w:t>
      </w:r>
    </w:p>
    <w:p>
      <w:pPr>
        <w:pStyle w:val="Body"/>
        <w:numPr>
          <w:ilvl w:val="0"/>
          <w:numId w:val="4"/>
        </w:numPr>
        <w:spacing w:before="120" w:after="120"/>
        <w:jc w:val="both"/>
        <w:rPr/>
      </w:pPr>
      <w:r>
        <w:rPr/>
        <w:t>EDC purchases all electricity required by the customer from the Power Pool of Alberta.</w:t>
      </w:r>
    </w:p>
    <w:p>
      <w:pPr>
        <w:pStyle w:val="Body"/>
        <w:numPr>
          <w:ilvl w:val="0"/>
          <w:numId w:val="4"/>
        </w:numPr>
        <w:spacing w:before="120" w:after="120"/>
        <w:jc w:val="both"/>
        <w:rPr/>
      </w:pPr>
      <w:r>
        <w:rPr/>
        <w:t>EDC enters into a financial contract with ECC to swap the Pool Price with a fixed price.</w:t>
      </w:r>
    </w:p>
    <w:p>
      <w:pPr>
        <w:pStyle w:val="Body"/>
        <w:numPr>
          <w:ilvl w:val="0"/>
          <w:numId w:val="4"/>
        </w:numPr>
        <w:spacing w:before="120" w:after="120"/>
        <w:jc w:val="both"/>
        <w:rPr/>
      </w:pPr>
      <w:r>
        <w:rPr>
          <w:b/>
          <w:bCs/>
        </w:rPr>
        <w:t>Cumulative Meter Issue</w:t>
      </w:r>
      <w:r>
        <w:rPr/>
        <w:t>:  When dealing with customers with cumulative meters (as opposed to interval meters), obviously EDC only receives cumulative consumption data over the billing period.  It does not know the consumption of the customer during any specific hour during the billing period.  Instead, the Power Pool of Alberta uses load shapes to allocate hourly consumption (to multiply by the applicable Pool Price for each hour).   If the load shape of a cumulative meter customer changes during the term of the agreement, ECC will be exposed under the financial transaction.</w:t>
      </w:r>
    </w:p>
    <w:p>
      <w:pPr>
        <w:pStyle w:val="Body"/>
        <w:spacing w:before="120" w:after="120"/>
        <w:ind w:start="1440" w:end="0"/>
        <w:jc w:val="both"/>
        <w:rPr/>
      </w:pPr>
      <w:r>
        <w:rPr/>
        <w:t>Apparently there are several applications outstanding (and more anticipated) whereby certain groups (i.e. operators of pumpjacks who have a constant load) are attempting to be re-classified to follow their own distinct load shape (in order to avoid cross subsidization).  As the cumulative meter customers with constant loads are pulled out of the current categories, the existing load shapes are going to become steeper.</w:t>
      </w:r>
    </w:p>
    <w:p>
      <w:pPr>
        <w:pStyle w:val="Body"/>
        <w:spacing w:before="120" w:after="120"/>
        <w:ind w:start="0" w:end="0"/>
        <w:jc w:val="both"/>
        <w:rPr/>
      </w:pPr>
      <w:r>
        <w:rPr/>
        <w:tab/>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/mnt/main-storage/datasets/enron-docs/doc/18_Transaction_Summary.doc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/mnt/main-storage/datasets/enron-docs/doc/18_Transaction_Summary.doc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437"/>
        </w:tabs>
        <w:ind w:start="1437" w:hanging="645"/>
      </w:pPr>
      <w:rPr/>
    </w:lvl>
  </w:abstractNum>
  <w:abstractNum w:abstractNumId="3">
    <w:lvl w:ilvl="0">
      <w:start w:val="1"/>
      <w:numFmt w:val="upperLetter"/>
      <w:lvlText w:val="%1."/>
      <w:lvlJc w:val="start"/>
      <w:pPr>
        <w:tabs>
          <w:tab w:val="num" w:pos="432"/>
        </w:tabs>
        <w:ind w:start="432" w:hanging="360"/>
      </w:pPr>
      <w:rPr/>
    </w:lvl>
  </w:abstractNum>
  <w:abstractNum w:abstractNumId="4">
    <w:lvl w:ilvl="0">
      <w:start w:val="2"/>
      <w:numFmt w:val="decimal"/>
      <w:lvlText w:val="%1."/>
      <w:lvlJc w:val="start"/>
      <w:pPr>
        <w:tabs>
          <w:tab w:val="num" w:pos="1437"/>
        </w:tabs>
        <w:ind w:start="1437" w:hanging="645"/>
      </w:pPr>
      <w:rPr/>
    </w:lvl>
  </w:abstractNum>
  <w:abstractNum w:abstractNumId="5">
    <w:lvl w:ilvl="0">
      <w:start w:val="1"/>
      <w:numFmt w:val="lowerRoman"/>
      <w:lvlText w:val="%1."/>
      <w:lvlJc w:val="start"/>
      <w:pPr>
        <w:tabs>
          <w:tab w:val="num" w:pos="792"/>
        </w:tabs>
        <w:ind w:start="792" w:hanging="720"/>
      </w:pPr>
      <w:rPr/>
    </w:lvl>
    <w:lvl w:ilvl="1">
      <w:start w:val="1"/>
      <w:numFmt w:val="decimal"/>
      <w:lvlText w:val="%2."/>
      <w:lvlJc w:val="start"/>
      <w:pPr>
        <w:tabs>
          <w:tab w:val="num" w:pos="1512"/>
        </w:tabs>
        <w:ind w:start="1512" w:hanging="720"/>
      </w:pPr>
      <w:rPr/>
    </w:lvl>
    <w:lvl w:ilvl="2">
      <w:start w:val="1"/>
      <w:numFmt w:val="lowerRoman"/>
      <w:lvlText w:val="%3."/>
      <w:lvlJc w:val="end"/>
      <w:pPr>
        <w:tabs>
          <w:tab w:val="num" w:pos="1872"/>
        </w:tabs>
        <w:ind w:start="1872" w:hanging="180"/>
      </w:pPr>
    </w:lvl>
    <w:lvl w:ilvl="3">
      <w:start w:val="1"/>
      <w:numFmt w:val="lowerLetter"/>
      <w:lvlText w:val="(%4)"/>
      <w:lvlJc w:val="start"/>
      <w:pPr>
        <w:tabs>
          <w:tab w:val="num" w:pos="2952"/>
        </w:tabs>
        <w:ind w:start="2952" w:hanging="720"/>
      </w:pPr>
      <w:r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6z1">
    <w:name w:val="WW8Num6z1"/>
    <w:qFormat/>
    <w:rPr>
      <w:rFonts w:ascii="Times New Roman" w:hAnsi="Times New Roman" w:eastAsia="Times New Roman" w:cs="Times New Roman"/>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2001-05-22T11:45:00Z</dcterms:created>
  <dc:creator>ncappel</dc:creator>
  <dc:description/>
  <dc:language>en-CA</dc:language>
  <cp:lastModifiedBy>mark powell</cp:lastModifiedBy>
  <cp:lastPrinted>2001-05-22T08:09:00Z</cp:lastPrinted>
  <dcterms:modified xsi:type="dcterms:W3CDTF">2001-05-22T11:45:00Z</dcterms:modified>
  <cp:revision>2</cp:revision>
  <dc:subject/>
  <dc:title>Eron Capital &amp; Trade Resources Memo</dc:title>
</cp:coreProperties>
</file>