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7.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DRAFT OF 10/26/2001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SOLVAY PAPERBOARD, a corporation organized under the law of the State of ________ (“Party B”)</w:t>
            </w:r>
          </w:p>
          <w:p>
            <w:pPr>
              <w:pStyle w:val="Normal"/>
              <w:tabs>
                <w:tab w:val="clear" w:pos="720"/>
                <w:tab w:val="center" w:pos="5760" w:leader="none"/>
              </w:tabs>
              <w:spacing w:before="240" w:after="0"/>
              <w:jc w:val="center"/>
              <w:rPr>
                <w:b/>
                <w:bCs/>
                <w:sz w:val="22"/>
                <w:szCs w:val="22"/>
              </w:rPr>
            </w:pPr>
            <w:r>
              <w:rPr>
                <w:b/>
                <w:bCs/>
                <w:sz w:val="22"/>
                <w:szCs w:val="22"/>
              </w:rPr>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$100,000,000 (or its equivalent in another currency); and with respect to Party B, U.S. $15,000,000 (or its equivalent in another currency).</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as to Party A, if after such action or event such resulting, surviving, or transferee entity (which entity is the successor-in-interest to Party A) is directly or indirectly owned or controlled by Enron Corp. and the Credit Support Documents supporting Party A’s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(h)</w:t>
      </w:r>
      <w:r>
        <w:rPr>
          <w:b/>
          <w:bCs/>
          <w:sz w:val="22"/>
          <w:szCs w:val="22"/>
        </w:rPr>
        <w:tab/>
        <w:t>“Contractual Currency”</w:t>
      </w:r>
      <w:r>
        <w:rPr>
          <w:sz w:val="22"/>
          <w:szCs w:val="22"/>
        </w:rPr>
        <w:t xml:space="preserve"> unless otherwise specified in a Confirmation, shall mean United States Dollars.</w:t>
      </w:r>
    </w:p>
    <w:p>
      <w:pPr>
        <w:pStyle w:val="Normal"/>
        <w:tabs>
          <w:tab w:val="clear" w:pos="720"/>
          <w:tab w:val="left" w:pos="1080" w:leader="none"/>
        </w:tabs>
        <w:spacing w:lineRule="exact" w:line="480"/>
        <w:jc w:val="both"/>
        <w:rPr>
          <w:b/>
          <w:bCs/>
          <w:sz w:val="22"/>
          <w:szCs w:val="22"/>
        </w:rPr>
      </w:pPr>
      <w:r>
        <w:rPr>
          <w:b/>
          <w:bCs/>
          <w:sz w:val="22"/>
          <w:szCs w:val="22"/>
        </w:rPr>
        <w:t>Part 2.</w:t>
        <w:tab/>
        <w:t>Tax Representations.</w:t>
      </w:r>
    </w:p>
    <w:p>
      <w:pPr>
        <w:pStyle w:val="Normal"/>
        <w:spacing w:lineRule="exact" w:line="240" w:before="240" w:after="0"/>
        <w:ind w:firstLine="720" w:end="0"/>
        <w:jc w:val="both"/>
        <w:rPr/>
      </w:pPr>
      <w:r>
        <w:rPr>
          <w:sz w:val="22"/>
          <w:szCs w:val="22"/>
        </w:rPr>
        <w:t>(a)</w:t>
      </w:r>
      <w:r>
        <w:rPr>
          <w:b/>
          <w:bCs/>
          <w:sz w:val="22"/>
          <w:szCs w:val="22"/>
        </w:rPr>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firstLine="720" w:end="0"/>
        <w:jc w:val="both"/>
        <w:rPr/>
      </w:pPr>
      <w:r>
        <w:rPr>
          <w:sz w:val="22"/>
          <w:szCs w:val="22"/>
        </w:rPr>
        <w:t>(b)</w:t>
      </w:r>
      <w:r>
        <w:rPr>
          <w:b/>
          <w:bCs/>
          <w:sz w:val="22"/>
          <w:szCs w:val="22"/>
        </w:rPr>
        <w:tab/>
        <w:t>Payee Representations.</w:t>
      </w:r>
      <w:r>
        <w:rPr>
          <w:sz w:val="22"/>
          <w:szCs w:val="22"/>
        </w:rPr>
        <w:t xml:space="preserve">  For the purpose of Section 3(f), Party A and Party B make the following representations:</w:t>
      </w:r>
    </w:p>
    <w:p>
      <w:pPr>
        <w:pStyle w:val="Normal"/>
        <w:spacing w:lineRule="exact" w:line="240" w:before="240" w:after="0"/>
        <w:ind w:hanging="180" w:start="900" w:end="0"/>
        <w:jc w:val="both"/>
        <w:rPr>
          <w:sz w:val="22"/>
          <w:szCs w:val="22"/>
        </w:rPr>
      </w:pPr>
      <w:r>
        <w:rPr>
          <w:sz w:val="22"/>
          <w:szCs w:val="22"/>
        </w:rPr>
        <w:t>(i)</w:t>
        <w:tab/>
        <w:t>The following representation applies to Party A:</w:t>
      </w:r>
    </w:p>
    <w:p>
      <w:pPr>
        <w:pStyle w:val="Normal"/>
        <w:spacing w:lineRule="exact" w:line="240" w:before="240" w:after="0"/>
        <w:ind w:firstLine="540"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180" w:start="900" w:end="0"/>
        <w:jc w:val="both"/>
        <w:rPr>
          <w:sz w:val="22"/>
          <w:szCs w:val="22"/>
        </w:rPr>
      </w:pPr>
      <w:r>
        <w:rPr>
          <w:sz w:val="22"/>
          <w:szCs w:val="22"/>
        </w:rPr>
        <w:t>(ii)</w:t>
        <w:tab/>
        <w:t>The following representation applies to Party B:</w:t>
      </w:r>
    </w:p>
    <w:p>
      <w:pPr>
        <w:pStyle w:val="Normal"/>
        <w:spacing w:lineRule="exact" w:line="240" w:before="240" w:after="0"/>
        <w:ind w:firstLine="540" w:start="900" w:end="0"/>
        <w:jc w:val="both"/>
        <w:rPr/>
      </w:pPr>
      <w:r>
        <w:rPr>
          <w:sz w:val="22"/>
          <w:szCs w:val="22"/>
        </w:rPr>
        <w:t xml:space="preserve">Party B is a corporation organized under the laws of the State of </w:t>
      </w:r>
      <w:r>
        <w:rPr>
          <w:sz w:val="22"/>
          <w:szCs w:val="22"/>
          <w:u w:val="single"/>
        </w:rPr>
        <w:tab/>
        <w:tab/>
        <w:tab/>
      </w:r>
      <w:r>
        <w:rPr>
          <w:sz w:val="22"/>
          <w:szCs w:val="22"/>
        </w:rPr>
        <w:t>.</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b/>
          <w:bCs/>
          <w:sz w:val="22"/>
          <w:szCs w:val="22"/>
        </w:rPr>
      </w:pPr>
      <w:r>
        <w:rPr>
          <w:b/>
          <w:bCs/>
          <w:sz w:val="22"/>
          <w:szCs w:val="22"/>
        </w:rPr>
        <w:t>Part 3.</w:t>
        <w:tab/>
        <w:t>Agreement to Deliver Documents.</w:t>
      </w:r>
    </w:p>
    <w:p>
      <w:pPr>
        <w:pStyle w:val="Normal"/>
        <w:spacing w:lineRule="exact" w:line="240" w:before="240" w:after="0"/>
        <w:ind w:firstLine="720" w:end="0"/>
        <w:jc w:val="both"/>
        <w:rPr>
          <w:sz w:val="22"/>
          <w:szCs w:val="22"/>
        </w:rPr>
      </w:pPr>
      <w:r>
        <w:rPr>
          <w:sz w:val="22"/>
          <w:szCs w:val="22"/>
        </w:rPr>
        <w:t>For the purpose of Section 4(a), each party agrees to deliver the following documents, as applicable:</w:t>
      </w:r>
      <w:r>
        <w:br w:type="page"/>
      </w:r>
    </w:p>
    <w:p>
      <w:pPr>
        <w:pStyle w:val="Normal"/>
        <w:spacing w:lineRule="exact" w:line="240" w:before="240" w:after="0"/>
        <w:ind w:firstLine="720" w:end="0"/>
        <w:jc w:val="both"/>
        <w:rPr>
          <w:sz w:val="22"/>
          <w:szCs w:val="22"/>
        </w:rPr>
      </w:pPr>
      <w:r>
        <w:rPr>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A and Party B</w:t>
            </w:r>
          </w:p>
        </w:tc>
        <w:tc>
          <w:tcPr>
            <w:tcW w:w="3886" w:type="dxa"/>
            <w:tcBorders/>
          </w:tcPr>
          <w:p>
            <w:pPr>
              <w:pStyle w:val="Normal"/>
              <w:tabs>
                <w:tab w:val="clear" w:pos="720"/>
                <w:tab w:val="left" w:pos="990" w:leader="none"/>
              </w:tabs>
              <w:spacing w:lineRule="exact" w:line="240" w:before="240" w:after="0"/>
              <w:jc w:val="both"/>
              <w:rPr>
                <w:sz w:val="22"/>
                <w:szCs w:val="22"/>
              </w:rPr>
            </w:pPr>
            <w:r>
              <w:rPr>
                <w:sz w:val="22"/>
                <w:szCs w:val="22"/>
              </w:rPr>
              <w:t>United States Internal Revenue Service Form W</w:t>
              <w:noBreakHyphen/>
              <w:t>9</w:t>
            </w:r>
          </w:p>
          <w:p>
            <w:pPr>
              <w:pStyle w:val="Justified"/>
              <w:keepNext w:val="true"/>
              <w:widowControl/>
              <w:spacing w:lineRule="atLeast" w:line="240" w:before="240" w:after="0"/>
              <w:rPr>
                <w:rFonts w:ascii="Times New Roman" w:hAnsi="Times New Roman" w:cs="Times New Roman"/>
                <w:sz w:val="22"/>
                <w:szCs w:val="22"/>
              </w:rPr>
            </w:pPr>
            <w:r>
              <w:rPr>
                <w:rFonts w:cs="Times New Roman" w:ascii="Times New Roman" w:hAnsi="Times New Roman"/>
                <w:sz w:val="22"/>
                <w:szCs w:val="22"/>
              </w:rPr>
            </w:r>
          </w:p>
        </w:tc>
        <w:tc>
          <w:tcPr>
            <w:tcW w:w="2228" w:type="dxa"/>
            <w:tcBorders/>
          </w:tcPr>
          <w:p>
            <w:pPr>
              <w:pStyle w:val="Normal"/>
              <w:keepNext w:val="true"/>
              <w:spacing w:lineRule="atLeast" w:line="240" w:before="240" w:after="0"/>
              <w:jc w:val="both"/>
              <w:rPr>
                <w:sz w:val="22"/>
                <w:szCs w:val="22"/>
              </w:rPr>
            </w:pPr>
            <w:r>
              <w:rPr>
                <w:sz w:val="22"/>
                <w:szCs w:val="22"/>
              </w:rPr>
              <w:t xml:space="preserve">At execution of this Master Agreement and as otherwise provided in this Part 3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Enron Corp.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Enron Corp. if such Financial Statement is not available on “EDGAR” or Enron Corp.’s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Enron Corp.</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Enron Corp. if such Financial Statement is not available on “EDGAR” or Enron Corp.’s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sz w:val="22"/>
                <w:szCs w:val="22"/>
              </w:rPr>
            </w:pPr>
            <w:r>
              <w:rPr>
                <w:sz w:val="22"/>
                <w:szCs w:val="22"/>
              </w:rPr>
              <w:t>Yes</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Solvay Paperboard</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53 Industrial Drive</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Syracruse, New York 13204-1035</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none,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jc w:val="both"/>
        <w:rPr>
          <w:b/>
          <w:bCs/>
          <w:sz w:val="22"/>
          <w:szCs w:val="22"/>
        </w:rPr>
      </w:pPr>
      <w:r>
        <w:rPr>
          <w:b/>
          <w:bCs/>
          <w:sz w:val="22"/>
          <w:szCs w:val="22"/>
        </w:rPr>
      </w:r>
    </w:p>
    <w:p>
      <w:pPr>
        <w:pStyle w:val="Normal"/>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under any other agreement(s), instrument(s) or undertaking(s), any amounts Owed in Dollars or any other currency by Y to X or any of X’s Affiliates (irrespective of place of payment or booking office of the obligation) under this Agreement or under any other agreement(s), instrument(s) or undertaking(s).  The obligations of Y and X under this Agreement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Section, “Owed” shall mean any amounts owed or otherwise accrued and payable (regardless of whether such amounts have been or could be invoiced) as of the Early Termination Date.</w:t>
      </w:r>
    </w:p>
    <w:p>
      <w:pPr>
        <w:pStyle w:val="Normal"/>
        <w:spacing w:lineRule="exact" w:line="240" w:before="240" w:after="0"/>
        <w:ind w:firstLine="720" w:end="0"/>
        <w:jc w:val="both"/>
        <w:rPr>
          <w:sz w:val="22"/>
          <w:szCs w:val="22"/>
        </w:rPr>
      </w:pPr>
      <w:r>
        <w:rPr>
          <w:sz w:val="22"/>
          <w:szCs w:val="22"/>
        </w:rPr>
        <w:t>Amounts subject to the setoff permitted in this Section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Each of the parties represents and acknowledges that the rights set forth in this Section are an integral part of this Agreement between the parties and that without such rights the parties would not be willing to enter into Transactions.  Each of the parties further acknowledges that it is executing this Agreement on behalf of itself as principal and, with respect to this Section, as agent on behalf of its Affiliates, which Affiliates shall receive the benefits of this Section and otherwise be bound as if such Affiliates had directly signed this Agreement as it relates to this Section.</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under any other agreement(s), instrument(s) or undertaking(s), which are Owed as of the Early Termination Date hereof have been fully and finally satisfied.</w:t>
      </w:r>
    </w:p>
    <w:p>
      <w:pPr>
        <w:pStyle w:val="Normal"/>
        <w:spacing w:lineRule="exact" w:line="240" w:before="240" w:after="0"/>
        <w:ind w:firstLine="720" w:end="0"/>
        <w:jc w:val="both"/>
        <w:rPr>
          <w:b/>
          <w:bCs/>
          <w:sz w:val="22"/>
          <w:szCs w:val="22"/>
        </w:rPr>
      </w:pPr>
      <w:r>
        <w:rPr>
          <w:b/>
          <w:bCs/>
          <w:sz w:val="22"/>
          <w:szCs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keepNext w:val="true"/>
        <w:spacing w:lineRule="exact" w:line="240"/>
        <w:ind w:firstLine="630" w:end="0"/>
        <w:jc w:val="both"/>
        <w:rPr/>
      </w:pPr>
      <w:r>
        <w:rPr>
          <w:sz w:val="22"/>
          <w:szCs w:val="22"/>
        </w:rPr>
        <w:t>(j)</w:t>
        <w:tab/>
      </w:r>
      <w:r>
        <w:rPr>
          <w:b/>
          <w:bCs/>
          <w:sz w:val="22"/>
          <w:szCs w:val="22"/>
        </w:rPr>
        <w:t>Transfer.</w:t>
      </w:r>
      <w:r>
        <w:rPr>
          <w:sz w:val="22"/>
          <w:szCs w:val="22"/>
        </w:rPr>
        <w:t xml:space="preserve">  Section 7 is hereby amended by adding the following Subsection (c):</w:t>
      </w:r>
    </w:p>
    <w:p>
      <w:pPr>
        <w:pStyle w:val="Normal"/>
        <w:keepNext w:val="true"/>
        <w:spacing w:lineRule="exact" w:line="240"/>
        <w:ind w:firstLine="630" w:end="0"/>
        <w:jc w:val="both"/>
        <w:rPr>
          <w:sz w:val="22"/>
          <w:szCs w:val="22"/>
        </w:rPr>
      </w:pPr>
      <w:r>
        <w:rPr>
          <w:sz w:val="22"/>
          <w:szCs w:val="22"/>
        </w:rPr>
      </w:r>
    </w:p>
    <w:p>
      <w:pPr>
        <w:pStyle w:val="Normal"/>
        <w:keepNext w:val="true"/>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hereunder, provided that such transfer will not give rise to a Termination Event or an Event of Default.”</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(m)</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before="240" w:after="0"/>
        <w:ind w:firstLine="720" w:end="0"/>
        <w:jc w:val="both"/>
        <w:rPr/>
      </w:pPr>
      <w:r>
        <w:rPr>
          <w:sz w:val="22"/>
          <w:szCs w:val="22"/>
        </w:rPr>
        <w:t xml:space="preserve">(n)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szCs w:val="22"/>
          <w:u w:val="single"/>
        </w:rPr>
        <w:t>provided that</w:t>
      </w:r>
      <w:r>
        <w:rPr>
          <w:sz w:val="22"/>
          <w:szCs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spacing w:lineRule="exact" w:line="240" w:before="24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szCs w:val="22"/>
              </w:rPr>
            </w:pPr>
            <w:r>
              <w:rPr>
                <w:b/>
                <w:bCs/>
                <w:sz w:val="22"/>
                <w:szCs w:val="22"/>
              </w:rPr>
              <w:t>ENRON NORTH AMERICA CORP.</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sz w:val="22"/>
                <w:szCs w:val="22"/>
              </w:rPr>
              <w:t>SOLVAY PAPERBOARD</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2001</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SOLVAY PAPERBOARD, a corporation organized under the law of the State of ________ (“Party B”)</w:t>
            </w:r>
          </w:p>
          <w:p>
            <w:pPr>
              <w:pStyle w:val="Normal"/>
              <w:tabs>
                <w:tab w:val="clear" w:pos="720"/>
                <w:tab w:val="center" w:pos="5760" w:leader="none"/>
              </w:tabs>
              <w:spacing w:before="240" w:after="0"/>
              <w:jc w:val="center"/>
              <w:rPr>
                <w:b/>
                <w:bCs/>
                <w:sz w:val="22"/>
                <w:szCs w:val="22"/>
              </w:rPr>
            </w:pPr>
            <w:r>
              <w:rPr>
                <w:b/>
                <w:bCs/>
                <w:sz w:val="22"/>
                <w:szCs w:val="22"/>
              </w:rPr>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keepNext w:val="true"/>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keepNext w:val="true"/>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ind w:start="720" w:end="0"/>
        <w:jc w:val="both"/>
        <w:rPr/>
      </w:pPr>
      <w:r>
        <w:rPr>
          <w:sz w:val="22"/>
          <w:szCs w:val="22"/>
        </w:rPr>
        <w:t xml:space="preserve">(B)  </w:t>
      </w:r>
      <w:r>
        <w:rPr>
          <w:b/>
          <w:bCs/>
          <w:sz w:val="22"/>
          <w:szCs w:val="22"/>
        </w:rPr>
        <w:t>“Threshold”</w:t>
      </w:r>
      <w:r>
        <w:rPr>
          <w:sz w:val="22"/>
          <w:szCs w:val="22"/>
        </w:rPr>
        <w:t xml:space="preserve"> means with respect to Party A, U.S. $15,000,000 and with respect to Party B, U.S. $1,000,000; provided, however, that the Threshold for a party shall be zero upon the occurrence and during the continuance of a Material Adverse Change or an Event of Default or Potential Event of Default with respect to such party.</w:t>
      </w:r>
    </w:p>
    <w:p>
      <w:pPr>
        <w:pStyle w:val="Normal"/>
        <w:keepNext w:val="true"/>
        <w:ind w:hanging="720" w:start="2160" w:end="0"/>
        <w:jc w:val="both"/>
        <w:rPr>
          <w:sz w:val="22"/>
          <w:szCs w:val="22"/>
        </w:rPr>
      </w:pPr>
      <w:r>
        <w:rPr>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$250,000 and the Return Amount will be rounded down to the nearest integral multiple of U.S. $250,000.</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r>
        <w:br w:type="page"/>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r>
              <w:rPr>
                <w:rStyle w:val="FootnoteCharacters"/>
                <w:sz w:val="22"/>
                <w:szCs w:val="22"/>
              </w:rPr>
              <w:t xml:space="preserve"> </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tabs>
          <w:tab w:val="clear" w:pos="720"/>
          <w:tab w:val="left" w:pos="1440" w:leader="none"/>
        </w:tabs>
        <w:spacing w:before="240" w:after="0"/>
        <w:ind w:start="720" w:end="0"/>
        <w:jc w:val="both"/>
        <w:rPr>
          <w:sz w:val="22"/>
          <w:szCs w:val="22"/>
        </w:rPr>
      </w:pPr>
      <w:r>
        <w:rPr>
          <w:sz w:val="22"/>
          <w:szCs w:val="22"/>
        </w:rPr>
        <w:t>(iv)  The provisions of Paragraph 5(i)(B) are hereby amended by inserting the following immediately before the word “and” in line 5 thereof:</w:t>
      </w:r>
    </w:p>
    <w:p>
      <w:pPr>
        <w:pStyle w:val="Normal"/>
        <w:spacing w:before="240" w:after="0"/>
        <w:ind w:start="720" w:end="0"/>
        <w:jc w:val="both"/>
        <w:rPr>
          <w:sz w:val="22"/>
          <w:szCs w:val="22"/>
        </w:rPr>
      </w:pPr>
      <w:r>
        <w:rPr>
          <w:sz w:val="22"/>
          <w:szCs w:val="22"/>
        </w:rPr>
        <w:t>provided that if no quotation from a Reference Market-maker is available for such Transaction  then quotations of rates or prices from one or more leading participants in the relevant market (selected in good faith) may be used for such Transaction;</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a Material Adverse Change has not occurred with respect to Party A.</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 xml:space="preserve">Party B and its Custodian will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 Material Adverse Change has not occurred with respect to Party B.</w:t>
      </w:r>
    </w:p>
    <w:p>
      <w:pPr>
        <w:pStyle w:val="Normal"/>
        <w:ind w:start="1080" w:end="0"/>
        <w:jc w:val="both"/>
        <w:rPr>
          <w:sz w:val="22"/>
          <w:szCs w:val="22"/>
        </w:rPr>
      </w:pPr>
      <w:r>
        <w:rPr>
          <w:sz w:val="22"/>
          <w:szCs w:val="22"/>
        </w:rPr>
        <w:t xml:space="preserve"> </w:t>
      </w:r>
    </w:p>
    <w:p>
      <w:pPr>
        <w:pStyle w:val="Normal"/>
        <w:ind w:start="1080" w:end="0"/>
        <w:jc w:val="both"/>
        <w:rPr>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sz w:val="22"/>
          <w:szCs w:val="22"/>
        </w:rPr>
      </w:pPr>
      <w:r>
        <w:rPr>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1080" w:end="0"/>
        <w:jc w:val="both"/>
        <w:rPr>
          <w:sz w:val="22"/>
          <w:szCs w:val="22"/>
        </w:rPr>
      </w:pPr>
      <w:r>
        <w:rPr>
          <w:sz w:val="22"/>
          <w:szCs w:val="22"/>
        </w:rPr>
        <w:t xml:space="preserve"> </w:t>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Other Eligible Support and Other Posted Support.</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t>
      </w:r>
    </w:p>
    <w:p>
      <w:pPr>
        <w:pStyle w:val="Normal"/>
        <w:spacing w:lineRule="exact" w:line="240" w:before="240" w:after="0"/>
        <w:ind w:start="720" w:end="0"/>
        <w:jc w:val="both"/>
        <w:rPr>
          <w:i/>
          <w:i/>
          <w:iCs/>
          <w:sz w:val="22"/>
          <w:szCs w:val="22"/>
        </w:rPr>
      </w:pPr>
      <w:r>
        <w:rPr>
          <w:b/>
          <w:bCs/>
          <w:sz w:val="22"/>
          <w:szCs w:val="22"/>
        </w:rPr>
        <w:t>“</w:t>
      </w:r>
      <w:r>
        <w:rPr>
          <w:b/>
          <w:bCs/>
          <w:sz w:val="22"/>
          <w:szCs w:val="22"/>
        </w:rPr>
        <w:t>Depreciation, Depletion and Amortization Expense”</w:t>
      </w:r>
      <w:r>
        <w:rPr>
          <w:sz w:val="22"/>
          <w:szCs w:val="22"/>
        </w:rPr>
        <w:t xml:space="preserve"> means, with respect to Party B for any period, the total amount of consolidated depreciation, depletion and amortization expense (exclusive of the amortization of the principal amount of any indebtedness) and other similar non-cash operating charges for such person for such period.</w:t>
      </w:r>
    </w:p>
    <w:p>
      <w:pPr>
        <w:pStyle w:val="BodyText"/>
        <w:ind w:start="720" w:end="0"/>
        <w:rPr>
          <w:b/>
          <w:bCs/>
          <w:i/>
          <w:i/>
          <w:iCs/>
          <w:sz w:val="22"/>
          <w:szCs w:val="22"/>
        </w:rPr>
      </w:pPr>
      <w:r>
        <w:rPr>
          <w:b/>
          <w:bCs/>
          <w:i/>
          <w:iCs/>
          <w:sz w:val="22"/>
          <w:szCs w:val="22"/>
        </w:rPr>
      </w:r>
    </w:p>
    <w:p>
      <w:pPr>
        <w:pStyle w:val="BodyText"/>
        <w:ind w:start="720" w:end="0"/>
        <w:jc w:val="both"/>
        <w:rPr/>
      </w:pPr>
      <w:r>
        <w:rPr>
          <w:b/>
          <w:bCs/>
        </w:rPr>
        <w:t>“</w:t>
      </w:r>
      <w:r>
        <w:rPr>
          <w:b/>
          <w:bCs/>
        </w:rPr>
        <w:t>EBITDA”</w:t>
      </w:r>
      <w:r>
        <w:rPr/>
        <w:t xml:space="preserve"> means, with respect to Party B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u w:val="single"/>
        </w:rPr>
        <w:t>minus</w:t>
      </w:r>
      <w:r>
        <w:rPr/>
        <w:t>, without duplication, all consolidated extraordinary gains for such person during such period.</w:t>
      </w:r>
    </w:p>
    <w:p>
      <w:pPr>
        <w:pStyle w:val="Normal"/>
        <w:ind w:start="720" w:end="0"/>
        <w:jc w:val="both"/>
        <w:rPr>
          <w:b/>
          <w:bCs/>
          <w:sz w:val="22"/>
          <w:szCs w:val="22"/>
        </w:rPr>
      </w:pPr>
      <w:r>
        <w:rPr>
          <w:b/>
          <w:bCs/>
          <w:sz w:val="22"/>
          <w:szCs w:val="22"/>
        </w:rPr>
      </w:r>
    </w:p>
    <w:p>
      <w:pPr>
        <w:pStyle w:val="Normal"/>
        <w:ind w:start="720" w:end="0"/>
        <w:jc w:val="both"/>
        <w:rPr/>
      </w:pPr>
      <w:r>
        <w:rPr>
          <w:b/>
          <w:bCs/>
          <w:sz w:val="22"/>
          <w:szCs w:val="22"/>
        </w:rPr>
        <w:t>“</w:t>
      </w:r>
      <w:r>
        <w:rPr>
          <w:b/>
          <w:bCs/>
          <w:sz w:val="22"/>
          <w:szCs w:val="22"/>
        </w:rPr>
        <w:t>EBITDA Coverage Ratio”</w:t>
      </w:r>
      <w:r>
        <w:rPr>
          <w:sz w:val="22"/>
          <w:szCs w:val="22"/>
        </w:rPr>
        <w:t xml:space="preserve"> means, with respect to any period, the ratio of (i) EBITDA for such period to (ii) the aggregate amount of Interest Expense for such period.</w:t>
      </w:r>
      <w:r>
        <w:rPr>
          <w:b/>
          <w:bCs/>
          <w:sz w:val="22"/>
          <w:szCs w:val="22"/>
        </w:rPr>
        <w:t xml:space="preserve"> </w:t>
      </w:r>
    </w:p>
    <w:p>
      <w:pPr>
        <w:pStyle w:val="Normal"/>
        <w:ind w:start="720" w:end="0"/>
        <w:jc w:val="both"/>
        <w:rPr>
          <w:b/>
          <w:bCs/>
          <w:sz w:val="22"/>
          <w:szCs w:val="22"/>
        </w:rPr>
      </w:pPr>
      <w:r>
        <w:rPr>
          <w:b/>
          <w:bCs/>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spacing w:lineRule="atLeast" w:line="240"/>
        <w:ind w:start="720" w:end="0"/>
        <w:jc w:val="both"/>
        <w:rPr>
          <w:b/>
          <w:bCs/>
          <w:sz w:val="22"/>
          <w:szCs w:val="22"/>
        </w:rPr>
      </w:pPr>
      <w:r>
        <w:rPr>
          <w:b/>
          <w:bCs/>
          <w:sz w:val="22"/>
          <w:szCs w:val="22"/>
        </w:rPr>
      </w:r>
    </w:p>
    <w:p>
      <w:pPr>
        <w:pStyle w:val="Normal"/>
        <w:spacing w:lineRule="atLeast" w:line="240"/>
        <w:ind w:start="720" w:end="0"/>
        <w:jc w:val="both"/>
        <w:rPr/>
      </w:pPr>
      <w:r>
        <w:rPr>
          <w:b/>
          <w:bCs/>
          <w:sz w:val="22"/>
          <w:szCs w:val="22"/>
        </w:rPr>
        <w:t>“</w:t>
      </w:r>
      <w:r>
        <w:rPr>
          <w:b/>
          <w:bCs/>
          <w:sz w:val="22"/>
          <w:szCs w:val="22"/>
        </w:rPr>
        <w:t>Funded Debt”</w:t>
      </w:r>
      <w:r>
        <w:rPr>
          <w:sz w:val="22"/>
          <w:szCs w:val="22"/>
        </w:rPr>
        <w:t xml:space="preserve"> means consolidated indebtedness of Party B which by its terms matures more than one year from the date as of which any calculation of Funded Debt is made.</w:t>
      </w:r>
    </w:p>
    <w:p>
      <w:pPr>
        <w:pStyle w:val="Normal"/>
        <w:spacing w:lineRule="exact" w:line="240" w:before="240" w:after="0"/>
        <w:ind w:start="720" w:end="0"/>
        <w:jc w:val="both"/>
        <w:rPr/>
      </w:pPr>
      <w:r>
        <w:rPr>
          <w:b/>
          <w:bCs/>
          <w:sz w:val="22"/>
          <w:szCs w:val="22"/>
        </w:rPr>
        <w:t>“</w:t>
      </w:r>
      <w:r>
        <w:rPr>
          <w:b/>
          <w:bCs/>
          <w:sz w:val="22"/>
          <w:szCs w:val="22"/>
        </w:rPr>
        <w:t>GAAP”</w:t>
      </w:r>
      <w:r>
        <w:rPr>
          <w:sz w:val="22"/>
          <w:szCs w:val="22"/>
        </w:rPr>
        <w:t xml:space="preserve"> means generally accepted accounting principles that are generally accepted in the country in which the applicable party is organized and on a basis consistent with prior periods.</w:t>
      </w:r>
      <w:r>
        <w:rPr>
          <w:b/>
          <w:bCs/>
          <w:sz w:val="22"/>
          <w:szCs w:val="22"/>
        </w:rPr>
        <w:t xml:space="preserve"> </w:t>
      </w:r>
    </w:p>
    <w:p>
      <w:pPr>
        <w:pStyle w:val="Normal"/>
        <w:spacing w:lineRule="exact" w:line="240" w:before="240" w:after="0"/>
        <w:ind w:start="720" w:end="0"/>
        <w:jc w:val="both"/>
        <w:rPr/>
      </w:pPr>
      <w:r>
        <w:rPr>
          <w:b/>
          <w:bCs/>
          <w:sz w:val="22"/>
          <w:szCs w:val="22"/>
        </w:rPr>
        <w:t>“</w:t>
      </w:r>
      <w:r>
        <w:rPr>
          <w:b/>
          <w:bCs/>
          <w:sz w:val="22"/>
          <w:szCs w:val="22"/>
        </w:rPr>
        <w:t>Interest Expense”</w:t>
      </w:r>
      <w:r>
        <w:rPr>
          <w:sz w:val="22"/>
          <w:szCs w:val="22"/>
        </w:rPr>
        <w:t xml:space="preserve"> means, for any period, without duplication, the total consolidated interest expense of Party B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Party B under any guarantee of indebtedness or other obligations of any other person.</w:t>
      </w:r>
    </w:p>
    <w:p>
      <w:pPr>
        <w:pStyle w:val="Normal"/>
        <w:ind w:start="720" w:end="0"/>
        <w:jc w:val="both"/>
        <w:rPr>
          <w:b/>
          <w:bCs/>
          <w:sz w:val="22"/>
          <w:szCs w:val="22"/>
        </w:rPr>
      </w:pPr>
      <w:r>
        <w:rPr>
          <w:b/>
          <w:bCs/>
          <w:sz w:val="22"/>
          <w:szCs w:val="22"/>
        </w:rPr>
        <w:t xml:space="preserve"> </w:t>
      </w:r>
    </w:p>
    <w:p>
      <w:pPr>
        <w:pStyle w:val="Normal"/>
        <w:ind w:start="720" w:end="0"/>
        <w:jc w:val="both"/>
        <w:rPr/>
      </w:pPr>
      <w:r>
        <w:rPr>
          <w:b/>
          <w:bCs/>
          <w:sz w:val="22"/>
          <w:szCs w:val="22"/>
        </w:rPr>
        <w:t>“</w:t>
      </w:r>
      <w:r>
        <w:rPr>
          <w:b/>
          <w:bCs/>
          <w:sz w:val="22"/>
          <w:szCs w:val="22"/>
        </w:rPr>
        <w:t>Issuer”</w:t>
      </w:r>
      <w:r>
        <w:rPr>
          <w:sz w:val="22"/>
          <w:szCs w:val="22"/>
        </w:rPr>
        <w:t xml:space="preserve"> means the bank issuing a Letter of Credit at the request of the Pledgor that meets the requirements set forth in the definition of Letter of Credit herein.</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Material Adverse Change”</w:t>
      </w:r>
      <w:r>
        <w:rPr>
          <w:sz w:val="22"/>
          <w:szCs w:val="22"/>
        </w:rPr>
        <w:t xml:space="preserve"> means, (a) with respect to Party A, Enron Corp.’s Credit Rating is below “BBB-” by S&amp;P; or (b) with respect to Party B, it shall have any of the following occur at any time:  (i) the ratio of its Funded Debt to Net Worth is more than 3 to 1, or (ii) its Net Worth falls below U.S. $60,000,000, or (iii) its EBITDA Coverage Ratio shall be less than 6 to 1.</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Net Income”</w:t>
      </w:r>
      <w:r>
        <w:rPr>
          <w:sz w:val="22"/>
          <w:szCs w:val="22"/>
        </w:rPr>
        <w:t xml:space="preserve"> means consolidated gross revenues of Party B and other proper income credits, less all proper income charges, including taxes on income, all determined in accordance with GAAP.</w:t>
      </w:r>
    </w:p>
    <w:p>
      <w:pPr>
        <w:pStyle w:val="Justified"/>
        <w:spacing w:lineRule="atLeast" w:line="240" w:before="0" w:after="0"/>
        <w:ind w:start="720" w:end="0"/>
        <w:rPr>
          <w:rFonts w:ascii="Times New Roman" w:hAnsi="Times New Roman" w:cs="Times New Roman"/>
          <w:sz w:val="22"/>
          <w:szCs w:val="22"/>
        </w:rPr>
      </w:pPr>
      <w:r>
        <w:rPr>
          <w:rFonts w:cs="Times New Roman" w:ascii="Times New Roman" w:hAnsi="Times New Roman"/>
          <w:sz w:val="22"/>
          <w:szCs w:val="22"/>
        </w:rPr>
      </w:r>
    </w:p>
    <w:p>
      <w:pPr>
        <w:pStyle w:val="Normal"/>
        <w:ind w:start="720" w:end="0"/>
        <w:jc w:val="both"/>
        <w:rPr/>
      </w:pPr>
      <w:r>
        <w:rPr>
          <w:b/>
          <w:bCs/>
          <w:sz w:val="22"/>
          <w:szCs w:val="22"/>
        </w:rPr>
        <w:t>“</w:t>
      </w:r>
      <w:r>
        <w:rPr>
          <w:b/>
          <w:bCs/>
          <w:sz w:val="22"/>
          <w:szCs w:val="22"/>
        </w:rPr>
        <w:t>Net Worth”</w:t>
      </w:r>
      <w:r>
        <w:rPr>
          <w:sz w:val="22"/>
          <w:szCs w:val="22"/>
        </w:rPr>
        <w:t xml:space="preserve"> means consolidated total assets of Party B (exclusive of intangible assets), minus the consolidated total liabilities of Party B, each as would be reflected on a consolidated balance sheet of Party B prepared in accordance with GAAP.</w:t>
      </w:r>
      <w:r>
        <w:rPr>
          <w:b/>
          <w:bCs/>
          <w:sz w:val="22"/>
          <w:szCs w:val="22"/>
        </w:rPr>
        <w:t xml:space="preserve"> </w:t>
      </w:r>
    </w:p>
    <w:p>
      <w:pPr>
        <w:pStyle w:val="Normal"/>
        <w:ind w:start="720" w:end="0"/>
        <w:jc w:val="both"/>
        <w:rPr>
          <w:b/>
          <w:bCs/>
          <w:sz w:val="22"/>
          <w:szCs w:val="22"/>
        </w:rPr>
      </w:pPr>
      <w:r>
        <w:rPr>
          <w:b/>
          <w:bCs/>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hanging="720" w:start="720" w:end="0"/>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(f)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jc w:val="center"/>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sectPr>
      <w:headerReference w:type="default" r:id="rId8"/>
      <w:headerReference w:type="first" r:id="rId9"/>
      <w:footerReference w:type="default" r:id="rId10"/>
      <w:footerReference w:type="first" r:id="rId11"/>
      <w:type w:val="nextPage"/>
      <w:pgSz w:w="12240" w:h="15840"/>
      <w:pgMar w:left="1080" w:right="1080" w:gutter="0" w:header="720" w:top="108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2"/>
        <w:szCs w:val="16"/>
      </w:rPr>
      <w:fldChar w:fldCharType="begin"/>
    </w:r>
    <w:r>
      <w:rPr>
        <w:rStyle w:val="PageNumber"/>
        <w:sz w:val="12"/>
        <w:szCs w:val="16"/>
      </w:rPr>
      <w:instrText xml:space="preserve"> FILENAME \p </w:instrText>
    </w:r>
    <w:r>
      <w:rPr>
        <w:rStyle w:val="PageNumber"/>
        <w:sz w:val="12"/>
        <w:szCs w:val="16"/>
      </w:rPr>
      <w:fldChar w:fldCharType="separate"/>
    </w:r>
    <w:r>
      <w:rPr>
        <w:rStyle w:val="PageNumber"/>
        <w:sz w:val="12"/>
        <w:szCs w:val="16"/>
      </w:rPr>
      <w:t>/mnt/main-storage/datasets/enron-docs/doc/186ctr_solvay_.doc</w:t>
    </w:r>
    <w:r>
      <w:rPr>
        <w:rStyle w:val="PageNumber"/>
        <w:sz w:val="12"/>
        <w:szCs w:val="16"/>
      </w:rPr>
      <w:fldChar w:fldCharType="end"/>
    </w:r>
    <w:r>
      <mc:AlternateContent>
        <mc:Choice Requires="wps">
          <w:drawing>
            <wp:anchor behindDoc="0" distT="0" distB="0" distL="0" distR="0" simplePos="0" locked="0" layoutInCell="0" allowOverlap="1" relativeHeight="11">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10</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10</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/mnt/main-storage/datasets/enron-docs/doc/186ctr_solvay_.doc</w:t>
    </w:r>
    <w:r>
      <w:rPr>
        <w:sz w:val="12"/>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8</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/mnt/main-storage/datasets/enron-docs/doc/186ctr_solvay_.doc</w:t>
    </w:r>
    <w:r>
      <w:rPr>
        <w:sz w:val="12"/>
        <w:szCs w:val="16"/>
      </w:rPr>
      <w:fldChar w:fldCharType="end"/>
    </w:r>
  </w:p>
  <w:p>
    <w:pPr>
      <w:pStyle w:val="Normal"/>
      <w:rPr>
        <w:sz w:val="12"/>
        <w:szCs w:val="16"/>
      </w:rPr>
    </w:pPr>
    <w:r>
      <w:rPr>
        <w:sz w:val="12"/>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/mnt/main-storage/datasets/enron-docs/doc/186ctr_solvay_.doc</w:t>
    </w:r>
    <w:r>
      <w:rPr>
        <w:sz w:val="12"/>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2001-10-26T11:55:00Z</dcterms:created>
  <dc:creator>mheard</dc:creator>
  <dc:description/>
  <dc:language>en-CA</dc:language>
  <cp:lastModifiedBy>spanus</cp:lastModifiedBy>
  <cp:lastPrinted>2001-10-29T08:33:00Z</cp:lastPrinted>
  <dcterms:modified xsi:type="dcterms:W3CDTF">2001-10-29T12:04:00Z</dcterms:modified>
  <cp:revision>8</cp:revision>
  <dc:subject/>
  <dc:title>ISDA Multicurrency Agreement</dc:title>
</cp:coreProperties>
</file>