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864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pPr>
      <w:r>
        <w:rPr/>
        <w:drawing>
          <wp:inline distT="0" distB="0" distL="0" distR="0">
            <wp:extent cx="1944370" cy="275590"/>
            <wp:effectExtent l="0" t="0" r="0" b="0"/>
            <wp:docPr id="1" name="LOG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 descr="" title=""/>
                    <pic:cNvPicPr>
                      <a:picLocks noChangeAspect="1" noChangeArrowheads="1"/>
                    </pic:cNvPicPr>
                  </pic:nvPicPr>
                  <pic:blipFill>
                    <a:blip r:embed="rId2"/>
                    <a:srcRect l="-9" t="-71" r="-9" b="-71"/>
                    <a:stretch>
                      <a:fillRect/>
                    </a:stretch>
                  </pic:blipFill>
                  <pic:spPr bwMode="auto">
                    <a:xfrm>
                      <a:off x="0" y="0"/>
                      <a:ext cx="1944370" cy="275590"/>
                    </a:xfrm>
                    <a:prstGeom prst="rect">
                      <a:avLst/>
                    </a:prstGeom>
                    <a:noFill/>
                  </pic:spPr>
                </pic:pic>
              </a:graphicData>
            </a:graphic>
          </wp:inline>
        </w:drawing>
      </w:r>
    </w:p>
    <w:p>
      <w:pPr>
        <w:pStyle w:val="Normal"/>
        <w:numPr>
          <w:ilvl w:val="0"/>
          <w:numId w:val="0"/>
        </w:numPr>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nstrText xml:space="preserve">ADVANCE \d 1"</w:instrText>
      </w:r>
      <w:r>
        <w:rPr/>
      </w:r>
      <w:r>
        <w:rPr/>
        <w:fldChar w:fldCharType="separate"/>
      </w:r>
      <w:r>
        <w:rPr/>
      </w:r>
      <w:r>
        <w:rPr/>
      </w:r>
      <w:r>
        <w:rPr/>
        <w:fldChar w:fldCharType="end"/>
      </w:r>
      <w:r>
        <w:fldChar w:fldCharType="begin"/>
      </w:r>
      <w:r>
        <w:rPr/>
        <w:instrText xml:space="preserve">ADVANCE \d 2"</w:instrText>
      </w:r>
      <w:r>
        <w:rPr/>
      </w:r>
      <w:r>
        <w:rPr/>
        <w:fldChar w:fldCharType="separate"/>
      </w:r>
      <w:r>
        <w:rPr/>
      </w:r>
      <w:r>
        <w:rPr/>
      </w:r>
      <w:r>
        <w:rPr/>
        <w:fldChar w:fldCharType="end"/>
      </w:r>
      <w:r>
        <w:rPr>
          <w:rFonts w:cs="Humanst521 Lt BT" w:ascii="Humanst521 Lt BT" w:hAnsi="Humanst521 Lt BT"/>
          <w:spacing w:val="9"/>
          <w:sz w:val="16"/>
        </w:rPr>
        <w:t>ATTORNEYS AT LAW</w:t>
      </w:r>
    </w:p>
    <w:p>
      <w:pPr>
        <w:pStyle w:val="Normal"/>
        <w:numPr>
          <w:ilvl w:val="0"/>
          <w:numId w:val="0"/>
        </w:numPr>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eastAsia="Humanst521 Lt BT" w:cs="Humanst521 Lt BT" w:ascii="Humanst521 Lt BT" w:hAnsi="Humanst521 Lt BT"/>
          <w:spacing w:val="19"/>
          <w:sz w:val="12"/>
        </w:rPr>
        <w:t xml:space="preserve">  </w:t>
      </w:r>
      <w:r>
        <w:rPr>
          <w:rFonts w:cs="Humanst521 Lt BT" w:ascii="Humanst521 Lt BT" w:hAnsi="Humanst521 Lt BT"/>
          <w:spacing w:val="19"/>
          <w:sz w:val="12"/>
        </w:rPr>
        <w:t>VINSON &amp; ELKINS L.L.P.</w:t>
      </w:r>
    </w:p>
    <w:tbl>
      <w:tblPr>
        <w:tblW w:w="9540" w:type="dxa"/>
        <w:jc w:val="start"/>
        <w:tblInd w:w="18" w:type="dxa"/>
        <w:tblLayout w:type="fixed"/>
        <w:tblCellMar>
          <w:top w:w="0" w:type="dxa"/>
          <w:start w:w="108" w:type="dxa"/>
          <w:bottom w:w="0" w:type="dxa"/>
          <w:end w:w="108" w:type="dxa"/>
        </w:tblCellMar>
      </w:tblPr>
      <w:tblGrid>
        <w:gridCol w:w="3150"/>
        <w:gridCol w:w="3240"/>
        <w:gridCol w:w="3150"/>
      </w:tblGrid>
      <w:tr>
        <w:trPr/>
        <w:tc>
          <w:tcPr>
            <w:tcW w:w="315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rPr>
                <w:rFonts w:ascii="Humanst521 Lt BT" w:hAnsi="Humanst521 Lt BT" w:cs="Humanst521 Lt BT"/>
                <w:spacing w:val="19"/>
                <w:sz w:val="12"/>
              </w:rPr>
            </w:pPr>
            <w:bookmarkStart w:id="0" w:name="SenderPhone"/>
            <w:bookmarkEnd w:id="0"/>
            <w:r>
              <w:rPr>
                <w:rFonts w:cs="Humanst521 Lt BT" w:ascii="Humanst521 Lt BT" w:hAnsi="Humanst521 Lt BT"/>
                <w:spacing w:val="19"/>
                <w:sz w:val="12"/>
              </w:rPr>
              <w:t>Writer's Phone: (512) 495-8451</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rPr>
                <w:rFonts w:ascii="Humanst521 Lt BT" w:hAnsi="Humanst521 Lt BT" w:cs="Humanst521 Lt BT"/>
                <w:spacing w:val="19"/>
                <w:sz w:val="12"/>
              </w:rPr>
            </w:pPr>
            <w:bookmarkStart w:id="1" w:name="SenderFax"/>
            <w:bookmarkEnd w:id="1"/>
            <w:r>
              <w:rPr>
                <w:rFonts w:cs="Humanst521 Lt BT" w:ascii="Humanst521 Lt BT" w:hAnsi="Humanst521 Lt BT"/>
                <w:spacing w:val="19"/>
                <w:sz w:val="12"/>
              </w:rPr>
              <w:t>Writer's Fax: (512) 236-3210</w:t>
            </w:r>
          </w:p>
        </w:tc>
        <w:tc>
          <w:tcPr>
            <w:tcW w:w="324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bookmarkStart w:id="2" w:name="OffAdd1"/>
            <w:bookmarkEnd w:id="2"/>
            <w:r>
              <w:rPr>
                <w:rFonts w:cs="Humanst521 Lt BT" w:ascii="Humanst521 Lt BT" w:hAnsi="Humanst521 Lt BT"/>
                <w:spacing w:val="19"/>
                <w:sz w:val="12"/>
              </w:rPr>
              <w:t>ONE AMERICAN CENTER</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bookmarkStart w:id="3" w:name="OffAdd2"/>
            <w:bookmarkEnd w:id="3"/>
            <w:r>
              <w:rPr>
                <w:rFonts w:cs="Humanst521 Lt BT" w:ascii="Humanst521 Lt BT" w:hAnsi="Humanst521 Lt BT"/>
                <w:spacing w:val="19"/>
                <w:sz w:val="12"/>
              </w:rPr>
              <w:t>SUITE 2700</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bookmarkStart w:id="4" w:name="OffAdd3"/>
            <w:bookmarkEnd w:id="4"/>
            <w:r>
              <w:rPr>
                <w:rFonts w:cs="Humanst521 Lt BT" w:ascii="Humanst521 Lt BT" w:hAnsi="Humanst521 Lt BT"/>
                <w:spacing w:val="19"/>
                <w:sz w:val="12"/>
              </w:rPr>
              <w:t>600 CONGRESS AVENUE</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b/>
                <w:spacing w:val="19"/>
                <w:sz w:val="14"/>
              </w:rPr>
            </w:pPr>
            <w:bookmarkStart w:id="5" w:name="OffCity"/>
            <w:bookmarkEnd w:id="5"/>
            <w:r>
              <w:rPr>
                <w:rFonts w:cs="Humanst521 Lt BT" w:ascii="Humanst521 Lt BT" w:hAnsi="Humanst521 Lt BT"/>
                <w:b/>
                <w:spacing w:val="19"/>
                <w:sz w:val="14"/>
              </w:rPr>
              <w:t>AUSTIN, TEXAS  78701-3200</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bookmarkStart w:id="6" w:name="OffPhone"/>
            <w:bookmarkEnd w:id="6"/>
            <w:r>
              <w:rPr>
                <w:rFonts w:cs="Humanst521 Lt BT" w:ascii="Humanst521 Lt BT" w:hAnsi="Humanst521 Lt BT"/>
                <w:spacing w:val="19"/>
                <w:sz w:val="12"/>
              </w:rPr>
              <w:t>TELEPHONE (512) 495-8400</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bookmarkStart w:id="7" w:name="OffFax"/>
            <w:bookmarkEnd w:id="7"/>
            <w:r>
              <w:rPr>
                <w:rFonts w:cs="Humanst521 Lt BT" w:ascii="Humanst521 Lt BT" w:hAnsi="Humanst521 Lt BT"/>
                <w:spacing w:val="19"/>
                <w:sz w:val="12"/>
              </w:rPr>
              <w:t>FAX (512) 495-8612</w:t>
            </w:r>
          </w:p>
        </w:tc>
        <w:tc>
          <w:tcPr>
            <w:tcW w:w="315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end"/>
              <w:rPr>
                <w:rFonts w:ascii="Humanst521 Lt BT" w:hAnsi="Humanst521 Lt BT" w:cs="Humanst521 Lt BT"/>
                <w:spacing w:val="19"/>
                <w:sz w:val="12"/>
              </w:rPr>
            </w:pPr>
            <w:bookmarkStart w:id="8" w:name="SenderEmail"/>
            <w:bookmarkEnd w:id="8"/>
            <w:r>
              <w:rPr>
                <w:rFonts w:cs="Humanst521 Lt BT" w:ascii="Humanst521 Lt BT" w:hAnsi="Humanst521 Lt BT"/>
                <w:spacing w:val="19"/>
                <w:sz w:val="12"/>
              </w:rPr>
              <w:t>E-Mail: rbaird@velaw.com</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end"/>
              <w:rPr>
                <w:rFonts w:ascii="Humanst521 Lt BT" w:hAnsi="Humanst521 Lt BT" w:cs="Humanst521 Lt BT"/>
                <w:spacing w:val="19"/>
                <w:sz w:val="12"/>
              </w:rPr>
            </w:pPr>
            <w:bookmarkStart w:id="9" w:name="VEWeb"/>
            <w:bookmarkEnd w:id="9"/>
            <w:r>
              <w:rPr>
                <w:rFonts w:cs="Humanst521 Lt BT" w:ascii="Humanst521 Lt BT" w:hAnsi="Humanst521 Lt BT"/>
                <w:spacing w:val="19"/>
                <w:sz w:val="12"/>
              </w:rPr>
              <w:t>Web: www.velaw.com  </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end"/>
              <w:rPr>
                <w:rFonts w:ascii="Humanst521 Lt BT" w:hAnsi="Humanst521 Lt BT" w:cs="Humanst521 Lt BT"/>
                <w:spacing w:val="19"/>
                <w:sz w:val="12"/>
              </w:rPr>
            </w:pPr>
            <w:r>
              <w:rPr>
                <w:rFonts w:cs="Humanst521 Lt BT" w:ascii="Humanst521 Lt BT" w:hAnsi="Humanst521 Lt BT"/>
                <w:spacing w:val="19"/>
                <w:sz w:val="12"/>
              </w:rPr>
            </w:r>
          </w:p>
        </w:tc>
      </w:tr>
    </w:tbl>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center" w:pos="691" w:leader="none"/>
          <w:tab w:val="center" w:pos="8899" w:leader="none"/>
        </w:tabs>
        <w:spacing w:lineRule="atLeast" w:line="283"/>
        <w:jc w:val="center"/>
        <w:rPr/>
      </w:pPr>
      <w:bookmarkStart w:id="10" w:name="BodyDate"/>
      <w:bookmarkEnd w:id="10"/>
      <w:r>
        <w:rPr/>
        <w:t>March 12, 2001</w:t>
      </w:r>
    </w:p>
    <w:p>
      <w:pPr>
        <w:pStyle w:val="Norma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bookmarkStart w:id="11" w:name="Start"/>
      <w:bookmarkEnd w:id="11"/>
      <w:r>
        <w:rPr/>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r>
        <w:rPr/>
        <w:t>1400 Smith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r>
        <w:rPr/>
        <w:tab/>
        <w:t>Attn: James A. Armogida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jc w:val="both"/>
        <w:rPr/>
      </w:pPr>
      <w:r>
        <w:rPr/>
        <w:t>Ladies and 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7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You have asked us for our opinion regarding the applicability of the registration provisions of the Securities Act of 1933 (the “1933 Act”) to certain transactions involving Common Stock of Enron Corp. (“Enron”).  We understand that Enron has entered into various forward contracts (each, a “Contract”) with Credit Suisse First Boston International and Lehman Brothers Inc. (each, a “financial intermediary”), pursuant to which Enron has agreed to purchase from the financial intermediary shares of Enron Common Stock at future dates specified in the Contracts.  You have indicated that Enron now proposes to terminate the Contracts, and you have asked us for our opinion whether sales by a financial intermediary of Enron Common Stock previously purchased in the open market to hedge the financial intermediary’s position under a Contract will require registration under the 1933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We understand that simultaneously with entering into each Contract, the financial intermediary (although not required to do so by the Contract) purchased Enron Common Stock in the open market for its own account to hedge its risk under the Contract.  Enron now proposes to enter into agreements with the financial intermediaries to terminate portions of the Contracts from time to time, with the goal of eventually terminating the Contracts in their entirety.  We understand that on any given trading day Enron will not terminate portions of Contracts covering more than 300,000 shares of Enron Common Stock.  In settlement of the portion of the Contract being terminated, Enron may pay or receive cash or may acquire shares of Enron Common Stock from the financial intermediary.  We understand that it is likely that, upon each termination of a portion of a Contract, the financial intermediary will sell in the open market all or a portion of the shares purchased to hedge its position, although it is not required by the Contract to do so.  We understand that because Contract terminations will cover no more than 300,000 shares of Enron Common Stock on any trading day, no more than 300,000 shares of Enron Common Stock will be sold into the market on any trading day by financials intermediaries that are unwinding hedge positions under Contracts.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In our opinion, the sales by each financial intermediary under the circumstances described above will be exempt from registration under the 1933 Act as transactions by a person “other than an issuer, underwriter or dealer.”  The shares being sold were acquired in open market purchases and do no constitute “restricted securities.”  Moreover, we are of the opinion that a sale under the circumstances described does not constitute a “distribution” of such shares.  Thus, the transactions will be exempt from registration under Section 4(1) of the 1933 Act </w:t>
      </w:r>
    </w:p>
    <w:p>
      <w:pPr>
        <w:pStyle w:val="Normal"/>
        <w:rPr/>
      </w:pPr>
      <w:r>
        <w:rPr/>
      </w:r>
    </w:p>
    <w:p>
      <w:pPr>
        <w:pStyle w:val="Normal"/>
        <w:rPr/>
      </w:pPr>
      <w:r>
        <w:rPr/>
        <w:tab/>
        <w:t>This opinion, which is limited to federal laws, is furnished to you and is for your benefit in connection with the transactions contemplated by the contract.  You may furnish this opinion to each financial intermediary, Enron’s transfer agent and counsel for any of them, and each of them may also rely on this opinion. This opinion may not be relied upon in connection with any other transaction or by any other person or entity or furnished to anyone else without our prior written consent.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umanst521 L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tabs>
        <w:tab w:val="clear" w:pos="4320"/>
        <w:tab w:val="left" w:pos="720" w:leader="none"/>
        <w:tab w:val="center" w:pos="3780" w:leader="none"/>
        <w:tab w:val="right" w:pos="8640" w:leader="none"/>
      </w:tabs>
      <w:rPr>
        <w:rFonts w:ascii="Humanst521 Lt BT" w:hAnsi="Humanst521 Lt BT" w:cs="Humanst521 Lt BT"/>
        <w:sz w:val="12"/>
      </w:rPr>
    </w:pPr>
    <w:r>
      <w:rPr>
        <w:rFonts w:cs="Humanst521 Lt BT" w:ascii="Humanst521 Lt BT" w:hAnsi="Humanst521 Lt BT"/>
        <w:sz w:val="12"/>
      </w:rPr>
      <w:tab/>
    </w:r>
    <w:bookmarkStart w:id="13" w:name="CityOrd"/>
    <w:bookmarkEnd w:id="13"/>
    <w:r>
      <w:rPr>
        <w:rFonts w:cs="Humanst521 Lt BT" w:ascii="Humanst521 Lt BT" w:hAnsi="Humanst521 Lt BT"/>
        <w:sz w:val="12"/>
      </w:rPr>
      <w:t>AUSTIN         BEIJING         DALLAS         HOUSTON          LONDON          MOSCOW         NEW  YORK        SINGAPORE      WASHINGTON, D.C.</w:t>
    </w:r>
  </w:p>
  <w:p>
    <w:pPr>
      <w:pStyle w:val="Footer"/>
      <w:rPr>
        <w:rFonts w:ascii="Humanst521 Lt BT" w:hAnsi="Humanst521 Lt BT" w:cs="Humanst521 Lt BT"/>
        <w:sz w:val="12"/>
      </w:rPr>
    </w:pPr>
    <w:r>
      <w:rPr>
        <w:rFonts w:cs="Humanst521 Lt BT" w:ascii="Humanst521 Lt BT" w:hAnsi="Humanst521 Lt BT"/>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Corp.</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bookmarkStart w:id="12" w:name="HeaderADate"/>
    <w:bookmarkEnd w:id="12"/>
    <w:r>
      <w:rPr>
        <w:rStyle w:val="PageNumber"/>
      </w:rPr>
      <w:t>March 12, 2001</w:t>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2001-03-12T11:29:00Z</dcterms:created>
  <dc:creator>Vinson &amp; Elkins L.L.P.</dc:creator>
  <dc:description/>
  <dc:language>en-CA</dc:language>
  <cp:lastModifiedBy>Vinson &amp; Elkins L.L.P.</cp:lastModifiedBy>
  <cp:lastPrinted>2001-03-12T07:55:00Z</cp:lastPrinted>
  <dcterms:modified xsi:type="dcterms:W3CDTF">2001-03-12T11:29:00Z</dcterms:modified>
  <cp:revision>2</cp:revision>
  <dc:subject/>
  <dc:title> </dc:title>
</cp:coreProperties>
</file>