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04/20/2001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FIRST UNION NATIONAL BANK a national banking association organized under the law of the United States of America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$100,000,000 (or its equivalent in another currency)</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not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240" w:after="0"/>
        <w:ind w:firstLine="720" w:end="0"/>
        <w:jc w:val="both"/>
        <w:rPr/>
      </w:pPr>
      <w:r>
        <w:rPr>
          <w:sz w:val="22"/>
          <w:szCs w:val="22"/>
        </w:rPr>
        <w:t>(h)</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keepNext w:val="true"/>
        <w:spacing w:lineRule="exact" w:line="240" w:before="480" w:after="0"/>
        <w:jc w:val="both"/>
        <w:rPr>
          <w:sz w:val="22"/>
          <w:szCs w:val="22"/>
        </w:rPr>
      </w:pPr>
      <w:r>
        <w:rPr>
          <w:b/>
          <w:bCs/>
          <w:sz w:val="22"/>
          <w:szCs w:val="22"/>
        </w:rPr>
        <w:t>Part 2.  Tax Representations.</w:t>
      </w:r>
    </w:p>
    <w:p>
      <w:pPr>
        <w:pStyle w:val="Normal"/>
        <w:keepNext w:val="true"/>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Oregon.</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national banking association organized under the laws of the United States of America.</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color w:val="FF0000"/>
          <w:sz w:val="22"/>
          <w:szCs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 if such Financial Statement is not available on “EDGAR” or Party A’s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 if such Financial Statement is not available on “EDGAR” or Party A’s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tbl>
      <w:tblPr>
        <w:tblW w:w="6228" w:type="dxa"/>
        <w:jc w:val="start"/>
        <w:tblInd w:w="0" w:type="dxa"/>
        <w:tblLayout w:type="fixed"/>
        <w:tblCellMar>
          <w:top w:w="0" w:type="dxa"/>
          <w:start w:w="108" w:type="dxa"/>
          <w:bottom w:w="0" w:type="dxa"/>
          <w:end w:w="108" w:type="dxa"/>
        </w:tblCellMar>
      </w:tblPr>
      <w:tblGrid>
        <w:gridCol w:w="2088"/>
        <w:gridCol w:w="414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Enron Corp. Treasurer</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10358" w:type="dxa"/>
        <w:jc w:val="start"/>
        <w:tblInd w:w="0" w:type="dxa"/>
        <w:tblLayout w:type="fixed"/>
        <w:tblCellMar>
          <w:top w:w="0" w:type="dxa"/>
          <w:start w:w="108" w:type="dxa"/>
          <w:bottom w:w="0" w:type="dxa"/>
          <w:end w:w="108" w:type="dxa"/>
        </w:tblCellMar>
      </w:tblPr>
      <w:tblGrid>
        <w:gridCol w:w="2178"/>
        <w:gridCol w:w="4090"/>
        <w:gridCol w:w="40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First Union National Bank</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301 South College Street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Charlotte, North Carolina 28288-0600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Bruce Young, Sr. Vice President, Risk Management</w:t>
            </w:r>
          </w:p>
        </w:tc>
        <w:tc>
          <w:tcPr>
            <w:tcW w:w="40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(704) 383-0575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(704) 383-8778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sz w:val="22"/>
          <w:szCs w:val="22"/>
        </w:rPr>
      </w:pPr>
      <w:r>
        <w:rPr>
          <w:sz w:val="22"/>
          <w:szCs w:val="22"/>
        </w:rPr>
        <w:tab/>
      </w:r>
    </w:p>
    <w:p>
      <w:pPr>
        <w:pStyle w:val="Normal"/>
        <w:ind w:firstLine="720"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color w:val="FF0000"/>
          <w:sz w:val="22"/>
          <w:szCs w:val="22"/>
        </w:rPr>
      </w:pPr>
      <w:r>
        <w:rPr>
          <w:color w:val="FF0000"/>
          <w:sz w:val="22"/>
          <w:szCs w:val="22"/>
        </w:rPr>
      </w:r>
    </w:p>
    <w:p>
      <w:pPr>
        <w:pStyle w:val="Normal"/>
        <w:keepNext w:val="true"/>
        <w:spacing w:lineRule="exact" w:line="240" w:before="480" w:after="0"/>
        <w:jc w:val="both"/>
        <w:rPr>
          <w:b/>
          <w:bCs/>
          <w:sz w:val="22"/>
          <w:szCs w:val="22"/>
        </w:rPr>
      </w:pPr>
      <w:r>
        <w:rPr>
          <w:b/>
          <w:bCs/>
          <w:sz w:val="22"/>
          <w:szCs w:val="22"/>
        </w:rPr>
        <w:t>Part 5.  Other Provisions.</w:t>
      </w:r>
    </w:p>
    <w:p>
      <w:pPr>
        <w:pStyle w:val="Normal"/>
        <w:keepNext w:val="true"/>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 </w:t>
      </w: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sz w:val="22"/>
          <w:szCs w:val="22"/>
        </w:rPr>
      </w:pPr>
      <w:r>
        <w:rPr>
          <w:sz w:val="22"/>
          <w:szCs w:val="22"/>
        </w:rPr>
        <w:t>(i)</w:t>
        <w:tab/>
        <w:t>The necessary action to authorize referred to in the representation in Section 3(a)(ii) includes all authorizations required under the FDI Act.</w:t>
      </w:r>
    </w:p>
    <w:p>
      <w:pPr>
        <w:pStyle w:val="BodyTextIndent2"/>
        <w:widowControl/>
        <w:tabs>
          <w:tab w:val="clear" w:pos="1350"/>
        </w:tabs>
        <w:spacing w:lineRule="exact" w:line="240" w:before="24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sz w:val="22"/>
          <w:szCs w:val="22"/>
        </w:rPr>
      </w:pPr>
      <w:r>
        <w:rPr>
          <w:sz w:val="22"/>
          <w:szCs w:val="22"/>
        </w:rPr>
        <w:t>(iii)</w:t>
        <w:tab/>
        <w:t xml:space="preserve">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1991 ISDA Definitions (the “1991 Definitions”) and the 1996 ISDA Equity Derivatives Definitions (the “1996 Definitions”), as such definitions may be amended, supplemented, replaced or modified from time to time (the 1991 Definitions and the 1996 Definitions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 conflict between the 1991 Definitions and the 1996 Definitions, the 1996 Definitions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ten (10)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or any Transactions, and waives any further notice of such recording.  Such recordings may be submitted in evidence in proceedings to establish matters pertinent to this Agreement or any Transaction.</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disclosure in violation of the terms hereof, (ii) as may be required or appropriate in response to any summons, subpoena, or otherwise in connection with any litigation or to comply with any applicable law, order, regulation, ruling, or accounting disclosure rule or standard, whether in response thereto or upon initiation by either party defending itself, reducing its liability, or protecting or exercising any of its claims, rights, remedies or interests under or in connection with this Agreement or any Transaction,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hereunder so long as the obligations of such Affiliate are guaranteed by Enron Corp., with respect to Party A, and First Union National Bank, with repsect to Party B, provided that such transfer will not give rise to a Termination Event or an Event of Default.”</w:t>
      </w:r>
    </w:p>
    <w:p>
      <w:pPr>
        <w:pStyle w:val="Normal"/>
        <w:spacing w:lineRule="exact" w:line="240" w:before="240" w:after="0"/>
        <w:ind w:firstLine="720" w:end="0"/>
        <w:jc w:val="both"/>
        <w:rPr/>
      </w:pPr>
      <w:r>
        <w:rPr>
          <w:sz w:val="22"/>
          <w:szCs w:val="22"/>
        </w:rPr>
        <w:t xml:space="preserve"> </w:t>
      </w: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 </w:t>
      </w: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b/>
          <w:bCs/>
          <w:sz w:val="22"/>
          <w:szCs w:val="22"/>
        </w:rPr>
        <w:t>Part 6.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(together with the Emerging Markets Traders Association and The Foreign Exchange Committee)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keepNext w:val="true"/>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keepNext w:val="true"/>
        <w:tabs>
          <w:tab w:val="clear" w:pos="720"/>
          <w:tab w:val="left" w:pos="1350" w:leader="none"/>
        </w:tabs>
        <w:ind w:start="720" w:end="0"/>
        <w:jc w:val="both"/>
        <w:rPr>
          <w:sz w:val="22"/>
          <w:szCs w:val="22"/>
        </w:rPr>
      </w:pPr>
      <w:r>
        <w:rPr>
          <w:sz w:val="22"/>
          <w:szCs w:val="22"/>
        </w:rPr>
      </w:r>
    </w:p>
    <w:p>
      <w:pPr>
        <w:pStyle w:val="BodyTextIndent3"/>
        <w:keepNext w:val="true"/>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BodyTextIndent3"/>
        <w:widowControl/>
        <w:spacing w:lineRule="auto" w:line="240"/>
        <w:ind w:hanging="720" w:start="1440" w:end="0"/>
        <w:rPr/>
      </w:pPr>
      <w:r>
        <w:rPr/>
      </w:r>
    </w:p>
    <w:p>
      <w:pPr>
        <w:pStyle w:val="BodyTextIndent2"/>
        <w:keepNext w:val="true"/>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Normal"/>
        <w:jc w:val="both"/>
        <w:rPr>
          <w:rFonts w:ascii="Times New Roman" w:hAnsi="Times New Roman" w:cs="Times New Roman"/>
          <w:sz w:val="22"/>
          <w:szCs w:val="22"/>
        </w:rPr>
      </w:pPr>
      <w:r>
        <w:rPr>
          <w:rFonts w:cs="Times New Roman"/>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keepNext w:val="true"/>
        <w:tabs>
          <w:tab w:val="clear" w:pos="720"/>
          <w:tab w:val="left" w:pos="1134" w:leader="none"/>
        </w:tabs>
        <w:spacing w:before="480" w:after="0"/>
        <w:rPr>
          <w:sz w:val="22"/>
          <w:szCs w:val="22"/>
        </w:rPr>
      </w:pPr>
      <w:r>
        <w:rPr>
          <w:b/>
          <w:bCs/>
          <w:sz w:val="22"/>
          <w:szCs w:val="22"/>
        </w:rPr>
        <w:t>Part 7.  Transactions Governed by FRABBA Terms.</w:t>
      </w:r>
    </w:p>
    <w:p>
      <w:pPr>
        <w:pStyle w:val="Justified"/>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keepNext w:val="true"/>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FIRST UNION NATIONAL BANK</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O:\Legal\Sbailey\Ctr\184actr(enron-firstunion).doc</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2001-04-20T18:19:00Z</dcterms:created>
  <dc:creator>mheard</dc:creator>
  <dc:description/>
  <dc:language>en-CA</dc:language>
  <cp:lastModifiedBy>sbaile2</cp:lastModifiedBy>
  <cp:lastPrinted>2001-04-24T10:31:00Z</cp:lastPrinted>
  <dcterms:modified xsi:type="dcterms:W3CDTF">2001-04-25T19:16:00Z</dcterms:modified>
  <cp:revision>8</cp:revision>
  <dc:subject/>
  <dc:title>ISDA Multicurrency Agreement</dc:title>
</cp:coreProperties>
</file>