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01/09/2001</w:t>
      </w:r>
    </w:p>
    <w:p>
      <w:pPr>
        <w:pStyle w:val="Normal"/>
        <w:jc w:val="end"/>
        <w:rPr>
          <w:b/>
          <w:bCs/>
          <w:sz w:val="22"/>
          <w:szCs w:val="22"/>
          <w:u w:val="single"/>
        </w:rPr>
      </w:pPr>
      <w:r>
        <w:rPr>
          <w:b/>
          <w:bCs/>
          <w:sz w:val="22"/>
          <w:szCs w:val="22"/>
          <w:u w:val="single"/>
        </w:rPr>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CATEQUIL OVERSEAS PARTNERS LTD., a limited partnership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w:t>
      </w:r>
      <w:r>
        <w:rPr>
          <w:color w:val="000000"/>
          <w:sz w:val="22"/>
          <w:szCs w:val="22"/>
        </w:rPr>
        <w:t>.</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in any twelve (12) month period the Net Asset Value of Party B declines by more than 50 %.</w:t>
      </w:r>
    </w:p>
    <w:p>
      <w:pPr>
        <w:pStyle w:val="Normal"/>
        <w:numPr>
          <w:ilvl w:val="0"/>
          <w:numId w:val="2"/>
        </w:numPr>
        <w:spacing w:before="120" w:after="0"/>
        <w:ind w:hanging="540" w:start="1440" w:end="0"/>
        <w:jc w:val="both"/>
        <w:rPr>
          <w:sz w:val="22"/>
          <w:szCs w:val="22"/>
        </w:rPr>
      </w:pPr>
      <w:r>
        <w:rPr>
          <w:sz w:val="22"/>
          <w:szCs w:val="22"/>
        </w:rPr>
        <w:t>If the ratio of its Liabilities to Net Asset Value is more than 10 to 1.</w:t>
      </w:r>
    </w:p>
    <w:p>
      <w:pPr>
        <w:pStyle w:val="Normal"/>
        <w:numPr>
          <w:ilvl w:val="0"/>
          <w:numId w:val="2"/>
        </w:numPr>
        <w:spacing w:before="120" w:after="0"/>
        <w:ind w:hanging="540" w:start="1440" w:end="0"/>
        <w:jc w:val="both"/>
        <w:rPr>
          <w:sz w:val="22"/>
          <w:szCs w:val="22"/>
        </w:rPr>
      </w:pPr>
      <w:r>
        <w:rPr>
          <w:sz w:val="22"/>
          <w:szCs w:val="22"/>
        </w:rPr>
        <w:t>If its Net Asset Value falls below U.S. $50,000,000.</w:t>
      </w:r>
    </w:p>
    <w:p>
      <w:pPr>
        <w:pStyle w:val="Normal"/>
        <w:numPr>
          <w:ilvl w:val="0"/>
          <w:numId w:val="2"/>
        </w:numPr>
        <w:spacing w:before="120" w:after="0"/>
        <w:ind w:hanging="540" w:start="1440" w:end="0"/>
        <w:jc w:val="both"/>
        <w:rPr>
          <w:sz w:val="22"/>
          <w:szCs w:val="22"/>
        </w:rPr>
      </w:pPr>
      <w:r>
        <w:rPr>
          <w:sz w:val="22"/>
          <w:szCs w:val="22"/>
        </w:rPr>
        <w:t>If the Manager resigns, is terminated or is otherwise incapacitated for a period exceeding one month.</w:t>
      </w:r>
    </w:p>
    <w:p>
      <w:pPr>
        <w:pStyle w:val="Normal"/>
        <w:numPr>
          <w:ilvl w:val="0"/>
          <w:numId w:val="2"/>
        </w:numPr>
        <w:spacing w:before="120" w:after="0"/>
        <w:ind w:hanging="540" w:start="1440" w:end="0"/>
        <w:jc w:val="both"/>
        <w:rPr>
          <w:sz w:val="22"/>
          <w:szCs w:val="22"/>
        </w:rPr>
      </w:pPr>
      <w:r>
        <w:rPr>
          <w:sz w:val="22"/>
          <w:szCs w:val="22"/>
        </w:rPr>
        <w:t>If the Management Agreement is terminated by either the Manager or Party B (including breach of the Management Agreement or the Investment Policy).</w:t>
      </w:r>
    </w:p>
    <w:p>
      <w:pPr>
        <w:pStyle w:val="Normal"/>
        <w:spacing w:lineRule="exact" w:line="240" w:before="240" w:after="0"/>
        <w:ind w:firstLine="720" w:end="0"/>
        <w:jc w:val="both"/>
        <w:rPr/>
      </w:pPr>
      <w:r>
        <w:rPr>
          <w:sz w:val="22"/>
          <w:szCs w:val="22"/>
        </w:rPr>
        <w:t xml:space="preserve"> </w:t>
      </w: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partnership organized under the laws of the State of ___________.</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keepNext w:val="true"/>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color w:val="FF0000"/>
          <w:sz w:val="22"/>
          <w:szCs w:val="22"/>
        </w:rPr>
        <w:t xml:space="preserve"> </w:t>
      </w: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limited partnership and partnership agreement or other constituent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pacing w:lineRule="atLeast" w:line="240" w:before="240" w:after="0"/>
              <w:jc w:val="both"/>
              <w:rPr>
                <w:rStyle w:val="FootnoteCharacters"/>
                <w:sz w:val="22"/>
                <w:szCs w:val="22"/>
              </w:rPr>
            </w:pPr>
            <w:r>
              <w:rPr>
                <w:sz w:val="22"/>
                <w:szCs w:val="22"/>
              </w:rPr>
              <w:t>Party B</w:t>
            </w:r>
          </w:p>
        </w:tc>
        <w:tc>
          <w:tcPr>
            <w:tcW w:w="3886" w:type="dxa"/>
            <w:tcBorders/>
          </w:tcPr>
          <w:p>
            <w:pPr>
              <w:pStyle w:val="Justified"/>
              <w:widowControl/>
              <w:spacing w:lineRule="atLeast" w:line="240" w:before="240" w:after="0"/>
              <w:rPr/>
            </w:pPr>
            <w:r>
              <w:rPr>
                <w:rFonts w:cs="Times New Roman" w:ascii="Times New Roman" w:hAnsi="Times New Roman"/>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Catequil Overseas Partners Ltd.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b/>
          <w:bCs/>
          <w:sz w:val="22"/>
          <w:szCs w:val="22"/>
        </w:rPr>
      </w:pPr>
      <w:r>
        <w:rPr>
          <w:b/>
          <w:bCs/>
          <w:sz w:val="22"/>
          <w:szCs w:val="22"/>
        </w:rPr>
      </w:r>
    </w:p>
    <w:p>
      <w:pPr>
        <w:pStyle w:val="Normal"/>
        <w:keepNext w:val="true"/>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 </w:t>
      </w: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color w:val="FF0000"/>
          <w:sz w:val="22"/>
          <w:szCs w:val="22"/>
        </w:rPr>
      </w:pPr>
      <w:r>
        <w:rPr>
          <w:color w:val="FF0000"/>
          <w:sz w:val="22"/>
          <w:szCs w:val="22"/>
        </w:rPr>
      </w:r>
    </w:p>
    <w:p>
      <w:pPr>
        <w:pStyle w:val="Normal"/>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3"/>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sz w:val="22"/>
          <w:szCs w:val="22"/>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sz w:val="22"/>
          <w:szCs w:val="22"/>
        </w:rPr>
      </w:pPr>
      <w:r>
        <w:rPr>
          <w:sz w:val="22"/>
          <w:szCs w:val="22"/>
        </w:rPr>
      </w:r>
    </w:p>
    <w:p>
      <w:pPr>
        <w:pStyle w:val="Normal"/>
        <w:keepNext w:val="true"/>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 </w:t>
      </w: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BodyTextIndent2"/>
        <w:widowControl/>
        <w:tabs>
          <w:tab w:val="clear" w:pos="1350"/>
        </w:tabs>
        <w:spacing w:lineRule="atLeast" w:line="240" w:before="240" w:after="0"/>
        <w:rPr>
          <w:rFonts w:ascii="Times New Roman" w:hAnsi="Times New Roman" w:cs="Times New Roman"/>
        </w:rPr>
      </w:pPr>
      <w:r>
        <w:rPr>
          <w:rFonts w:cs="Times New Roman" w:ascii="Times New Roman" w:hAnsi="Times New Roman"/>
        </w:rPr>
        <w:t>(o)</w:t>
        <w:tab/>
        <w:t>Additional Definitions.  Section 14 of the Agreement is hereby amended by adding the following definitions:</w:t>
      </w:r>
    </w:p>
    <w:p>
      <w:pPr>
        <w:pStyle w:val="Normal"/>
        <w:spacing w:lineRule="atLeast" w:line="240" w:before="240" w:after="0"/>
        <w:ind w:firstLine="720" w:end="0"/>
        <w:jc w:val="both"/>
        <w:rPr/>
      </w:pPr>
      <w:r>
        <w:rPr>
          <w:sz w:val="22"/>
          <w:szCs w:val="22"/>
        </w:rPr>
        <w:t>(a)</w:t>
        <w:tab/>
      </w:r>
      <w:r>
        <w:rPr>
          <w:b/>
          <w:bCs/>
          <w:sz w:val="22"/>
          <w:szCs w:val="22"/>
        </w:rPr>
        <w:t xml:space="preserve">“Net Asset Value” </w:t>
      </w:r>
      <w:r>
        <w:rPr>
          <w:sz w:val="22"/>
          <w:szCs w:val="22"/>
        </w:rPr>
        <w:t>means ____________________________.</w:t>
      </w:r>
    </w:p>
    <w:p>
      <w:pPr>
        <w:pStyle w:val="Normal"/>
        <w:spacing w:lineRule="atLeast" w:line="240" w:before="240" w:after="0"/>
        <w:ind w:start="720" w:end="0"/>
        <w:jc w:val="both"/>
        <w:rPr/>
      </w:pPr>
      <w:r>
        <w:rPr>
          <w:sz w:val="22"/>
          <w:szCs w:val="22"/>
        </w:rPr>
        <w:t>(b)</w:t>
        <w:tab/>
      </w:r>
      <w:r>
        <w:rPr>
          <w:b/>
          <w:bCs/>
          <w:sz w:val="22"/>
          <w:szCs w:val="22"/>
        </w:rPr>
        <w:t xml:space="preserve">“Liabilities” </w:t>
      </w:r>
      <w:r>
        <w:rPr>
          <w:sz w:val="22"/>
          <w:szCs w:val="22"/>
        </w:rPr>
        <w:t>means all liabilities of Party B, including, but not limited to, accrued expenses, amounts due to brokers, redemptions payable, commodity options written, and all fees and commissions payable.</w:t>
      </w:r>
    </w:p>
    <w:p>
      <w:pPr>
        <w:pStyle w:val="Normal"/>
        <w:spacing w:lineRule="atLeast" w:line="240" w:before="240" w:after="0"/>
        <w:ind w:firstLine="60" w:start="720" w:end="0"/>
        <w:jc w:val="both"/>
        <w:rPr/>
      </w:pPr>
      <w:r>
        <w:rPr>
          <w:sz w:val="22"/>
          <w:szCs w:val="22"/>
        </w:rPr>
        <w:t>(c)</w:t>
        <w:tab/>
      </w:r>
      <w:r>
        <w:rPr>
          <w:b/>
          <w:bCs/>
          <w:sz w:val="22"/>
          <w:szCs w:val="22"/>
        </w:rPr>
        <w:t xml:space="preserve">“Management Agreement” </w:t>
      </w:r>
      <w:r>
        <w:rPr>
          <w:sz w:val="22"/>
          <w:szCs w:val="22"/>
        </w:rPr>
        <w:t>means that certain agreement dated ____________ between Party B and the Manager for managing the operations and affairs of Party B.</w:t>
      </w:r>
    </w:p>
    <w:p>
      <w:pPr>
        <w:pStyle w:val="BodyTextIndent"/>
        <w:spacing w:lineRule="atLeast" w:line="240"/>
        <w:rPr/>
      </w:pPr>
      <w:r>
        <w:rPr/>
        <w:t>(d)</w:t>
        <w:tab/>
      </w:r>
      <w:r>
        <w:rPr>
          <w:b/>
          <w:bCs/>
        </w:rPr>
        <w:t xml:space="preserve">“Investment Policy” </w:t>
      </w:r>
      <w:r>
        <w:rPr/>
        <w:t xml:space="preserve">means Party B’s investment objectives, restrictions and guidelines as set forth in Party B’s prospectus, which incorporates the use of derivative products, including swaps, options and other Transactions. </w:t>
      </w:r>
    </w:p>
    <w:p>
      <w:pPr>
        <w:pStyle w:val="BodyTextIndent"/>
        <w:spacing w:lineRule="atLeast" w:line="240"/>
        <w:rPr/>
      </w:pPr>
      <w:r>
        <w:rPr/>
        <w:t>(e)</w:t>
        <w:tab/>
      </w:r>
      <w:r>
        <w:rPr>
          <w:b/>
          <w:bCs/>
        </w:rPr>
        <w:t xml:space="preserve">“Manager” </w:t>
      </w:r>
      <w:r>
        <w:rPr/>
        <w:t>means the managing members as of the date of this Agreement of the general partner of Catequil GP, LLC.</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sz w:val="22"/>
                <w:szCs w:val="22"/>
              </w:rPr>
            </w:pPr>
            <w:r>
              <w:rPr>
                <w:b/>
                <w:bCs/>
                <w:sz w:val="22"/>
                <w:szCs w:val="22"/>
              </w:rPr>
              <w:t>CATEQUIL OVERSEAS PARTNERS LTD.</w:t>
            </w:r>
          </w:p>
          <w:p>
            <w:pPr>
              <w:pStyle w:val="Justified"/>
              <w:keepNext w:val="true"/>
              <w:widowControl/>
              <w:spacing w:lineRule="exact" w:line="240" w:before="0" w:after="0"/>
              <w:rPr>
                <w:rFonts w:ascii="Times New Roman" w:hAnsi="Times New Roman" w:cs="Times New Roman"/>
              </w:rPr>
            </w:pPr>
            <w:r>
              <w:rPr>
                <w:rFonts w:cs="Times New Roman" w:ascii="Times New Roman" w:hAnsi="Times New Roman"/>
              </w:rPr>
              <w:t>By: Catequil Associates LLC, its General Partner</w:t>
            </w:r>
          </w:p>
          <w:p>
            <w:pPr>
              <w:pStyle w:val="Normal"/>
              <w:keepNext w:val="true"/>
              <w:spacing w:lineRule="exact" w:line="240"/>
              <w:jc w:val="both"/>
              <w:rPr>
                <w:sz w:val="22"/>
                <w:szCs w:val="22"/>
              </w:rPr>
            </w:pPr>
            <w:r>
              <w:rPr>
                <w:sz w:val="22"/>
                <w:szCs w:val="22"/>
              </w:rPr>
              <w:t xml:space="preserve">  </w:t>
            </w:r>
            <w:r>
              <w:rPr>
                <w:sz w:val="22"/>
                <w:szCs w:val="22"/>
              </w:rPr>
              <w:t>By: ________________________, its Managing Member</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240"/>
        <w:jc w:val="both"/>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CATEQUIL OVERSEAS PARTNERS LTD., a limited partnership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sz w:val="22"/>
          <w:szCs w:val="22"/>
        </w:rPr>
      </w:pPr>
      <w:r>
        <w:rPr>
          <w:sz w:val="22"/>
          <w:szCs w:val="22"/>
        </w:rPr>
        <w:t xml:space="preserve"> </w:t>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calculated as follows: on any Business Day, Party A shall have the right to adjust the Independent Amount 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 provided, however, that in no event shall Party B’s Independent Amount be less than $250,000 if there are any outstanding transactions.</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 </w:t>
      </w:r>
      <w:r>
        <w:rPr>
          <w:color w:val="000000"/>
          <w:sz w:val="22"/>
          <w:szCs w:val="22"/>
        </w:rPr>
        <w:t xml:space="preserve">(B)  </w:t>
      </w:r>
      <w:r>
        <w:rPr>
          <w:b/>
          <w:bCs/>
          <w:color w:val="000000"/>
          <w:sz w:val="22"/>
          <w:szCs w:val="22"/>
        </w:rPr>
        <w:t>“Threshold”</w:t>
      </w:r>
      <w:r>
        <w:rPr>
          <w:color w:val="000000"/>
          <w:sz w:val="22"/>
          <w:szCs w:val="22"/>
        </w:rPr>
        <w:t xml:space="preserve"> means with respect to Party A, zero and with respect to Party B, zero.</w:t>
      </w:r>
    </w:p>
    <w:p>
      <w:pPr>
        <w:pStyle w:val="Normal"/>
        <w:ind w:start="720" w:end="0"/>
        <w:jc w:val="both"/>
        <w:rPr>
          <w:color w:val="000000"/>
          <w:sz w:val="22"/>
          <w:szCs w:val="22"/>
        </w:rPr>
      </w:pPr>
      <w:r>
        <w:rPr>
          <w:color w:val="000000"/>
          <w:sz w:val="22"/>
          <w:szCs w:val="22"/>
        </w:rPr>
        <w:t xml:space="preserve"> </w:t>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$100,000 </w:t>
      </w:r>
      <w:r>
        <w:rPr>
          <w:sz w:val="22"/>
          <w:szCs w:val="22"/>
        </w:rPr>
        <w:t xml:space="preserve">and the Return Amount will be rounded down to the nearest integral multiple of U.S. </w:t>
      </w:r>
      <w:r>
        <w:rPr>
          <w:color w:val="000000"/>
          <w:sz w:val="22"/>
          <w:szCs w:val="22"/>
        </w:rPr>
        <w:t>$100,000.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keepNext w:val="true"/>
        <w:ind w:hanging="720" w:start="720" w:end="0"/>
        <w:jc w:val="both"/>
        <w:rPr>
          <w:sz w:val="22"/>
          <w:szCs w:val="22"/>
        </w:rPr>
      </w:pPr>
      <w:r>
        <w:rPr>
          <w:sz w:val="22"/>
          <w:szCs w:val="22"/>
        </w:rPr>
        <w:t>(g)</w:t>
        <w:tab/>
      </w:r>
      <w:r>
        <w:rPr>
          <w:b/>
          <w:bCs/>
          <w:sz w:val="22"/>
          <w:szCs w:val="22"/>
        </w:rPr>
        <w:t>Holding and Using Posted Collateral.</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keepNext w:val="true"/>
        <w:ind w:hanging="720" w:start="720" w:end="0"/>
        <w:jc w:val="both"/>
        <w:rPr>
          <w:sz w:val="22"/>
          <w:szCs w:val="22"/>
        </w:rPr>
      </w:pPr>
      <w:r>
        <w:rPr>
          <w:sz w:val="22"/>
          <w:szCs w:val="22"/>
        </w:rPr>
        <w:t xml:space="preserve"> </w:t>
      </w: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sectPr>
          <w:headerReference w:type="default" r:id="rId3"/>
          <w:footerReference w:type="default" r:id="rId4"/>
          <w:footerReference w:type="first" r:id="rId5"/>
          <w:type w:val="nextPage"/>
          <w:pgSz w:w="12240" w:h="15840"/>
          <w:pgMar w:left="1440" w:right="1440" w:gutter="0" w:header="720" w:top="1440" w:footer="720" w:bottom="1440"/>
          <w:pgNumType w:start="1" w:fmt="decimal"/>
          <w:formProt w:val="false"/>
          <w:textDirection w:val="lrTb"/>
          <w:docGrid w:type="default" w:linePitch="360" w:charSpace="0"/>
        </w:sect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Justified"/>
        <w:spacing w:lineRule="atLeast" w:line="240" w:before="0" w:after="0"/>
        <w:ind w:start="720" w:end="0"/>
        <w:rPr>
          <w:rFonts w:ascii="Times New Roman" w:hAnsi="Times New Roman" w:cs="Times New Roman"/>
          <w:b/>
          <w:bCs/>
          <w:sz w:val="22"/>
          <w:szCs w:val="22"/>
        </w:rPr>
      </w:pPr>
      <w:r>
        <w:rPr>
          <w:rFonts w:cs="Times New Roman" w:ascii="Times New Roman" w:hAnsi="Times New Roman"/>
          <w:b/>
          <w:bCs/>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CATEQUIL OVERSEAS PARTNERS LTD., a </w:t>
      </w:r>
      <w:r>
        <w:rPr>
          <w:sz w:val="22"/>
          <w:szCs w:val="22"/>
          <w:u w:val="single"/>
        </w:rPr>
        <w:tab/>
        <w:tab/>
        <w:tab/>
      </w:r>
      <w:r>
        <w:rPr>
          <w:sz w:val="22"/>
          <w:szCs w:val="22"/>
        </w:rPr>
        <w:t xml:space="preserve">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Catequil Overseas Partners Ltd.</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keepNext w:val="true"/>
        <w:jc w:val="center"/>
        <w:rPr>
          <w:sz w:val="22"/>
          <w:szCs w:val="22"/>
        </w:rPr>
      </w:pPr>
      <w:r>
        <w:rPr>
          <w:sz w:val="22"/>
          <w:szCs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O:\Legal\Sbailey\Ctr\183ctr(catequiloverseas).doc</w:t>
    </w:r>
  </w:p>
  <w:p>
    <w:pPr>
      <w:pStyle w:val="Normal"/>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O:\Legal\Sbailey\Ctr\183ctr(catequiloverseas).doc</w:t>
    </w:r>
  </w:p>
  <w:p>
    <w:pPr>
      <w:pStyle w:val="Normal"/>
      <w:jc w:val="center"/>
      <w:rPr/>
    </w:pPr>
    <w:r>
      <w:rPr/>
      <w:t>Annex A</w:t>
    </w:r>
  </w:p>
  <w:p>
    <w:pPr>
      <w:pStyle w:val="Normal"/>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O:\Legal\Sbailey\Ctr\183ctr(catequiloverseas).doc</w:t>
    </w:r>
  </w:p>
  <w:p>
    <w:pPr>
      <w:pStyle w:val="Normal"/>
      <w:jc w:val="center"/>
      <w:rPr/>
    </w:pPr>
    <w:r>
      <w:rPr/>
      <w:t>Exhibit A</w:t>
    </w:r>
  </w:p>
  <w:p>
    <w:pPr>
      <w:pStyle w:val="Normal"/>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Normal"/>
      <w:jc w:val="cen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ind w:start="450" w:hanging="36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2001-01-09T11:59:00Z</dcterms:created>
  <dc:creator>mheard</dc:creator>
  <dc:description/>
  <dc:language>en-CA</dc:language>
  <cp:lastModifiedBy>sbaile2</cp:lastModifiedBy>
  <cp:lastPrinted>2000-10-04T16:43:00Z</cp:lastPrinted>
  <dcterms:modified xsi:type="dcterms:W3CDTF">2001-01-10T17:43:00Z</dcterms:modified>
  <cp:revision>13</cp:revision>
  <dc:subject/>
  <dc:title>ISDA Multicurrency Agreement</dc:title>
</cp:coreProperties>
</file>