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rPr/>
      </w:pPr>
      <w:r>
        <w:rPr/>
        <w:t>DRAFT OF 10/15/2001</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2001</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EXELON GENERATION COMPANY, LLC, a limited liability company organized under the law of the State of ________ (“Party B”)</w:t>
            </w:r>
          </w:p>
          <w:p>
            <w:pPr>
              <w:pStyle w:val="Normal"/>
              <w:tabs>
                <w:tab w:val="clear" w:pos="720"/>
                <w:tab w:val="center" w:pos="5760" w:leader="none"/>
              </w:tabs>
              <w:spacing w:before="240" w:after="0"/>
              <w:jc w:val="center"/>
              <w:rPr>
                <w:b/>
                <w:bCs/>
                <w:sz w:val="22"/>
                <w:szCs w:val="22"/>
              </w:rPr>
            </w:pPr>
            <w:r>
              <w:rPr>
                <w:b/>
                <w:bCs/>
                <w:sz w:val="22"/>
                <w:szCs w:val="22"/>
              </w:rPr>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and with respect to Party B, U.S. $20,000,000 (or its equivalent in another currency);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tab/>
        <w:t>Section 5(b)(iv) is hereby amended by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(h)</w:t>
      </w:r>
      <w:r>
        <w:rPr>
          <w:b/>
          <w:bCs/>
          <w:sz w:val="22"/>
          <w:szCs w:val="22"/>
        </w:rPr>
        <w:tab/>
        <w:t>“Contractual Currency”</w:t>
      </w:r>
      <w:r>
        <w:rPr>
          <w:sz w:val="22"/>
          <w:szCs w:val="22"/>
        </w:rPr>
        <w:t xml:space="preserve"> unless otherwise specified in a Confirmation, shall mean United States Dollars.</w:t>
      </w:r>
    </w:p>
    <w:p>
      <w:pPr>
        <w:pStyle w:val="Normal"/>
        <w:tabs>
          <w:tab w:val="clear" w:pos="720"/>
          <w:tab w:val="left" w:pos="1080" w:leader="none"/>
        </w:tabs>
        <w:spacing w:lineRule="exact" w:line="480"/>
        <w:jc w:val="both"/>
        <w:rPr>
          <w:b/>
          <w:bCs/>
          <w:sz w:val="22"/>
          <w:szCs w:val="22"/>
        </w:rPr>
      </w:pPr>
      <w:r>
        <w:rPr>
          <w:b/>
          <w:bCs/>
          <w:sz w:val="22"/>
          <w:szCs w:val="22"/>
        </w:rPr>
        <w:t>Part 2.</w:t>
        <w:tab/>
        <w:t>Tax Representations.</w:t>
      </w:r>
    </w:p>
    <w:p>
      <w:pPr>
        <w:pStyle w:val="Normal"/>
        <w:spacing w:lineRule="exact" w:line="240" w:before="240" w:after="0"/>
        <w:ind w:firstLine="720" w:end="0"/>
        <w:jc w:val="both"/>
        <w:rPr/>
      </w:pPr>
      <w:r>
        <w:rPr>
          <w:sz w:val="22"/>
          <w:szCs w:val="22"/>
        </w:rPr>
        <w:t>(a)</w:t>
      </w:r>
      <w:r>
        <w:rPr>
          <w:b/>
          <w:bCs/>
          <w:sz w:val="22"/>
          <w:szCs w:val="22"/>
        </w:rPr>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firstLine="720" w:end="0"/>
        <w:jc w:val="both"/>
        <w:rPr/>
      </w:pPr>
      <w:r>
        <w:rPr>
          <w:sz w:val="22"/>
          <w:szCs w:val="22"/>
        </w:rPr>
        <w:t>(b)</w:t>
      </w:r>
      <w:r>
        <w:rPr>
          <w:b/>
          <w:bCs/>
          <w:sz w:val="22"/>
          <w:szCs w:val="22"/>
        </w:rPr>
        <w:tab/>
        <w:t>Payee Representations.</w:t>
      </w:r>
      <w:r>
        <w:rPr>
          <w:sz w:val="22"/>
          <w:szCs w:val="22"/>
        </w:rPr>
        <w:t xml:space="preserve">  For the purpose of Section 3(f), Party A and Party B make the following representations:</w:t>
      </w:r>
    </w:p>
    <w:p>
      <w:pPr>
        <w:pStyle w:val="Normal"/>
        <w:spacing w:lineRule="exact" w:line="240" w:before="240" w:after="0"/>
        <w:ind w:hanging="180" w:start="900" w:end="0"/>
        <w:jc w:val="both"/>
        <w:rPr>
          <w:sz w:val="22"/>
          <w:szCs w:val="22"/>
        </w:rPr>
      </w:pPr>
      <w:r>
        <w:rPr>
          <w:sz w:val="22"/>
          <w:szCs w:val="22"/>
        </w:rPr>
        <w:t>(i)</w:t>
        <w:tab/>
        <w:t>The following representation applies to Party A:</w:t>
      </w:r>
    </w:p>
    <w:p>
      <w:pPr>
        <w:pStyle w:val="Normal"/>
        <w:spacing w:lineRule="exact" w:line="240" w:before="240" w:after="0"/>
        <w:ind w:firstLine="540"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180" w:start="900" w:end="0"/>
        <w:jc w:val="both"/>
        <w:rPr>
          <w:sz w:val="22"/>
          <w:szCs w:val="22"/>
        </w:rPr>
      </w:pPr>
      <w:r>
        <w:rPr>
          <w:sz w:val="22"/>
          <w:szCs w:val="22"/>
        </w:rPr>
        <w:t>(ii)</w:t>
        <w:tab/>
        <w:t>The following representation applies to Party B:</w:t>
      </w:r>
    </w:p>
    <w:p>
      <w:pPr>
        <w:pStyle w:val="Normal"/>
        <w:spacing w:lineRule="exact" w:line="240" w:before="240" w:after="0"/>
        <w:ind w:firstLine="540" w:start="900" w:end="0"/>
        <w:jc w:val="both"/>
        <w:rPr/>
      </w:pPr>
      <w:r>
        <w:rPr>
          <w:sz w:val="22"/>
          <w:szCs w:val="22"/>
        </w:rPr>
        <w:t xml:space="preserve">Party B is a limited liability company (that is treated as a partnership for federal income tax purposes) organized under the laws of the State of </w:t>
      </w:r>
      <w:r>
        <w:rPr>
          <w:sz w:val="22"/>
          <w:szCs w:val="22"/>
          <w:u w:val="single"/>
        </w:rPr>
        <w:tab/>
        <w:tab/>
        <w:tab/>
      </w:r>
      <w:r>
        <w:rPr>
          <w:sz w:val="22"/>
          <w:szCs w:val="22"/>
        </w:rPr>
        <w:t>.</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b/>
          <w:bCs/>
          <w:sz w:val="22"/>
          <w:szCs w:val="22"/>
        </w:rPr>
        <w:t>Part 3.</w:t>
        <w:tab/>
        <w:t>Agreement to Deliver Documents.</w:t>
      </w:r>
    </w:p>
    <w:p>
      <w:pPr>
        <w:pStyle w:val="Normal"/>
        <w:spacing w:lineRule="exact" w:line="240" w:before="240" w:after="0"/>
        <w:ind w:firstLine="720" w:end="0"/>
        <w:jc w:val="both"/>
        <w:rPr>
          <w:sz w:val="22"/>
          <w:szCs w:val="22"/>
        </w:rPr>
      </w:pPr>
      <w:r>
        <w:rPr>
          <w:sz w:val="22"/>
          <w:szCs w:val="22"/>
        </w:rPr>
        <w:t>For the purpose of Section 4(a), each party agrees to deliver the following documents, as applicable:</w:t>
      </w:r>
    </w:p>
    <w:p>
      <w:pPr>
        <w:pStyle w:val="Normal"/>
        <w:spacing w:lineRule="exact" w:line="240" w:before="240" w:after="0"/>
        <w:ind w:firstLine="720" w:end="0"/>
        <w:jc w:val="both"/>
        <w:rPr>
          <w:sz w:val="22"/>
          <w:szCs w:val="22"/>
        </w:rPr>
      </w:pPr>
      <w:r>
        <w:rPr>
          <w:sz w:val="22"/>
          <w:szCs w:val="22"/>
        </w:rPr>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spacing w:lineRule="atLeast" w:line="240" w:before="240" w:after="0"/>
              <w:jc w:val="both"/>
              <w:rPr>
                <w:b/>
                <w:bCs/>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Documents specified in Part 4(d)</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A and Party B</w:t>
            </w:r>
          </w:p>
        </w:tc>
        <w:tc>
          <w:tcPr>
            <w:tcW w:w="3886" w:type="dxa"/>
            <w:tcBorders/>
          </w:tcPr>
          <w:p>
            <w:pPr>
              <w:pStyle w:val="Normal"/>
              <w:tabs>
                <w:tab w:val="clear" w:pos="720"/>
                <w:tab w:val="left" w:pos="990" w:leader="none"/>
              </w:tabs>
              <w:spacing w:lineRule="exact" w:line="240" w:before="240" w:after="0"/>
              <w:jc w:val="both"/>
              <w:rPr>
                <w:sz w:val="22"/>
                <w:szCs w:val="22"/>
              </w:rPr>
            </w:pPr>
            <w:r>
              <w:rPr>
                <w:sz w:val="22"/>
                <w:szCs w:val="22"/>
              </w:rPr>
              <w:t>United States Internal Revenue Service Form W</w:t>
              <w:noBreakHyphen/>
              <w:t>9</w:t>
            </w:r>
          </w:p>
          <w:p>
            <w:pPr>
              <w:pStyle w:val="Justified"/>
              <w:keepNext w:val="true"/>
              <w:widowControl/>
              <w:spacing w:lineRule="atLeast" w:line="240" w:before="240" w:after="0"/>
              <w:rPr>
                <w:rFonts w:ascii="Times New Roman" w:hAnsi="Times New Roman" w:cs="Times New Roman"/>
                <w:sz w:val="22"/>
                <w:szCs w:val="22"/>
              </w:rPr>
            </w:pPr>
            <w:r>
              <w:rPr>
                <w:rFonts w:cs="Times New Roman" w:ascii="Times New Roman" w:hAnsi="Times New Roman"/>
                <w:sz w:val="22"/>
                <w:szCs w:val="22"/>
              </w:rPr>
            </w:r>
          </w:p>
        </w:tc>
        <w:tc>
          <w:tcPr>
            <w:tcW w:w="2228" w:type="dxa"/>
            <w:tcBorders/>
          </w:tcPr>
          <w:p>
            <w:pPr>
              <w:pStyle w:val="Normal"/>
              <w:keepNext w:val="true"/>
              <w:spacing w:lineRule="atLeast" w:line="240" w:before="240" w:after="0"/>
              <w:jc w:val="both"/>
              <w:rPr>
                <w:sz w:val="22"/>
                <w:szCs w:val="22"/>
              </w:rPr>
            </w:pPr>
            <w:r>
              <w:rPr>
                <w:sz w:val="22"/>
                <w:szCs w:val="22"/>
              </w:rPr>
              <w:t xml:space="preserve">At execution of this Master Agreement and as otherwise provided in this Part 3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 (or in the case of Party B, its certificate of organization or formation and operating agreement or other constituent documents)</w:t>
            </w:r>
          </w:p>
        </w:tc>
        <w:tc>
          <w:tcPr>
            <w:tcW w:w="2228"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 and Party B’s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 and Party B’s Credit Support Provider</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 and Party B’s Credit Support Provider</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 and Party B’s Credit Support Provider</w:t>
            </w:r>
          </w:p>
        </w:tc>
        <w:tc>
          <w:tcPr>
            <w:tcW w:w="1985" w:type="dxa"/>
            <w:tcBorders/>
          </w:tcPr>
          <w:p>
            <w:pPr>
              <w:pStyle w:val="Normal"/>
              <w:spacing w:lineRule="atLeast" w:line="240" w:before="240" w:after="0"/>
              <w:jc w:val="center"/>
              <w:rPr>
                <w:sz w:val="22"/>
                <w:szCs w:val="22"/>
              </w:rPr>
            </w:pPr>
            <w:r>
              <w:rPr>
                <w:sz w:val="22"/>
                <w:szCs w:val="22"/>
              </w:rPr>
              <w:t>Yes</w:t>
            </w:r>
          </w:p>
        </w:tc>
      </w:tr>
    </w:tbl>
    <w:p>
      <w:pPr>
        <w:pStyle w:val="Normal"/>
        <w:keepNext w:val="true"/>
        <w:spacing w:lineRule="exact" w:line="240" w:before="480" w:after="0"/>
        <w:jc w:val="both"/>
        <w:rPr>
          <w:b/>
          <w:bCs/>
          <w:sz w:val="22"/>
          <w:szCs w:val="22"/>
        </w:rPr>
      </w:pPr>
      <w:r>
        <w:rPr>
          <w:b/>
          <w:bCs/>
          <w:sz w:val="22"/>
          <w:szCs w:val="22"/>
        </w:rPr>
        <w:t>Part 4.  Miscellaneous.</w:t>
      </w:r>
    </w:p>
    <w:p>
      <w:pPr>
        <w:pStyle w:val="Normal"/>
        <w:keepNext w:val="true"/>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szCs w:val="22"/>
        </w:rPr>
      </w:pPr>
      <w:r>
        <w:rPr>
          <w:sz w:val="22"/>
          <w:szCs w:val="22"/>
        </w:rPr>
        <w:t>Address for notices or communications to Party A:</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Exelon Generation Company, LLC</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300 Exelon Way</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Kennett Square, Pennsylvania 19348</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(ii) any future Guaranty by Exelon Corp. in favor of Party A as beneficiary thereof substantially in the form attached hereto as </w:t>
      </w:r>
      <w:r>
        <w:rPr>
          <w:sz w:val="22"/>
          <w:szCs w:val="22"/>
          <w:u w:val="single"/>
        </w:rPr>
        <w:t>Exhibit B</w:t>
      </w:r>
      <w:r>
        <w:rPr>
          <w:sz w:val="22"/>
          <w:szCs w:val="22"/>
        </w:rPr>
        <w:t xml:space="preserve"> and (iii)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Texas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jc w:val="both"/>
        <w:rPr>
          <w:b/>
          <w:bCs/>
          <w:sz w:val="22"/>
          <w:szCs w:val="22"/>
        </w:rPr>
      </w:pPr>
      <w:r>
        <w:rPr>
          <w:b/>
          <w:bCs/>
          <w:sz w:val="22"/>
          <w:szCs w:val="22"/>
        </w:rPr>
      </w:r>
    </w:p>
    <w:p>
      <w:pPr>
        <w:pStyle w:val="Normal"/>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and (h):</w:t>
      </w:r>
    </w:p>
    <w:p>
      <w:pPr>
        <w:pStyle w:val="Normal"/>
        <w:spacing w:lineRule="exact" w:line="240" w:before="240" w:after="0"/>
        <w:ind w:firstLine="720" w:start="720" w:end="0"/>
        <w:jc w:val="both"/>
        <w:rPr/>
      </w:pPr>
      <w:r>
        <w:rPr>
          <w:sz w:val="22"/>
          <w:szCs w:val="22"/>
        </w:rPr>
        <w:t>(g)</w:t>
        <w:tab/>
      </w:r>
      <w:r>
        <w:rPr>
          <w:b/>
          <w:bCs/>
          <w:sz w:val="22"/>
          <w:szCs w:val="22"/>
        </w:rPr>
        <w:t>Eligibility.</w:t>
      </w:r>
      <w:r>
        <w:rPr>
          <w:sz w:val="22"/>
          <w:szCs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p>
    <w:p>
      <w:pPr>
        <w:pStyle w:val="Normal"/>
        <w:spacing w:lineRule="exact" w:line="240" w:before="240" w:after="0"/>
        <w:ind w:firstLine="720" w:start="720" w:end="0"/>
        <w:jc w:val="both"/>
        <w:rPr/>
      </w:pPr>
      <w:r>
        <w:rPr>
          <w:sz w:val="22"/>
          <w:szCs w:val="22"/>
        </w:rPr>
        <w:t>(h)</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szCs w:val="22"/>
        </w:rPr>
        <w:t>(c)</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(d)</w:t>
        <w:tab/>
      </w:r>
      <w:r>
        <w:rPr>
          <w:b/>
          <w:bCs/>
          <w:sz w:val="22"/>
          <w:szCs w:val="22"/>
        </w:rPr>
        <w:t>Definitions.</w:t>
      </w:r>
      <w:r>
        <w:rPr>
          <w:sz w:val="22"/>
          <w:szCs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(e)</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(f)</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(g)</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under any other agreement(s), instrument(s) or undertaking(s), any amounts Owed in Dollars or any other currency by Y to X or any of X’s Affiliates (irrespective of place of payment or booking office of the obligation) under this Agreement or under any other agreement(s), instrument(s) or undertaking(s).  The obligations of Y and X under this Agreement in respect of such amounts shall be deemed satisfied and discharged to the extent of any such setoff exercised by X and/or X’s Affiliates.  X will give Y notice of any setoff effected under this Section as soon as practicable after the setoff is effected provided that failure to give such notice shall not affect the validity of the setoff.  For purposes of this Section, “Owed” shall mean any amounts owed or otherwise accrued and payable (regardless of whether such amounts have been or could be invoiced) as of the Early Termination Date.</w:t>
      </w:r>
    </w:p>
    <w:p>
      <w:pPr>
        <w:pStyle w:val="Normal"/>
        <w:spacing w:lineRule="exact" w:line="240" w:before="240" w:after="0"/>
        <w:ind w:firstLine="720" w:end="0"/>
        <w:jc w:val="both"/>
        <w:rPr>
          <w:sz w:val="22"/>
          <w:szCs w:val="22"/>
        </w:rPr>
      </w:pPr>
      <w:r>
        <w:rPr>
          <w:sz w:val="22"/>
          <w:szCs w:val="22"/>
        </w:rPr>
        <w:t>Amounts subject to the setoff permitted in this Section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Section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any party is at any time otherwise entitled (whether by operation of law, contract or otherwise).  Each of the parties represents and acknowledges that the rights set forth in this Section are an integral part of this Agreement between the parties and that without such rights the parties would not be willing to enter into Transactions.  Each of the parties further acknowledges that it is executing this Agreement on behalf of itself as principal and, with respect to this Section, as agent on behalf of its Affiliates, which Affiliates shall receive the benefits of this Section and otherwise be bound as if such Affiliates had directly signed this Agreement as it relates to this Section.</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under any other agreement(s), instrument(s) or undertaking(s), which are Owed as of the Early Termination Date hereof have been fully and finally satisfied.</w:t>
      </w:r>
    </w:p>
    <w:p>
      <w:pPr>
        <w:pStyle w:val="Normal"/>
        <w:spacing w:lineRule="exact" w:line="240" w:before="240" w:after="0"/>
        <w:ind w:firstLine="720" w:end="0"/>
        <w:jc w:val="both"/>
        <w:rPr>
          <w:b/>
          <w:bCs/>
          <w:sz w:val="22"/>
          <w:szCs w:val="22"/>
        </w:rPr>
      </w:pPr>
      <w:r>
        <w:rPr>
          <w:b/>
          <w:bCs/>
          <w:sz w:val="22"/>
          <w:szCs w:val="22"/>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sz w:val="22"/>
          <w:szCs w:val="22"/>
        </w:rPr>
        <w:t>(i)</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keepNext w:val="true"/>
        <w:spacing w:lineRule="exact" w:line="240"/>
        <w:ind w:firstLine="630" w:end="0"/>
        <w:jc w:val="both"/>
        <w:rPr/>
      </w:pPr>
      <w:r>
        <w:rPr>
          <w:sz w:val="22"/>
          <w:szCs w:val="22"/>
        </w:rPr>
        <w:t>(j)</w:t>
        <w:tab/>
      </w:r>
      <w:r>
        <w:rPr>
          <w:b/>
          <w:bCs/>
          <w:sz w:val="22"/>
          <w:szCs w:val="22"/>
        </w:rPr>
        <w:t>Transfer.</w:t>
      </w:r>
      <w:r>
        <w:rPr>
          <w:sz w:val="22"/>
          <w:szCs w:val="22"/>
        </w:rPr>
        <w:t xml:space="preserve">  Section 7 is hereby amended by adding the following Subsection (c):</w:t>
      </w:r>
    </w:p>
    <w:p>
      <w:pPr>
        <w:pStyle w:val="Normal"/>
        <w:keepNext w:val="true"/>
        <w:spacing w:lineRule="exact" w:line="240"/>
        <w:ind w:firstLine="630" w:end="0"/>
        <w:jc w:val="both"/>
        <w:rPr>
          <w:sz w:val="22"/>
          <w:szCs w:val="22"/>
        </w:rPr>
      </w:pPr>
      <w:r>
        <w:rPr>
          <w:sz w:val="22"/>
          <w:szCs w:val="22"/>
        </w:rPr>
      </w:r>
    </w:p>
    <w:p>
      <w:pPr>
        <w:pStyle w:val="Normal"/>
        <w:keepNext w:val="true"/>
        <w:spacing w:lineRule="exact" w:line="240"/>
        <w:ind w:firstLine="720" w:start="720" w:end="0"/>
        <w:jc w:val="both"/>
        <w:rPr>
          <w:sz w:val="22"/>
          <w:szCs w:val="22"/>
        </w:rPr>
      </w:pPr>
      <w:r>
        <w:rPr>
          <w:sz w:val="22"/>
          <w:szCs w:val="22"/>
        </w:rPr>
        <w:t>“</w:t>
      </w:r>
      <w:r>
        <w:rPr>
          <w:sz w:val="22"/>
          <w:szCs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spacing w:lineRule="exact" w:line="240"/>
        <w:ind w:firstLine="630" w:end="0"/>
        <w:jc w:val="both"/>
        <w:rPr>
          <w:sz w:val="22"/>
          <w:szCs w:val="22"/>
        </w:rPr>
      </w:pPr>
      <w:r>
        <w:rPr>
          <w:sz w:val="22"/>
          <w:szCs w:val="22"/>
        </w:rPr>
      </w:r>
    </w:p>
    <w:p>
      <w:pPr>
        <w:pStyle w:val="Normal"/>
        <w:spacing w:lineRule="exact" w:line="240" w:before="240" w:after="0"/>
        <w:ind w:firstLine="720" w:end="0"/>
        <w:jc w:val="both"/>
        <w:rPr/>
      </w:pPr>
      <w:r>
        <w:rPr>
          <w:sz w:val="22"/>
          <w:szCs w:val="22"/>
        </w:rPr>
        <w:t>(k)</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(l)</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(m)</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 </w:t>
      </w:r>
    </w:p>
    <w:p>
      <w:pPr>
        <w:pStyle w:val="Normal"/>
        <w:spacing w:lineRule="exact" w:line="240" w:before="240" w:after="0"/>
        <w:ind w:firstLine="720" w:end="0"/>
        <w:jc w:val="both"/>
        <w:rPr/>
      </w:pPr>
      <w:r>
        <w:rPr>
          <w:sz w:val="22"/>
          <w:szCs w:val="22"/>
        </w:rPr>
        <w:t xml:space="preserve">(n) </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w:t>
      </w:r>
      <w:r>
        <w:rPr>
          <w:sz w:val="22"/>
          <w:szCs w:val="22"/>
          <w:u w:val="single"/>
        </w:rPr>
        <w:t>provided that</w:t>
      </w:r>
      <w:r>
        <w:rPr>
          <w:sz w:val="22"/>
          <w:szCs w:val="22"/>
        </w:rPr>
        <w:t xml:space="preserve">,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w:t>
      </w:r>
    </w:p>
    <w:p>
      <w:pPr>
        <w:pStyle w:val="Normal"/>
        <w:spacing w:lineRule="exact" w:line="240" w:before="24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pPr>
      <w:r>
        <w:rPr>
          <w:sz w:val="22"/>
          <w:szCs w:val="22"/>
        </w:rPr>
        <w:t>(iv)</w:t>
        <w:tab/>
        <w:t xml:space="preserve">“Fallback Reference Dealers”; </w:t>
      </w:r>
      <w:r>
        <w:rPr>
          <w:sz w:val="22"/>
          <w:szCs w:val="22"/>
          <w:u w:val="single"/>
        </w:rPr>
        <w:t>provided however</w:t>
      </w:r>
      <w:r>
        <w:rPr>
          <w:sz w:val="22"/>
          <w:szCs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Justified"/>
        <w:widowControl/>
        <w:spacing w:before="0" w:after="0"/>
        <w:rPr>
          <w:rFonts w:ascii="Times New Roman" w:hAnsi="Times New Roman" w:cs="Times New Roman"/>
          <w:sz w:val="22"/>
          <w:szCs w:val="22"/>
        </w:rPr>
      </w:pPr>
      <w:r>
        <w:rPr>
          <w:rFonts w:cs="Times New Roman" w:ascii="Times New Roman" w:hAnsi="Times New Roman"/>
          <w:sz w:val="22"/>
          <w:szCs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sz w:val="22"/>
                <w:szCs w:val="22"/>
              </w:rPr>
            </w:pPr>
            <w:r>
              <w:rPr>
                <w:b/>
                <w:bCs/>
                <w:sz w:val="22"/>
                <w:szCs w:val="22"/>
              </w:rPr>
              <w:t>ENRON NORTH AMERICA CORP.</w:t>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sz w:val="22"/>
                <w:szCs w:val="22"/>
              </w:rPr>
            </w:pPr>
            <w:r>
              <w:rPr>
                <w:b/>
                <w:bCs/>
                <w:sz w:val="22"/>
                <w:szCs w:val="22"/>
              </w:rPr>
              <w:t>EXELON GENERATION COMPANY, LLC</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t>EXHIBIT B</w:t>
        <w:tab/>
        <w:t>FORM OF GUARANTY (PARTY B)</w:t>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2001</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EXELON GENERATION COMPANY, LLC, a limited liability company organized under the law of the State of ________ (“Party B”)</w:t>
            </w:r>
          </w:p>
          <w:p>
            <w:pPr>
              <w:pStyle w:val="Normal"/>
              <w:tabs>
                <w:tab w:val="clear" w:pos="720"/>
                <w:tab w:val="center" w:pos="5760" w:leader="none"/>
              </w:tabs>
              <w:spacing w:before="240" w:after="0"/>
              <w:jc w:val="center"/>
              <w:rPr>
                <w:b/>
                <w:bCs/>
                <w:sz w:val="22"/>
                <w:szCs w:val="22"/>
              </w:rPr>
            </w:pPr>
            <w:r>
              <w:rPr>
                <w:b/>
                <w:bCs/>
                <w:sz w:val="22"/>
                <w:szCs w:val="22"/>
              </w:rPr>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will mean the higher of (i) the amount calculated as provided in the definition of that term in Paragraph 3 and (ii) the sum of the Pledgor’s Independent Amounts; </w:t>
      </w:r>
      <w:r>
        <w:rPr>
          <w:sz w:val="22"/>
          <w:szCs w:val="22"/>
          <w:u w:val="single"/>
        </w:rPr>
        <w:t>provided</w:t>
      </w:r>
      <w:r>
        <w:rPr>
          <w:sz w:val="22"/>
          <w:szCs w:val="22"/>
        </w:rPr>
        <w:t xml:space="preserve">, </w:t>
      </w:r>
      <w:r>
        <w:rPr>
          <w:sz w:val="22"/>
          <w:szCs w:val="22"/>
          <w:u w:val="single"/>
        </w:rPr>
        <w:t>that</w:t>
      </w:r>
      <w:r>
        <w:rPr>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sz w:val="22"/>
          <w:szCs w:val="22"/>
        </w:rPr>
      </w:pPr>
      <w:r>
        <w:rPr>
          <w:b/>
          <w:bCs/>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Justified"/>
              <w:widowControl/>
              <w:spacing w:before="0" w:after="0"/>
              <w:rPr>
                <w:rFonts w:ascii="Times New Roman" w:hAnsi="Times New Roman" w:cs="Times New Roman"/>
              </w:rPr>
            </w:pPr>
            <w:r>
              <w:rPr>
                <w:rFonts w:cs="Times New Roman" w:ascii="Times New Roman" w:hAnsi="Times New Roman"/>
              </w:rPr>
              <w:t>(C)</w:t>
            </w:r>
          </w:p>
        </w:tc>
        <w:tc>
          <w:tcPr>
            <w:tcW w:w="2880" w:type="dxa"/>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keepNext w:val="true"/>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keepNext w:val="true"/>
        <w:ind w:start="1440" w:end="0"/>
        <w:jc w:val="both"/>
        <w:rPr>
          <w:b/>
          <w:bCs/>
          <w:sz w:val="22"/>
          <w:szCs w:val="22"/>
        </w:rPr>
      </w:pPr>
      <w:r>
        <w:rPr>
          <w:b/>
          <w:bCs/>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bCs/>
                <w:sz w:val="22"/>
                <w:szCs w:val="22"/>
              </w:rPr>
            </w:pPr>
            <w:r>
              <w:rPr>
                <w:rFonts w:cs="Times New Roman"/>
                <w:b/>
                <w:bCs/>
                <w:sz w:val="22"/>
                <w:szCs w:val="22"/>
              </w:rPr>
            </w:r>
          </w:p>
          <w:p>
            <w:pPr>
              <w:pStyle w:val="Normal"/>
              <w:keepNext w:val="true"/>
              <w:keepLines/>
              <w:jc w:val="center"/>
              <w:rPr>
                <w:b/>
                <w:bCs/>
                <w:sz w:val="22"/>
                <w:szCs w:val="22"/>
              </w:rPr>
            </w:pPr>
            <w:r>
              <w:rPr>
                <w:b/>
                <w:bCs/>
                <w:sz w:val="22"/>
                <w:szCs w:val="22"/>
              </w:rPr>
              <w:t>Party A</w:t>
            </w:r>
          </w:p>
          <w:p>
            <w:pPr>
              <w:pStyle w:val="Normal"/>
              <w:keepNext w:val="true"/>
              <w:keepLines/>
              <w:jc w:val="center"/>
              <w:rPr>
                <w:b/>
                <w:bCs/>
                <w:sz w:val="22"/>
                <w:szCs w:val="22"/>
              </w:rPr>
            </w:pPr>
            <w:r>
              <w:rPr>
                <w:b/>
                <w:bCs/>
                <w:sz w:val="22"/>
                <w:szCs w:val="22"/>
              </w:rPr>
            </w:r>
          </w:p>
        </w:tc>
        <w:tc>
          <w:tcPr>
            <w:tcW w:w="1644"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c>
          <w:tcPr>
            <w:tcW w:w="3757"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1800" w:type="dxa"/>
            <w:tcBorders/>
          </w:tcPr>
          <w:p>
            <w:pPr>
              <w:pStyle w:val="Normal"/>
              <w:keepNext w:val="true"/>
              <w:keepLines/>
              <w:jc w:val="both"/>
              <w:rPr>
                <w:sz w:val="22"/>
                <w:szCs w:val="22"/>
              </w:rPr>
            </w:pPr>
            <w:r>
              <w:rPr>
                <w:sz w:val="22"/>
                <w:szCs w:val="22"/>
              </w:rPr>
              <w:t>Letters of Credit</w:t>
            </w:r>
          </w:p>
        </w:tc>
        <w:tc>
          <w:tcPr>
            <w:tcW w:w="1440" w:type="dxa"/>
            <w:tcBorders/>
          </w:tcPr>
          <w:p>
            <w:pPr>
              <w:pStyle w:val="Normal"/>
              <w:keepNext w:val="true"/>
              <w:keepLines/>
              <w:jc w:val="center"/>
              <w:rPr>
                <w:sz w:val="22"/>
                <w:szCs w:val="22"/>
              </w:rPr>
            </w:pPr>
            <w:r>
              <w:rPr>
                <w:sz w:val="22"/>
                <w:szCs w:val="22"/>
              </w:rPr>
              <w:t>[X]</w:t>
            </w:r>
          </w:p>
        </w:tc>
        <w:tc>
          <w:tcPr>
            <w:tcW w:w="1644" w:type="dxa"/>
            <w:tcBorders/>
          </w:tcPr>
          <w:p>
            <w:pPr>
              <w:pStyle w:val="Normal"/>
              <w:keepNext w:val="true"/>
              <w:keepLines/>
              <w:jc w:val="center"/>
              <w:rPr>
                <w:sz w:val="22"/>
                <w:szCs w:val="22"/>
              </w:rPr>
            </w:pPr>
            <w:r>
              <w:rPr>
                <w:sz w:val="22"/>
                <w:szCs w:val="22"/>
              </w:rPr>
              <w:t>[X]</w:t>
            </w:r>
          </w:p>
        </w:tc>
        <w:tc>
          <w:tcPr>
            <w:tcW w:w="3757" w:type="dxa"/>
            <w:tcBorders/>
          </w:tcPr>
          <w:p>
            <w:pPr>
              <w:pStyle w:val="Normal"/>
              <w:keepNext w:val="true"/>
              <w:keepLines/>
              <w:rPr>
                <w:sz w:val="22"/>
                <w:szCs w:val="22"/>
              </w:rPr>
            </w:pPr>
            <w:r>
              <w:rPr>
                <w:sz w:val="22"/>
                <w:szCs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keepNext w:val="true"/>
        <w:ind w:start="1440" w:end="0"/>
        <w:jc w:val="both"/>
        <w:rPr>
          <w:sz w:val="22"/>
          <w:szCs w:val="22"/>
        </w:rPr>
      </w:pPr>
      <w:r>
        <w:rPr>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ind w:start="720" w:end="0"/>
        <w:jc w:val="both"/>
        <w:rPr/>
      </w:pPr>
      <w:r>
        <w:rPr>
          <w:sz w:val="22"/>
          <w:szCs w:val="22"/>
        </w:rPr>
        <w:t xml:space="preserve">(A)  </w:t>
      </w:r>
      <w:r>
        <w:rPr>
          <w:b/>
          <w:bCs/>
          <w:sz w:val="22"/>
          <w:szCs w:val="22"/>
        </w:rPr>
        <w:t>“Independent Amount”</w:t>
      </w:r>
      <w:r>
        <w:rPr>
          <w:sz w:val="22"/>
          <w:szCs w:val="22"/>
        </w:rPr>
        <w:t xml:space="preserve"> means with respect to a party, the amount specified as such for that party in each Confirmation, or if no amount is specified, zero.</w:t>
      </w:r>
    </w:p>
    <w:p>
      <w:pPr>
        <w:pStyle w:val="Normal"/>
        <w:ind w:start="720" w:end="0"/>
        <w:jc w:val="both"/>
        <w:rPr>
          <w:sz w:val="22"/>
          <w:szCs w:val="22"/>
        </w:rPr>
      </w:pPr>
      <w:r>
        <w:rPr>
          <w:sz w:val="22"/>
          <w:szCs w:val="22"/>
        </w:rPr>
      </w:r>
    </w:p>
    <w:p>
      <w:pPr>
        <w:pStyle w:val="Normal"/>
        <w:keepNext w:val="true"/>
        <w:ind w:start="720" w:end="0"/>
        <w:jc w:val="both"/>
        <w:rPr/>
      </w:pPr>
      <w:r>
        <w:rPr>
          <w:sz w:val="22"/>
          <w:szCs w:val="22"/>
        </w:rPr>
        <w:t xml:space="preserve">(B)  </w:t>
      </w:r>
      <w:r>
        <w:rPr>
          <w:b/>
          <w:bCs/>
          <w:sz w:val="22"/>
          <w:szCs w:val="22"/>
        </w:rPr>
        <w:t>“Threshold”</w:t>
      </w:r>
      <w:r>
        <w:rPr>
          <w:sz w:val="22"/>
          <w:szCs w:val="22"/>
        </w:rPr>
        <w:t xml:space="preserve"> means, with respect to a party (a) the amount set forth opposite the lowest Credit Rating for Party B, and in the case of Party A, Enron Corp. on the relevant date of determination; or (b) zero if on the relevant date of determination (i) the entity referred to in clause (a) above does not have a Credit Rating from either S&amp;P or Moody's, or (ii) an Event of Default or Potential Event of Default with respect to such party has occurred and is continuing, or (iii) with respect to Party B, a Material Adverse Change has occurred and is continuing:</w:t>
      </w:r>
    </w:p>
    <w:p>
      <w:pPr>
        <w:pStyle w:val="Normal"/>
        <w:keepNext w:val="true"/>
        <w:ind w:hanging="720" w:start="720" w:end="0"/>
        <w:jc w:val="both"/>
        <w:rPr>
          <w:sz w:val="22"/>
          <w:szCs w:val="22"/>
        </w:rPr>
      </w:pPr>
      <w:r>
        <w:rPr>
          <w:sz w:val="22"/>
          <w:szCs w:val="22"/>
        </w:rPr>
      </w:r>
    </w:p>
    <w:tbl>
      <w:tblPr>
        <w:tblW w:w="9859" w:type="dxa"/>
        <w:jc w:val="start"/>
        <w:tblInd w:w="720" w:type="dxa"/>
        <w:tblLayout w:type="fixed"/>
        <w:tblCellMar>
          <w:top w:w="0" w:type="dxa"/>
          <w:start w:w="108" w:type="dxa"/>
          <w:bottom w:w="0" w:type="dxa"/>
          <w:end w:w="108" w:type="dxa"/>
        </w:tblCellMar>
      </w:tblPr>
      <w:tblGrid>
        <w:gridCol w:w="2520"/>
        <w:gridCol w:w="2381"/>
        <w:gridCol w:w="2479"/>
        <w:gridCol w:w="2479"/>
      </w:tblGrid>
      <w:tr>
        <w:trPr/>
        <w:tc>
          <w:tcPr>
            <w:tcW w:w="2520" w:type="dxa"/>
            <w:tcBorders/>
          </w:tcPr>
          <w:p>
            <w:pPr>
              <w:pStyle w:val="Normal"/>
              <w:keepNext w:val="true"/>
              <w:rPr>
                <w:sz w:val="22"/>
                <w:szCs w:val="22"/>
              </w:rPr>
            </w:pPr>
            <w:r>
              <w:rPr>
                <w:b/>
                <w:bCs/>
                <w:sz w:val="22"/>
                <w:szCs w:val="22"/>
                <w:u w:val="single"/>
              </w:rPr>
              <w:t>PARTY A THRESHOLD</w:t>
            </w:r>
          </w:p>
        </w:tc>
        <w:tc>
          <w:tcPr>
            <w:tcW w:w="2381" w:type="dxa"/>
            <w:tcBorders/>
          </w:tcPr>
          <w:p>
            <w:pPr>
              <w:pStyle w:val="BodyTextIndent2"/>
              <w:keepNext w:val="true"/>
              <w:ind w:hanging="0" w:end="0"/>
              <w:jc w:val="start"/>
              <w:rPr>
                <w:b/>
                <w:bCs/>
                <w:u w:val="single"/>
              </w:rPr>
            </w:pPr>
            <w:r>
              <w:rPr>
                <w:b/>
                <w:bCs/>
                <w:u w:val="single"/>
              </w:rPr>
              <w:t>S&amp;P CREDIT RATING</w:t>
            </w:r>
          </w:p>
          <w:p>
            <w:pPr>
              <w:pStyle w:val="Normal"/>
              <w:keepNext w:val="true"/>
              <w:ind w:start="-18" w:end="0"/>
              <w:rPr>
                <w:b/>
                <w:bCs/>
                <w:sz w:val="22"/>
                <w:szCs w:val="22"/>
                <w:u w:val="single"/>
              </w:rPr>
            </w:pPr>
            <w:r>
              <w:rPr>
                <w:b/>
                <w:bCs/>
                <w:sz w:val="22"/>
                <w:szCs w:val="22"/>
                <w:u w:val="single"/>
              </w:rPr>
            </w:r>
          </w:p>
        </w:tc>
        <w:tc>
          <w:tcPr>
            <w:tcW w:w="2479" w:type="dxa"/>
            <w:tcBorders/>
          </w:tcPr>
          <w:p>
            <w:pPr>
              <w:pStyle w:val="Normal"/>
              <w:keepNext w:val="true"/>
              <w:rPr>
                <w:b/>
                <w:bCs/>
                <w:sz w:val="22"/>
                <w:szCs w:val="22"/>
                <w:u w:val="single"/>
              </w:rPr>
            </w:pPr>
            <w:r>
              <w:rPr>
                <w:b/>
                <w:bCs/>
                <w:sz w:val="22"/>
                <w:szCs w:val="22"/>
                <w:u w:val="single"/>
              </w:rPr>
              <w:t>MOODY'S CREDIT RATING</w:t>
            </w:r>
          </w:p>
          <w:p>
            <w:pPr>
              <w:pStyle w:val="Normal"/>
              <w:keepNext w:val="true"/>
              <w:rPr>
                <w:b/>
                <w:bCs/>
                <w:sz w:val="22"/>
                <w:szCs w:val="22"/>
                <w:u w:val="single"/>
              </w:rPr>
            </w:pPr>
            <w:r>
              <w:rPr>
                <w:b/>
                <w:bCs/>
                <w:sz w:val="22"/>
                <w:szCs w:val="22"/>
                <w:u w:val="single"/>
              </w:rPr>
            </w:r>
          </w:p>
        </w:tc>
        <w:tc>
          <w:tcPr>
            <w:tcW w:w="2479" w:type="dxa"/>
            <w:tcBorders/>
          </w:tcPr>
          <w:p>
            <w:pPr>
              <w:pStyle w:val="Normal"/>
              <w:keepNext w:val="true"/>
              <w:rPr>
                <w:sz w:val="22"/>
                <w:szCs w:val="22"/>
              </w:rPr>
            </w:pPr>
            <w:r>
              <w:rPr>
                <w:b/>
                <w:bCs/>
                <w:sz w:val="22"/>
                <w:szCs w:val="22"/>
                <w:u w:val="single"/>
              </w:rPr>
              <w:t>PARTY B THRESHOLD</w:t>
            </w:r>
          </w:p>
        </w:tc>
      </w:tr>
      <w:tr>
        <w:trPr/>
        <w:tc>
          <w:tcPr>
            <w:tcW w:w="2520" w:type="dxa"/>
            <w:tcBorders/>
          </w:tcPr>
          <w:p>
            <w:pPr>
              <w:pStyle w:val="Normal"/>
              <w:keepNext w:val="true"/>
              <w:rPr>
                <w:sz w:val="22"/>
                <w:szCs w:val="22"/>
              </w:rPr>
            </w:pPr>
            <w:r>
              <w:rPr>
                <w:sz w:val="22"/>
                <w:szCs w:val="22"/>
              </w:rPr>
              <w:t>U.S. $ 60,000,000</w:t>
            </w:r>
          </w:p>
        </w:tc>
        <w:tc>
          <w:tcPr>
            <w:tcW w:w="2381" w:type="dxa"/>
            <w:tcBorders/>
          </w:tcPr>
          <w:p>
            <w:pPr>
              <w:pStyle w:val="Normal"/>
              <w:keepNext w:val="true"/>
              <w:ind w:start="-18" w:end="0"/>
              <w:rPr>
                <w:sz w:val="22"/>
                <w:szCs w:val="22"/>
              </w:rPr>
            </w:pPr>
            <w:r>
              <w:rPr>
                <w:sz w:val="22"/>
                <w:szCs w:val="22"/>
              </w:rPr>
              <w:t>A- (or above)</w:t>
            </w:r>
          </w:p>
        </w:tc>
        <w:tc>
          <w:tcPr>
            <w:tcW w:w="2479" w:type="dxa"/>
            <w:tcBorders/>
          </w:tcPr>
          <w:p>
            <w:pPr>
              <w:pStyle w:val="Normal"/>
              <w:keepNext w:val="true"/>
              <w:rPr>
                <w:sz w:val="22"/>
                <w:szCs w:val="22"/>
              </w:rPr>
            </w:pPr>
            <w:r>
              <w:rPr>
                <w:sz w:val="22"/>
                <w:szCs w:val="22"/>
              </w:rPr>
              <w:t>A3 (or above)</w:t>
            </w:r>
          </w:p>
        </w:tc>
        <w:tc>
          <w:tcPr>
            <w:tcW w:w="2479" w:type="dxa"/>
            <w:tcBorders/>
          </w:tcPr>
          <w:p>
            <w:pPr>
              <w:pStyle w:val="Normal"/>
              <w:keepNext w:val="true"/>
              <w:rPr>
                <w:sz w:val="22"/>
                <w:szCs w:val="22"/>
              </w:rPr>
            </w:pPr>
            <w:r>
              <w:rPr>
                <w:sz w:val="22"/>
                <w:szCs w:val="22"/>
              </w:rPr>
              <w:t>U.S. $ 20,000,000</w:t>
            </w:r>
          </w:p>
        </w:tc>
      </w:tr>
      <w:tr>
        <w:trPr/>
        <w:tc>
          <w:tcPr>
            <w:tcW w:w="2520" w:type="dxa"/>
            <w:tcBorders/>
          </w:tcPr>
          <w:p>
            <w:pPr>
              <w:pStyle w:val="Normal"/>
              <w:keepNext w:val="true"/>
              <w:rPr>
                <w:sz w:val="22"/>
                <w:szCs w:val="22"/>
              </w:rPr>
            </w:pPr>
            <w:r>
              <w:rPr>
                <w:sz w:val="22"/>
                <w:szCs w:val="22"/>
              </w:rPr>
              <w:t>U.S. $ 50,000,000</w:t>
            </w:r>
          </w:p>
        </w:tc>
        <w:tc>
          <w:tcPr>
            <w:tcW w:w="2381" w:type="dxa"/>
            <w:tcBorders/>
          </w:tcPr>
          <w:p>
            <w:pPr>
              <w:pStyle w:val="Normal"/>
              <w:keepNext w:val="true"/>
              <w:ind w:start="-18" w:end="0"/>
              <w:rPr>
                <w:sz w:val="22"/>
                <w:szCs w:val="22"/>
              </w:rPr>
            </w:pPr>
            <w:r>
              <w:rPr>
                <w:sz w:val="22"/>
                <w:szCs w:val="22"/>
              </w:rPr>
              <w:t>BBB+</w:t>
            </w:r>
          </w:p>
        </w:tc>
        <w:tc>
          <w:tcPr>
            <w:tcW w:w="2479" w:type="dxa"/>
            <w:tcBorders/>
          </w:tcPr>
          <w:p>
            <w:pPr>
              <w:pStyle w:val="Normal"/>
              <w:keepNext w:val="true"/>
              <w:rPr>
                <w:sz w:val="22"/>
                <w:szCs w:val="22"/>
              </w:rPr>
            </w:pPr>
            <w:r>
              <w:rPr>
                <w:sz w:val="22"/>
                <w:szCs w:val="22"/>
              </w:rPr>
              <w:t>Baa1</w:t>
            </w:r>
          </w:p>
        </w:tc>
        <w:tc>
          <w:tcPr>
            <w:tcW w:w="2479" w:type="dxa"/>
            <w:tcBorders/>
          </w:tcPr>
          <w:p>
            <w:pPr>
              <w:pStyle w:val="Normal"/>
              <w:keepNext w:val="true"/>
              <w:rPr>
                <w:sz w:val="22"/>
                <w:szCs w:val="22"/>
              </w:rPr>
            </w:pPr>
            <w:r>
              <w:rPr>
                <w:sz w:val="22"/>
                <w:szCs w:val="22"/>
              </w:rPr>
              <w:t>U.S. $ 15,000,000</w:t>
            </w:r>
          </w:p>
        </w:tc>
      </w:tr>
      <w:tr>
        <w:trPr/>
        <w:tc>
          <w:tcPr>
            <w:tcW w:w="2520" w:type="dxa"/>
            <w:tcBorders/>
          </w:tcPr>
          <w:p>
            <w:pPr>
              <w:pStyle w:val="Normal"/>
              <w:keepNext w:val="true"/>
              <w:rPr>
                <w:sz w:val="22"/>
                <w:szCs w:val="22"/>
              </w:rPr>
            </w:pPr>
            <w:r>
              <w:rPr>
                <w:sz w:val="22"/>
                <w:szCs w:val="22"/>
              </w:rPr>
              <w:t>U.S. $ 40,000,000</w:t>
            </w:r>
          </w:p>
        </w:tc>
        <w:tc>
          <w:tcPr>
            <w:tcW w:w="2381" w:type="dxa"/>
            <w:tcBorders/>
          </w:tcPr>
          <w:p>
            <w:pPr>
              <w:pStyle w:val="Normal"/>
              <w:keepNext w:val="true"/>
              <w:ind w:start="-18" w:end="0"/>
              <w:rPr>
                <w:sz w:val="22"/>
                <w:szCs w:val="22"/>
              </w:rPr>
            </w:pPr>
            <w:r>
              <w:rPr>
                <w:sz w:val="22"/>
                <w:szCs w:val="22"/>
              </w:rPr>
              <w:t>BBB</w:t>
            </w:r>
          </w:p>
        </w:tc>
        <w:tc>
          <w:tcPr>
            <w:tcW w:w="2479" w:type="dxa"/>
            <w:tcBorders/>
          </w:tcPr>
          <w:p>
            <w:pPr>
              <w:pStyle w:val="Normal"/>
              <w:keepNext w:val="true"/>
              <w:rPr>
                <w:sz w:val="22"/>
                <w:szCs w:val="22"/>
              </w:rPr>
            </w:pPr>
            <w:r>
              <w:rPr>
                <w:sz w:val="22"/>
                <w:szCs w:val="22"/>
              </w:rPr>
              <w:t>Baa2</w:t>
            </w:r>
          </w:p>
        </w:tc>
        <w:tc>
          <w:tcPr>
            <w:tcW w:w="2479" w:type="dxa"/>
            <w:tcBorders/>
          </w:tcPr>
          <w:p>
            <w:pPr>
              <w:pStyle w:val="Normal"/>
              <w:keepNext w:val="true"/>
              <w:rPr>
                <w:sz w:val="22"/>
                <w:szCs w:val="22"/>
              </w:rPr>
            </w:pPr>
            <w:r>
              <w:rPr>
                <w:sz w:val="22"/>
                <w:szCs w:val="22"/>
              </w:rPr>
              <w:t>U.S. $ 10,000,000</w:t>
            </w:r>
          </w:p>
        </w:tc>
      </w:tr>
      <w:tr>
        <w:trPr/>
        <w:tc>
          <w:tcPr>
            <w:tcW w:w="2520" w:type="dxa"/>
            <w:tcBorders/>
          </w:tcPr>
          <w:p>
            <w:pPr>
              <w:pStyle w:val="Normal"/>
              <w:keepNext w:val="true"/>
              <w:rPr>
                <w:sz w:val="22"/>
                <w:szCs w:val="22"/>
              </w:rPr>
            </w:pPr>
            <w:r>
              <w:rPr>
                <w:sz w:val="22"/>
                <w:szCs w:val="22"/>
              </w:rPr>
              <w:t>U.S. $ 30,000,000</w:t>
            </w:r>
          </w:p>
        </w:tc>
        <w:tc>
          <w:tcPr>
            <w:tcW w:w="2381" w:type="dxa"/>
            <w:tcBorders/>
          </w:tcPr>
          <w:p>
            <w:pPr>
              <w:pStyle w:val="Normal"/>
              <w:keepNext w:val="true"/>
              <w:ind w:start="-18" w:end="0"/>
              <w:rPr>
                <w:sz w:val="22"/>
                <w:szCs w:val="22"/>
              </w:rPr>
            </w:pPr>
            <w:r>
              <w:rPr>
                <w:sz w:val="22"/>
                <w:szCs w:val="22"/>
              </w:rPr>
              <w:t>BBB-</w:t>
            </w:r>
          </w:p>
        </w:tc>
        <w:tc>
          <w:tcPr>
            <w:tcW w:w="2479" w:type="dxa"/>
            <w:tcBorders/>
          </w:tcPr>
          <w:p>
            <w:pPr>
              <w:pStyle w:val="Normal"/>
              <w:keepNext w:val="true"/>
              <w:rPr>
                <w:sz w:val="22"/>
                <w:szCs w:val="22"/>
              </w:rPr>
            </w:pPr>
            <w:r>
              <w:rPr>
                <w:sz w:val="22"/>
                <w:szCs w:val="22"/>
              </w:rPr>
              <w:t>Baa3</w:t>
            </w:r>
          </w:p>
        </w:tc>
        <w:tc>
          <w:tcPr>
            <w:tcW w:w="2479" w:type="dxa"/>
            <w:tcBorders/>
          </w:tcPr>
          <w:p>
            <w:pPr>
              <w:pStyle w:val="Normal"/>
              <w:keepNext w:val="true"/>
              <w:rPr>
                <w:sz w:val="22"/>
                <w:szCs w:val="22"/>
              </w:rPr>
            </w:pPr>
            <w:r>
              <w:rPr>
                <w:sz w:val="22"/>
                <w:szCs w:val="22"/>
              </w:rPr>
              <w:t>U.S. $   5,000,000</w:t>
            </w:r>
          </w:p>
        </w:tc>
      </w:tr>
      <w:tr>
        <w:trPr/>
        <w:tc>
          <w:tcPr>
            <w:tcW w:w="2520" w:type="dxa"/>
            <w:tcBorders/>
          </w:tcPr>
          <w:p>
            <w:pPr>
              <w:pStyle w:val="Normal"/>
              <w:keepNext w:val="true"/>
              <w:rPr>
                <w:sz w:val="22"/>
                <w:szCs w:val="22"/>
              </w:rPr>
            </w:pPr>
            <w:r>
              <w:rPr>
                <w:sz w:val="22"/>
                <w:szCs w:val="22"/>
              </w:rPr>
              <w:t>U.S. $ 0</w:t>
            </w:r>
          </w:p>
        </w:tc>
        <w:tc>
          <w:tcPr>
            <w:tcW w:w="2381" w:type="dxa"/>
            <w:tcBorders/>
          </w:tcPr>
          <w:p>
            <w:pPr>
              <w:pStyle w:val="Normal"/>
              <w:keepNext w:val="true"/>
              <w:ind w:start="-18" w:end="0"/>
              <w:rPr>
                <w:sz w:val="22"/>
                <w:szCs w:val="22"/>
              </w:rPr>
            </w:pPr>
            <w:r>
              <w:rPr>
                <w:sz w:val="22"/>
                <w:szCs w:val="22"/>
              </w:rPr>
              <w:t>Below BBB-</w:t>
            </w:r>
          </w:p>
        </w:tc>
        <w:tc>
          <w:tcPr>
            <w:tcW w:w="2479" w:type="dxa"/>
            <w:tcBorders/>
          </w:tcPr>
          <w:p>
            <w:pPr>
              <w:pStyle w:val="Normal"/>
              <w:keepNext w:val="true"/>
              <w:rPr>
                <w:sz w:val="22"/>
                <w:szCs w:val="22"/>
              </w:rPr>
            </w:pPr>
            <w:r>
              <w:rPr>
                <w:sz w:val="22"/>
                <w:szCs w:val="22"/>
              </w:rPr>
              <w:t>Below Baa3</w:t>
            </w:r>
          </w:p>
        </w:tc>
        <w:tc>
          <w:tcPr>
            <w:tcW w:w="2479" w:type="dxa"/>
            <w:tcBorders/>
          </w:tcPr>
          <w:p>
            <w:pPr>
              <w:pStyle w:val="Normal"/>
              <w:keepNext w:val="true"/>
              <w:rPr>
                <w:sz w:val="22"/>
                <w:szCs w:val="22"/>
              </w:rPr>
            </w:pPr>
            <w:r>
              <w:rPr>
                <w:sz w:val="22"/>
                <w:szCs w:val="22"/>
              </w:rPr>
              <w:t>U.S. $ 0</w:t>
            </w:r>
          </w:p>
        </w:tc>
      </w:tr>
    </w:tbl>
    <w:p>
      <w:pPr>
        <w:pStyle w:val="Normal"/>
        <w:keepNext w:val="true"/>
        <w:ind w:hanging="720" w:start="2160" w:end="0"/>
        <w:jc w:val="both"/>
        <w:rPr>
          <w:sz w:val="22"/>
          <w:szCs w:val="22"/>
        </w:rPr>
      </w:pPr>
      <w:r>
        <w:rPr>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$250,000 and the Return Amount will be rounded down to the nearest integral multiple of U.S. $250,000.</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r>
              <w:rPr>
                <w:rStyle w:val="FootnoteCharacters"/>
                <w:sz w:val="22"/>
                <w:szCs w:val="22"/>
              </w:rPr>
              <w:t xml:space="preserve"> </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None</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4"/>
        </w:numPr>
        <w:jc w:val="both"/>
        <w:rPr>
          <w:sz w:val="22"/>
          <w:szCs w:val="22"/>
        </w:rPr>
      </w:pPr>
      <w:r>
        <w:rPr>
          <w:sz w:val="22"/>
          <w:szCs w:val="22"/>
        </w:rPr>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 and a Material Adverse Change has occurred with respect to Party A.</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szCs w:val="22"/>
        </w:rPr>
      </w:pPr>
      <w:r>
        <w:rPr>
          <w:sz w:val="22"/>
          <w:szCs w:val="22"/>
        </w:rPr>
      </w:r>
    </w:p>
    <w:p>
      <w:pPr>
        <w:pStyle w:val="Normal"/>
        <w:ind w:start="720" w:end="0"/>
        <w:jc w:val="both"/>
        <w:rPr/>
      </w:pPr>
      <w:r>
        <w:rPr>
          <w:sz w:val="22"/>
          <w:szCs w:val="22"/>
        </w:rPr>
        <w:t xml:space="preserve">Party B and its Custodian will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sz w:val="22"/>
          <w:szCs w:val="22"/>
        </w:rPr>
      </w:pPr>
      <w:r>
        <w:rPr>
          <w:sz w:val="22"/>
          <w:szCs w:val="22"/>
        </w:rPr>
        <w:t>(1) Party B is not a Defaulting Party and a Material Adverse Change has not occurred with respect to Party B.</w:t>
      </w:r>
    </w:p>
    <w:p>
      <w:pPr>
        <w:pStyle w:val="Normal"/>
        <w:ind w:start="1080" w:end="0"/>
        <w:jc w:val="both"/>
        <w:rPr>
          <w:sz w:val="22"/>
          <w:szCs w:val="22"/>
        </w:rPr>
      </w:pPr>
      <w:r>
        <w:rPr>
          <w:sz w:val="22"/>
          <w:szCs w:val="22"/>
        </w:rPr>
        <w:t xml:space="preserve"> </w:t>
      </w:r>
    </w:p>
    <w:p>
      <w:pPr>
        <w:pStyle w:val="Normal"/>
        <w:ind w:start="1080" w:end="0"/>
        <w:jc w:val="both"/>
        <w:rPr>
          <w:sz w:val="22"/>
          <w:szCs w:val="22"/>
        </w:rPr>
      </w:pPr>
      <w:r>
        <w:rPr>
          <w:sz w:val="22"/>
          <w:szCs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sz w:val="22"/>
          <w:szCs w:val="22"/>
        </w:rPr>
      </w:pPr>
      <w:r>
        <w:rPr>
          <w:sz w:val="22"/>
          <w:szCs w:val="22"/>
        </w:rPr>
      </w:r>
    </w:p>
    <w:p>
      <w:pPr>
        <w:pStyle w:val="BodyTextIndent3"/>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keepNext w:val="true"/>
        <w:ind w:start="720" w:end="0"/>
        <w:jc w:val="both"/>
        <w:rPr>
          <w:sz w:val="22"/>
          <w:szCs w:val="22"/>
        </w:rPr>
      </w:pPr>
      <w:r>
        <w:rPr>
          <w:sz w:val="22"/>
          <w:szCs w:val="22"/>
        </w:rPr>
        <w:t xml:space="preserve">(ii)  </w:t>
      </w:r>
      <w:r>
        <w:rPr>
          <w:b/>
          <w:bCs/>
          <w:sz w:val="22"/>
          <w:szCs w:val="22"/>
        </w:rPr>
        <w:t>Use of Posted Collateral.</w:t>
      </w:r>
    </w:p>
    <w:p>
      <w:pPr>
        <w:pStyle w:val="Normal"/>
        <w:keepNext w:val="true"/>
        <w:ind w:start="720" w:end="0"/>
        <w:jc w:val="both"/>
        <w:rPr>
          <w:sz w:val="22"/>
          <w:szCs w:val="22"/>
        </w:rPr>
      </w:pPr>
      <w:r>
        <w:rPr>
          <w:sz w:val="22"/>
          <w:szCs w:val="22"/>
        </w:rPr>
      </w:r>
    </w:p>
    <w:p>
      <w:pPr>
        <w:pStyle w:val="Normal"/>
        <w:keepNext w:val="true"/>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w:t>
      </w:r>
      <w:r>
        <w:rPr>
          <w:sz w:val="22"/>
          <w:szCs w:val="22"/>
          <w:u w:val="single"/>
        </w:rPr>
        <w:t>provided, that</w:t>
      </w:r>
      <w:r>
        <w:rPr>
          <w:sz w:val="22"/>
          <w:szCs w:val="22"/>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t xml:space="preserve"> </w:t>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szCs w:val="22"/>
        </w:rPr>
      </w:pPr>
      <w:r>
        <w:rPr>
          <w:sz w:val="22"/>
          <w:szCs w:val="22"/>
        </w:rPr>
      </w:r>
    </w:p>
    <w:p>
      <w:pPr>
        <w:pStyle w:val="Normal"/>
        <w:ind w:hanging="720" w:start="720" w:end="0"/>
        <w:jc w:val="both"/>
        <w:rPr>
          <w:sz w:val="22"/>
          <w:szCs w:val="22"/>
        </w:rPr>
      </w:pPr>
      <w:r>
        <w:rPr>
          <w:sz w:val="22"/>
          <w:szCs w:val="22"/>
        </w:rPr>
        <w:t>(i)</w:t>
        <w:tab/>
      </w:r>
      <w:r>
        <w:rPr>
          <w:b/>
          <w:bCs/>
          <w:sz w:val="22"/>
          <w:szCs w:val="22"/>
        </w:rPr>
        <w:t>Additional Representation(s) and Covenants.</w:t>
      </w:r>
    </w:p>
    <w:p>
      <w:pPr>
        <w:pStyle w:val="Justified"/>
        <w:spacing w:before="0" w:after="0"/>
        <w:rPr>
          <w:rFonts w:ascii="Times New Roman" w:hAnsi="Times New Roman" w:cs="Times New Roman"/>
          <w:sz w:val="22"/>
          <w:szCs w:val="22"/>
        </w:rPr>
      </w:pPr>
      <w:r>
        <w:rPr>
          <w:rFonts w:cs="Times New Roman" w:ascii="Times New Roman" w:hAnsi="Times New Roman"/>
          <w:sz w:val="22"/>
          <w:szCs w:val="22"/>
        </w:rPr>
      </w:r>
    </w:p>
    <w:p>
      <w:pPr>
        <w:pStyle w:val="Normal"/>
        <w:ind w:firstLine="720" w:end="0"/>
        <w:jc w:val="both"/>
        <w:rPr>
          <w:sz w:val="22"/>
          <w:szCs w:val="22"/>
        </w:rPr>
      </w:pPr>
      <w:r>
        <w:rPr>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(j)</w:t>
        <w:tab/>
      </w:r>
      <w:r>
        <w:rPr>
          <w:b/>
          <w:bCs/>
          <w:sz w:val="22"/>
          <w:szCs w:val="22"/>
        </w:rPr>
        <w:t>Other Eligible Support and Other Posted Support.</w:t>
      </w:r>
    </w:p>
    <w:p>
      <w:pPr>
        <w:pStyle w:val="Normal"/>
        <w:keepNext w:val="true"/>
        <w:ind w:hanging="720" w:start="720" w:end="0"/>
        <w:jc w:val="both"/>
        <w:rPr>
          <w:sz w:val="22"/>
          <w:szCs w:val="22"/>
        </w:rPr>
      </w:pPr>
      <w:r>
        <w:rPr>
          <w:sz w:val="22"/>
          <w:szCs w:val="22"/>
        </w:rPr>
      </w:r>
    </w:p>
    <w:p>
      <w:pPr>
        <w:pStyle w:val="Normal"/>
        <w:keepNext w:val="true"/>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w:t>
      </w:r>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szCs w:val="22"/>
        </w:rPr>
      </w:pPr>
      <w:r>
        <w:rPr>
          <w:sz w:val="22"/>
          <w:szCs w:val="22"/>
        </w:rPr>
      </w:r>
    </w:p>
    <w:p>
      <w:pPr>
        <w:pStyle w:val="Normal"/>
        <w:ind w:start="720" w:end="0"/>
        <w:jc w:val="both"/>
        <w:rPr/>
      </w:pPr>
      <w:r>
        <w:rPr>
          <w:sz w:val="22"/>
          <w:szCs w:val="22"/>
        </w:rPr>
        <w:t xml:space="preserve">(iii)  All Other Eligible Support and Other Posted Support consisting of Letters of Credit shall be issued and maintained in accordance with the provisions set forth in </w:t>
      </w:r>
      <w:r>
        <w:rPr>
          <w:sz w:val="22"/>
          <w:szCs w:val="22"/>
          <w:u w:val="single"/>
        </w:rPr>
        <w:t>Exhibit A</w:t>
      </w:r>
      <w:r>
        <w:rPr>
          <w:sz w:val="22"/>
          <w:szCs w:val="22"/>
        </w:rPr>
        <w:t xml:space="preserve"> and </w:t>
      </w:r>
      <w:r>
        <w:rPr>
          <w:sz w:val="22"/>
          <w:szCs w:val="22"/>
          <w:u w:val="single"/>
        </w:rPr>
        <w:t>Schedule 1</w:t>
      </w:r>
      <w:r>
        <w:rPr>
          <w:sz w:val="22"/>
          <w:szCs w:val="22"/>
        </w:rPr>
        <w:t xml:space="preserve"> attached hereto.</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(k)</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(l)</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t xml:space="preserve"> </w:t>
      </w:r>
    </w:p>
    <w:p>
      <w:pPr>
        <w:pStyle w:val="Normal"/>
        <w:ind w:start="720" w:end="0"/>
        <w:jc w:val="both"/>
        <w:rPr/>
      </w:pPr>
      <w:r>
        <w:rPr>
          <w:b/>
          <w:bCs/>
          <w:sz w:val="22"/>
          <w:szCs w:val="22"/>
        </w:rPr>
        <w:t>“</w:t>
      </w:r>
      <w:r>
        <w:rPr>
          <w:b/>
          <w:bCs/>
          <w:sz w:val="22"/>
          <w:szCs w:val="22"/>
        </w:rPr>
        <w:t>Issuer”</w:t>
      </w:r>
      <w:r>
        <w:rPr>
          <w:sz w:val="22"/>
          <w:szCs w:val="22"/>
        </w:rPr>
        <w:t xml:space="preserve"> means the bank issuing a Letter of Credit at the request of the Pledgor that meets the requirements set forth in the definition of Letter of Credit herein.</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Letter of Credit”</w:t>
      </w:r>
      <w:r>
        <w:rPr>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szCs w:val="22"/>
          <w:u w:val="single"/>
        </w:rPr>
        <w:t>Schedule 1</w:t>
      </w:r>
      <w:r>
        <w:rPr>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Material Adverse Change”</w:t>
      </w:r>
      <w:r>
        <w:rPr>
          <w:sz w:val="22"/>
          <w:szCs w:val="22"/>
        </w:rPr>
        <w:t xml:space="preserve"> means (a) with respect to Party A, its Credit Support Provider’s Credit Rating is below “BBB-” by S&amp;P or below “Baa3” by Moody’s or its Credit Support Provider fails to have a Credit Rating from S&amp;P or Moody’s; or (b) with respect to Party B, it shall have either of the following occur at any time:  (i) its Credit Rating is below “BBB-” by S&amp;P or below “Baa3” by Moody’s or it fails to have a Credit Rating from S&amp;P or Moody’s or (ii) to the extent there is a change in the creditworthiness or financial condition of Party B as determined by Party A’s review of Party B’s fiscal year end 2001 audited financial statements, and Party B fails to provide, within five (5) Business Days of receiving a request from Party A, a guaranty in the amount of $20,000,000 from Exelon Corp., in the form attached hereto as Exhibit B.</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sectPr>
          <w:footerReference w:type="default" r:id="rId3"/>
          <w:footerReference w:type="first" r:id="rId4"/>
          <w:type w:val="nextPage"/>
          <w:pgSz w:w="12240" w:h="15840"/>
          <w:pgMar w:left="1080" w:right="1080" w:gutter="0" w:header="0" w:top="1440" w:footer="720" w:bottom="776"/>
          <w:pgNumType w:start="1" w:fmt="decimal"/>
          <w:formProt w:val="false"/>
          <w:textDirection w:val="lrTb"/>
          <w:docGrid w:type="default" w:linePitch="360" w:charSpace="0"/>
        </w:sectPr>
        <w:pStyle w:val="Normal"/>
        <w:ind w:hanging="720" w:start="720" w:end="0"/>
        <w:jc w:val="both"/>
        <w:rPr>
          <w:sz w:val="22"/>
          <w:szCs w:val="22"/>
        </w:rPr>
      </w:pPr>
      <w:r>
        <w:rPr>
          <w:sz w:val="22"/>
          <w:szCs w:val="22"/>
        </w:rPr>
      </w:r>
    </w:p>
    <w:p>
      <w:pPr>
        <w:pStyle w:val="Normal"/>
        <w:jc w:val="center"/>
        <w:rPr>
          <w:b/>
          <w:bCs/>
          <w:sz w:val="22"/>
          <w:szCs w:val="22"/>
        </w:rPr>
      </w:pPr>
      <w:r>
        <w:rPr>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(d)  (i)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(f)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jc w:val="center"/>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3"/>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numPr>
          <w:ilvl w:val="0"/>
          <w:numId w:val="3"/>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szCs w:val="22"/>
        </w:rPr>
      </w:pPr>
      <w:r>
        <w:rPr>
          <w:sz w:val="22"/>
          <w:szCs w:val="22"/>
        </w:rPr>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8"/>
          <w:headerReference w:type="first" r:id="rId9"/>
          <w:footerReference w:type="default" r:id="rId10"/>
          <w:footerReference w:type="first" r:id="rId11"/>
          <w:type w:val="nextPage"/>
          <w:pgSz w:w="12240" w:h="15840"/>
          <w:pgMar w:left="1080" w:right="1080" w:gutter="0" w:header="720" w:top="1080" w:footer="720" w:bottom="1080"/>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pStyle w:val="Heading7"/>
        <w:rPr/>
      </w:pPr>
      <w:r>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ind w:end="720"/>
        <w:jc w:val="both"/>
        <w:rPr>
          <w:sz w:val="22"/>
          <w:szCs w:val="22"/>
        </w:rPr>
      </w:pPr>
      <w:r>
        <w:rPr>
          <w:sz w:val="22"/>
          <w:szCs w:val="22"/>
        </w:rPr>
      </w:r>
    </w:p>
    <w:p>
      <w:pPr>
        <w:pStyle w:val="Normal"/>
        <w:spacing w:lineRule="atLeast" w:line="240"/>
        <w:ind w:firstLine="720" w:end="0"/>
        <w:jc w:val="both"/>
        <w:rPr/>
      </w:pPr>
      <w:r>
        <w:rPr>
          <w:sz w:val="22"/>
        </w:rPr>
        <w:t xml:space="preserve">This Guaranty (this “Guaranty”), dated effective as of </w:t>
      </w:r>
      <w:r>
        <w:rPr>
          <w:sz w:val="22"/>
          <w:u w:val="single"/>
        </w:rPr>
        <w:tab/>
        <w:tab/>
        <w:tab/>
      </w:r>
      <w:r>
        <w:rPr>
          <w:sz w:val="22"/>
        </w:rPr>
        <w:t>, 2001 (the “Effective Date”),  is made and entered into by ENRON CORP., an Oregon corporation (“Guarantor”).</w:t>
      </w:r>
    </w:p>
    <w:p>
      <w:pPr>
        <w:pStyle w:val="Normal"/>
        <w:spacing w:lineRule="atLeast" w:line="240"/>
        <w:jc w:val="both"/>
        <w:rPr>
          <w:sz w:val="22"/>
        </w:rPr>
      </w:pPr>
      <w:r>
        <w:rPr>
          <w:sz w:val="22"/>
        </w:rPr>
      </w:r>
    </w:p>
    <w:p>
      <w:pPr>
        <w:pStyle w:val="Normal"/>
        <w:keepNext w:val="true"/>
        <w:spacing w:lineRule="atLeast" w:line="240"/>
        <w:jc w:val="center"/>
        <w:rPr>
          <w:caps/>
          <w:sz w:val="22"/>
        </w:rPr>
      </w:pPr>
      <w:r>
        <w:rPr>
          <w:caps/>
          <w:sz w:val="22"/>
        </w:rPr>
        <w:t>W I T N E S S E T H:</w:t>
      </w:r>
    </w:p>
    <w:p>
      <w:pPr>
        <w:pStyle w:val="Normal"/>
        <w:spacing w:lineRule="atLeast" w:line="240"/>
        <w:jc w:val="both"/>
        <w:rPr>
          <w:caps/>
          <w:sz w:val="22"/>
        </w:rPr>
      </w:pPr>
      <w:r>
        <w:rPr>
          <w:caps/>
          <w:sz w:val="22"/>
        </w:rPr>
      </w:r>
    </w:p>
    <w:p>
      <w:pPr>
        <w:pStyle w:val="Normal"/>
        <w:spacing w:lineRule="atLeast" w:line="240"/>
        <w:ind w:firstLine="720" w:end="0"/>
        <w:jc w:val="both"/>
        <w:rPr/>
      </w:pPr>
      <w:r>
        <w:rPr>
          <w:sz w:val="22"/>
        </w:rPr>
        <w:t xml:space="preserve">WHEREAS, and </w:t>
      </w:r>
      <w:r>
        <w:rPr>
          <w:caps/>
          <w:sz w:val="22"/>
        </w:rPr>
        <w:t>Enron North America Corp.</w:t>
      </w:r>
      <w:r>
        <w:rPr>
          <w:sz w:val="22"/>
        </w:rPr>
        <w:t>, a Delaware corporation and an affiliate of Guarantor (“ENA”) and EXELON GENERATION COMPANY, LLC, a ______ limited liability company (“Counterparty”) have entered into and/or will enter into one or more swap, option, or other financially-settled derivative transactions  (the “Financial Transactions”), which Financial Transactions will be evidenced by one or more swap agreements, confirmations and/or master agreements, including without limitation, the ISDA Master Agreement dated as of ____________,  as the same may from time to time be modified, amended and supplemented (all such Financial Transactions and the agreements evidencing same, including without limitation, the ISDA Master Agreement, whether entered into prior to, on or after the date hereof, as the same may be modified, amended and supplemented, shall be herein referred to collectively as the “Financial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WHEREAS, Counterparty and </w:t>
      </w:r>
      <w:r>
        <w:rPr>
          <w:caps/>
          <w:sz w:val="22"/>
        </w:rPr>
        <w:t>Enron Power Marketing, Inc.</w:t>
      </w:r>
      <w:r>
        <w:rPr>
          <w:sz w:val="22"/>
        </w:rPr>
        <w:t xml:space="preserve"> (“EPMI” and together with ENA being hereinafter collectively referred to as the “Enron Parties” and individually as an “Enron Party”) have entered into and/or will enter into one or more power (including electrical energy capacity and/or products and services related thereto) transactions (the “Power Transactions”), which Power Transactions will be evidenced by one or more purchase and sale agreements, confirmations and/or master agreements, including without limitation, the Master Power Purchase &amp; Sale Agreement dated ____________, as the same may from time to time be modified, amended and supplemented (all such Power Transactions and the agreements evidencing same, including without limitation, the Master Power Purchase &amp; Sale Agreement, whether entered into prior to, on or after the date hereof, as the same may be modified, amended and supplemented, shall be herein referred to collectively as the “Power Contracts” and together with the Financial Contracts being hereinafter collectively referred to as the “Contracts); and</w:t>
      </w:r>
    </w:p>
    <w:p>
      <w:pPr>
        <w:pStyle w:val="Normal"/>
        <w:spacing w:lineRule="atLeast" w:line="240"/>
        <w:ind w:firstLine="720" w:end="0"/>
        <w:jc w:val="both"/>
        <w:rPr>
          <w:sz w:val="22"/>
        </w:rPr>
      </w:pPr>
      <w:r>
        <w:rPr>
          <w:sz w:val="22"/>
        </w:rPr>
        <w:t xml:space="preserve"> </w:t>
      </w:r>
    </w:p>
    <w:p>
      <w:pPr>
        <w:pStyle w:val="Normal"/>
        <w:spacing w:lineRule="atLeast" w:line="240"/>
        <w:ind w:firstLine="720" w:end="0"/>
        <w:jc w:val="both"/>
        <w:rPr>
          <w:sz w:val="22"/>
        </w:rPr>
      </w:pPr>
      <w:r>
        <w:rPr>
          <w:sz w:val="22"/>
        </w:rPr>
        <w:t>WHEREAS, Guarantor has benefited and in the future will directly or indirectly benefit from the Transactions to be entered into between the Enron Parties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Contracts,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(a) Guarantor hereby irrevocably and unconditionally guarantees the timely payment when due of the obligations of the Enron Parties (the “Obligations”) to Counterparty under the Contracts, and (b) to the extent that any of the Enron Parties shall fail to pay any Obligations to Counterparty, Guarantor shall promptly pay to Counterparty the amount due.  This Guaranty shall constitute a guarantee of payment and not of collection.  The liability of Guarantor under this Guaranty shall be subject to the following:</w:t>
      </w:r>
    </w:p>
    <w:p>
      <w:pPr>
        <w:pStyle w:val="BodyTextIndent3"/>
        <w:widowControl/>
        <w:spacing w:before="240" w:after="0"/>
        <w:rPr>
          <w:szCs w:val="20"/>
        </w:rPr>
      </w:pPr>
      <w:r>
        <w:rPr>
          <w:szCs w:val="20"/>
        </w:rPr>
        <w:t>(a)  Guarantor’s liability hereunder shall be and is specifically limited to payments expressly required to be made under the Contracts (even if such payments are deemed to be damages) and, except to the extent specifically provided in the Contracts, in no event shall Guarantor be subject hereunder to consequential, exemplary, equitable, loss of profits, punitive, tort, or any other damages, costs, or attorney’s fees.</w:t>
      </w:r>
    </w:p>
    <w:p>
      <w:pPr>
        <w:pStyle w:val="Normal"/>
        <w:spacing w:lineRule="exact" w:line="240" w:before="240" w:after="0"/>
        <w:ind w:firstLine="720" w:start="720" w:end="0"/>
        <w:jc w:val="both"/>
        <w:rPr>
          <w:sz w:val="22"/>
        </w:rPr>
      </w:pPr>
      <w:r>
        <w:rPr>
          <w:sz w:val="22"/>
        </w:rPr>
        <w:t>(b)  The aggregate amount covered by this Guaranty shall not exceed U.S. $100,000,000 (the “Guarantee Cap”).</w:t>
      </w:r>
    </w:p>
    <w:p>
      <w:pPr>
        <w:pStyle w:val="Normal"/>
        <w:spacing w:lineRule="atLeast" w:line="240"/>
        <w:jc w:val="both"/>
        <w:rPr>
          <w:sz w:val="22"/>
        </w:rPr>
      </w:pPr>
      <w:r>
        <w:rPr>
          <w:sz w:val="22"/>
        </w:rPr>
      </w:r>
    </w:p>
    <w:p>
      <w:pPr>
        <w:pStyle w:val="Normal"/>
        <w:numPr>
          <w:ilvl w:val="0"/>
          <w:numId w:val="2"/>
        </w:numPr>
        <w:spacing w:lineRule="atLeast" w:line="240"/>
        <w:ind w:firstLine="720" w:start="0" w:end="0"/>
        <w:jc w:val="both"/>
        <w:rPr>
          <w:sz w:val="22"/>
          <w:szCs w:val="22"/>
        </w:rPr>
      </w:pPr>
      <w:r>
        <w:rPr>
          <w:sz w:val="22"/>
          <w:u w:val="single"/>
        </w:rPr>
        <w:t>DEMANDS AND NOTICE</w:t>
      </w:r>
      <w:r>
        <w:rPr>
          <w:sz w:val="22"/>
        </w:rPr>
        <w:t xml:space="preserve">.  If any Enron Party (the “Defaulting Enron Party”)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the Defaulting Enron Party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the Defaulting Enron Party or Guarantor has cured such default, and additional written demands concerning such default shall not be required until such default is cured.  </w:t>
      </w:r>
      <w:r>
        <w:rPr>
          <w:sz w:val="22"/>
          <w:szCs w:val="22"/>
        </w:rPr>
        <w:t>As used herein, the term “Business Day” shall mean a day on which commercial banks or financial institutions are open for business in Houston, Texas and New York, New York.</w:t>
      </w:r>
    </w:p>
    <w:p>
      <w:pPr>
        <w:pStyle w:val="Normal"/>
        <w:spacing w:lineRule="atLeast" w:line="240"/>
        <w:jc w:val="both"/>
        <w:rPr>
          <w:sz w:val="22"/>
          <w:szCs w:val="22"/>
        </w:rPr>
      </w:pPr>
      <w:r>
        <w:rPr>
          <w:sz w:val="22"/>
          <w:szCs w:val="22"/>
        </w:rPr>
      </w:r>
    </w:p>
    <w:p>
      <w:pPr>
        <w:pStyle w:val="Normal"/>
        <w:tabs>
          <w:tab w:val="left" w:pos="720" w:leader="none"/>
        </w:tabs>
        <w:spacing w:lineRule="atLeast" w:line="240"/>
        <w:jc w:val="both"/>
        <w:rPr>
          <w:sz w:val="22"/>
        </w:rPr>
      </w:pPr>
      <w:r>
        <w:rPr>
          <w:sz w:val="22"/>
        </w:rPr>
        <w:tab/>
        <w:t>Guarantor shall not be liable for any Payment Demands in excess of the Guarantee Cap.  In the event Guarantor receives approximately simultaneous Payment Demands from Counterparty with respect to Obligations owed under more than one Contract in excess of the Guarantee Cap, Guarantor’s total payment up to but not exceeding U.S.$100,000,000 shall be allocated among the Contracts in accordance with each Contract’s percentage of the total amount demanded by both.  In all other instances, Guarantor’s payments hereunder, up to and including, but not in excess of the Guarantee Cap, will be made in the order in which the associated Payment Demands were received.</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spacing w:lineRule="exact" w:line="240" w:before="240" w:after="0"/>
        <w:ind w:firstLine="720" w:start="72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720" w:start="72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any Defaulting Enron Entity is or may be entitled to arising from or out of the Contracts or otherwise, except for defenses arising out of the bankruptcy, insolvency, dissolution or liquidation of any Defaulting Enron Entity.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Except as required in Section 2 above, Guarantor hereby waives (a) notice of acceptance of this Guaranty; (b) presentment and demand concerning the liabilities of Guarantor; and (c) any right to require that any action or proceeding be brought against the Enron Entities or any other person, or to require that Counterparty seek enforcement of any performance against any Enron Entity or any other person, prior to any action against Guarantor under the terms hereof.  Except as to applicable statutes of limitation, no delay of Counterparty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Transactions entered into prior to the time the termination is effective, which Transactions and the obligations of the Enron Entities with respect thereto under the Contracts,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xml:space="preserve">.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 </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sz w:val="22"/>
              </w:rPr>
            </w:pPr>
            <w:r>
              <w:rPr>
                <w:sz w:val="22"/>
              </w:rPr>
              <w:t>To Counterparty:</w:t>
            </w:r>
          </w:p>
        </w:tc>
        <w:tc>
          <w:tcPr>
            <w:tcW w:w="3492" w:type="dxa"/>
            <w:tcBorders/>
          </w:tcPr>
          <w:p>
            <w:pPr>
              <w:pStyle w:val="Normal"/>
              <w:keepNext w:val="true"/>
              <w:keepLines/>
              <w:tabs>
                <w:tab w:val="clear" w:pos="720"/>
                <w:tab w:val="left" w:pos="3132" w:leader="none"/>
              </w:tabs>
              <w:spacing w:lineRule="atLeast" w:line="240"/>
              <w:rPr>
                <w:sz w:val="22"/>
              </w:rPr>
            </w:pPr>
            <w:r>
              <w:rPr>
                <w:sz w:val="22"/>
              </w:rPr>
              <w:t>Exelon Generation Company, LLC</w:t>
            </w:r>
          </w:p>
        </w:tc>
        <w:tc>
          <w:tcPr>
            <w:tcW w:w="1618" w:type="dxa"/>
            <w:tcBorders/>
          </w:tcPr>
          <w:p>
            <w:pPr>
              <w:pStyle w:val="Normal"/>
              <w:keepNext w:val="true"/>
              <w:keepLines/>
              <w:spacing w:lineRule="atLeast" w:line="240"/>
              <w:rPr>
                <w:sz w:val="22"/>
              </w:rPr>
            </w:pPr>
            <w:r>
              <w:rPr>
                <w:sz w:val="22"/>
              </w:rPr>
              <w:t>To Guarantor:</w:t>
            </w:r>
          </w:p>
        </w:tc>
        <w:tc>
          <w:tcPr>
            <w:tcW w:w="3530" w:type="dxa"/>
            <w:tcBorders/>
          </w:tcPr>
          <w:p>
            <w:pPr>
              <w:pStyle w:val="Normal"/>
              <w:keepNext w:val="true"/>
              <w:keepLines/>
              <w:tabs>
                <w:tab w:val="clear" w:pos="720"/>
                <w:tab w:val="right" w:pos="2988" w:leader="none"/>
              </w:tabs>
              <w:spacing w:lineRule="atLeast" w:line="240"/>
              <w:rPr>
                <w:sz w:val="22"/>
              </w:rPr>
            </w:pPr>
            <w:r>
              <w:rPr>
                <w:sz w:val="22"/>
              </w:rPr>
              <w:t>Enron Corp.</w:t>
            </w:r>
          </w:p>
        </w:tc>
      </w:tr>
      <w:tr>
        <w:trPr/>
        <w:tc>
          <w:tcPr>
            <w:tcW w:w="1908" w:type="dxa"/>
            <w:tcBorders/>
          </w:tcPr>
          <w:p>
            <w:pPr>
              <w:pStyle w:val="Normal"/>
              <w:keepNext w:val="true"/>
              <w:keepLines/>
              <w:snapToGrid w:val="false"/>
              <w:spacing w:lineRule="atLeast" w:line="240"/>
              <w:rPr>
                <w:sz w:val="22"/>
              </w:rPr>
            </w:pPr>
            <w:r>
              <w:rPr>
                <w:sz w:val="22"/>
              </w:rPr>
            </w:r>
          </w:p>
        </w:tc>
        <w:tc>
          <w:tcPr>
            <w:tcW w:w="3492" w:type="dxa"/>
            <w:tcBorders/>
          </w:tcPr>
          <w:p>
            <w:pPr>
              <w:pStyle w:val="Normal"/>
              <w:keepNext w:val="true"/>
              <w:keepLines/>
              <w:tabs>
                <w:tab w:val="clear" w:pos="720"/>
                <w:tab w:val="left" w:pos="3132" w:leader="none"/>
              </w:tabs>
              <w:spacing w:lineRule="atLeast" w:line="240"/>
              <w:rPr>
                <w:sz w:val="22"/>
              </w:rPr>
            </w:pPr>
            <w:r>
              <w:rPr>
                <w:sz w:val="22"/>
              </w:rPr>
              <w:t>300 Exelon Way</w:t>
            </w:r>
          </w:p>
        </w:tc>
        <w:tc>
          <w:tcPr>
            <w:tcW w:w="1618" w:type="dxa"/>
            <w:tcBorders/>
          </w:tcPr>
          <w:p>
            <w:pPr>
              <w:pStyle w:val="Normal"/>
              <w:keepNext w:val="true"/>
              <w:keepLines/>
              <w:snapToGrid w:val="false"/>
              <w:spacing w:lineRule="atLeast" w:line="240"/>
              <w:rPr>
                <w:sz w:val="22"/>
              </w:rPr>
            </w:pPr>
            <w:r>
              <w:rPr>
                <w:sz w:val="22"/>
              </w:rPr>
            </w:r>
          </w:p>
        </w:tc>
        <w:tc>
          <w:tcPr>
            <w:tcW w:w="3530" w:type="dxa"/>
            <w:tcBorders/>
          </w:tcPr>
          <w:p>
            <w:pPr>
              <w:pStyle w:val="Normal"/>
              <w:keepNext w:val="true"/>
              <w:keepLines/>
              <w:tabs>
                <w:tab w:val="clear" w:pos="720"/>
                <w:tab w:val="right" w:pos="2988" w:leader="none"/>
              </w:tabs>
              <w:spacing w:lineRule="atLeast" w:line="240"/>
              <w:rPr>
                <w:sz w:val="22"/>
              </w:rPr>
            </w:pPr>
            <w:r>
              <w:rPr>
                <w:sz w:val="22"/>
              </w:rPr>
              <w:t>1400 Smith Street</w:t>
            </w:r>
          </w:p>
        </w:tc>
      </w:tr>
      <w:tr>
        <w:trPr/>
        <w:tc>
          <w:tcPr>
            <w:tcW w:w="1908" w:type="dxa"/>
            <w:tcBorders/>
          </w:tcPr>
          <w:p>
            <w:pPr>
              <w:pStyle w:val="Normal"/>
              <w:keepNext w:val="true"/>
              <w:keepLines/>
              <w:snapToGrid w:val="false"/>
              <w:spacing w:lineRule="atLeast" w:line="240"/>
              <w:rPr>
                <w:sz w:val="22"/>
              </w:rPr>
            </w:pPr>
            <w:r>
              <w:rPr>
                <w:sz w:val="22"/>
              </w:rPr>
            </w:r>
          </w:p>
        </w:tc>
        <w:tc>
          <w:tcPr>
            <w:tcW w:w="3492" w:type="dxa"/>
            <w:tcBorders/>
          </w:tcPr>
          <w:p>
            <w:pPr>
              <w:pStyle w:val="Normal"/>
              <w:keepNext w:val="true"/>
              <w:keepLines/>
              <w:tabs>
                <w:tab w:val="clear" w:pos="720"/>
                <w:tab w:val="left" w:pos="3132" w:leader="none"/>
              </w:tabs>
              <w:spacing w:lineRule="atLeast" w:line="240"/>
              <w:rPr>
                <w:sz w:val="22"/>
              </w:rPr>
            </w:pPr>
            <w:r>
              <w:rPr>
                <w:sz w:val="22"/>
              </w:rPr>
              <w:t>Kennett Square, Pennsylvania 19348</w:t>
            </w:r>
          </w:p>
        </w:tc>
        <w:tc>
          <w:tcPr>
            <w:tcW w:w="1618" w:type="dxa"/>
            <w:tcBorders/>
          </w:tcPr>
          <w:p>
            <w:pPr>
              <w:pStyle w:val="Normal"/>
              <w:keepNext w:val="true"/>
              <w:keepLines/>
              <w:snapToGrid w:val="false"/>
              <w:spacing w:lineRule="atLeast" w:line="240"/>
              <w:rPr>
                <w:sz w:val="22"/>
              </w:rPr>
            </w:pPr>
            <w:r>
              <w:rPr>
                <w:sz w:val="22"/>
              </w:rPr>
            </w:r>
          </w:p>
        </w:tc>
        <w:tc>
          <w:tcPr>
            <w:tcW w:w="3530" w:type="dxa"/>
            <w:tcBorders/>
          </w:tcPr>
          <w:p>
            <w:pPr>
              <w:pStyle w:val="Normal"/>
              <w:keepNext w:val="true"/>
              <w:keepLines/>
              <w:tabs>
                <w:tab w:val="clear" w:pos="720"/>
                <w:tab w:val="right" w:pos="2988" w:leader="none"/>
              </w:tabs>
              <w:spacing w:lineRule="atLeast" w:line="240"/>
              <w:rPr>
                <w:sz w:val="22"/>
              </w:rPr>
            </w:pPr>
            <w:r>
              <w:rPr>
                <w:sz w:val="22"/>
              </w:rPr>
              <w:t>Houston, Texas 77002</w:t>
            </w:r>
          </w:p>
        </w:tc>
      </w:tr>
      <w:tr>
        <w:trPr/>
        <w:tc>
          <w:tcPr>
            <w:tcW w:w="1908" w:type="dxa"/>
            <w:tcBorders/>
          </w:tcPr>
          <w:p>
            <w:pPr>
              <w:pStyle w:val="Normal"/>
              <w:keepNext w:val="true"/>
              <w:keepLines/>
              <w:snapToGrid w:val="false"/>
              <w:spacing w:lineRule="atLeast" w:line="240"/>
              <w:rPr>
                <w:sz w:val="22"/>
              </w:rPr>
            </w:pPr>
            <w:r>
              <w:rPr>
                <w:sz w:val="22"/>
              </w:rPr>
            </w:r>
          </w:p>
        </w:tc>
        <w:tc>
          <w:tcPr>
            <w:tcW w:w="3492" w:type="dxa"/>
            <w:tcBorders/>
          </w:tcPr>
          <w:p>
            <w:pPr>
              <w:pStyle w:val="Normal"/>
              <w:keepNext w:val="true"/>
              <w:keepLines/>
              <w:tabs>
                <w:tab w:val="clear" w:pos="720"/>
                <w:tab w:val="left" w:pos="3132" w:leader="none"/>
              </w:tabs>
              <w:spacing w:lineRule="atLeast" w:line="240"/>
              <w:rPr/>
            </w:pPr>
            <w:r>
              <w:rPr>
                <w:sz w:val="22"/>
              </w:rPr>
              <w:t xml:space="preserve">Attn.:  </w:t>
            </w:r>
            <w:r>
              <w:rPr>
                <w:sz w:val="22"/>
                <w:u w:val="single"/>
              </w:rPr>
              <w:tab/>
            </w:r>
          </w:p>
          <w:p>
            <w:pPr>
              <w:pStyle w:val="Normal"/>
              <w:keepNext w:val="true"/>
              <w:keepLines/>
              <w:tabs>
                <w:tab w:val="clear" w:pos="720"/>
                <w:tab w:val="left" w:pos="3132" w:leader="none"/>
              </w:tabs>
              <w:spacing w:lineRule="atLeast" w:line="240"/>
              <w:rPr>
                <w:sz w:val="22"/>
              </w:rPr>
            </w:pPr>
            <w:r>
              <w:rPr>
                <w:sz w:val="22"/>
              </w:rPr>
              <w:t xml:space="preserve">Fax No.:  </w:t>
            </w:r>
            <w:r>
              <w:rPr>
                <w:sz w:val="22"/>
                <w:u w:val="single"/>
              </w:rPr>
              <w:tab/>
            </w:r>
          </w:p>
        </w:tc>
        <w:tc>
          <w:tcPr>
            <w:tcW w:w="1618" w:type="dxa"/>
            <w:tcBorders/>
          </w:tcPr>
          <w:p>
            <w:pPr>
              <w:pStyle w:val="Normal"/>
              <w:keepNext w:val="true"/>
              <w:keepLines/>
              <w:snapToGrid w:val="false"/>
              <w:spacing w:lineRule="atLeast" w:line="240"/>
              <w:rPr>
                <w:sz w:val="22"/>
              </w:rPr>
            </w:pPr>
            <w:r>
              <w:rPr>
                <w:sz w:val="22"/>
              </w:rPr>
            </w:r>
          </w:p>
        </w:tc>
        <w:tc>
          <w:tcPr>
            <w:tcW w:w="3530" w:type="dxa"/>
            <w:tcBorders/>
          </w:tcPr>
          <w:p>
            <w:pPr>
              <w:pStyle w:val="Normal"/>
              <w:keepNext w:val="true"/>
              <w:keepLines/>
              <w:tabs>
                <w:tab w:val="clear" w:pos="720"/>
                <w:tab w:val="right" w:pos="2988" w:leader="none"/>
              </w:tabs>
              <w:spacing w:lineRule="atLeast" w:line="240"/>
              <w:rPr>
                <w:sz w:val="22"/>
              </w:rPr>
            </w:pPr>
            <w:r>
              <w:rPr>
                <w:sz w:val="22"/>
              </w:rPr>
              <w:t>Attn.:  Vice President, Finance and Treasurer</w:t>
            </w:r>
          </w:p>
        </w:tc>
      </w:tr>
      <w:tr>
        <w:trPr/>
        <w:tc>
          <w:tcPr>
            <w:tcW w:w="1908" w:type="dxa"/>
            <w:tcBorders/>
          </w:tcPr>
          <w:p>
            <w:pPr>
              <w:pStyle w:val="Normal"/>
              <w:keepNext w:val="true"/>
              <w:keepLines/>
              <w:snapToGrid w:val="false"/>
              <w:spacing w:lineRule="atLeast" w:line="240"/>
              <w:rPr>
                <w:sz w:val="22"/>
              </w:rPr>
            </w:pPr>
            <w:r>
              <w:rPr>
                <w:sz w:val="22"/>
              </w:rPr>
            </w:r>
          </w:p>
        </w:tc>
        <w:tc>
          <w:tcPr>
            <w:tcW w:w="3492" w:type="dxa"/>
            <w:tcBorders/>
          </w:tcPr>
          <w:p>
            <w:pPr>
              <w:pStyle w:val="Normal"/>
              <w:keepNext w:val="true"/>
              <w:keepLines/>
              <w:tabs>
                <w:tab w:val="clear" w:pos="720"/>
                <w:tab w:val="left" w:pos="3132" w:leader="none"/>
              </w:tabs>
              <w:snapToGrid w:val="false"/>
              <w:spacing w:lineRule="atLeast" w:line="240"/>
              <w:rPr>
                <w:sz w:val="22"/>
              </w:rPr>
            </w:pPr>
            <w:r>
              <w:rPr>
                <w:sz w:val="22"/>
              </w:rPr>
            </w:r>
          </w:p>
        </w:tc>
        <w:tc>
          <w:tcPr>
            <w:tcW w:w="1618" w:type="dxa"/>
            <w:tcBorders/>
          </w:tcPr>
          <w:p>
            <w:pPr>
              <w:pStyle w:val="Normal"/>
              <w:keepNext w:val="true"/>
              <w:keepLines/>
              <w:snapToGrid w:val="false"/>
              <w:spacing w:lineRule="atLeast" w:line="240"/>
              <w:rPr>
                <w:sz w:val="22"/>
              </w:rPr>
            </w:pPr>
            <w:r>
              <w:rPr>
                <w:sz w:val="22"/>
              </w:rPr>
            </w:r>
          </w:p>
        </w:tc>
        <w:tc>
          <w:tcPr>
            <w:tcW w:w="3530" w:type="dxa"/>
            <w:tcBorders/>
          </w:tcPr>
          <w:p>
            <w:pPr>
              <w:pStyle w:val="Normal"/>
              <w:keepNext w:val="true"/>
              <w:keepLines/>
              <w:tabs>
                <w:tab w:val="clear" w:pos="720"/>
                <w:tab w:val="right" w:pos="2988" w:leader="none"/>
              </w:tabs>
              <w:spacing w:lineRule="atLeast" w:line="240"/>
              <w:rPr>
                <w:sz w:val="22"/>
              </w:rPr>
            </w:pPr>
            <w:r>
              <w:rPr>
                <w:sz w:val="22"/>
              </w:rPr>
              <w:t>Fax No.:  (713) 646-3422</w:t>
            </w:r>
          </w:p>
        </w:tc>
      </w:tr>
    </w:tbl>
    <w:p>
      <w:pPr>
        <w:pStyle w:val="BodyTextIndent"/>
        <w:ind w:start="0" w:end="0"/>
        <w:rPr/>
      </w:pPr>
      <w:r>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8.</w:t>
        <w:tab/>
      </w:r>
      <w:r>
        <w:rPr>
          <w:sz w:val="22"/>
          <w:u w:val="single"/>
        </w:rPr>
        <w:t>MISCELLANEOUS</w:t>
      </w:r>
      <w:r>
        <w:rPr>
          <w:sz w:val="22"/>
        </w:rPr>
        <w:t>.  THIS GUARANTY SHALL IN ALL RESPECTS BE GOVERNED BY, AND CONSTRUED IN ACCORDANCE WITH, THE LAWS OF THE STATE OF NEW YORK, WITHOUT GIVING EFFECT TO THE PRINCIPLES THEREOF RELATING TO CONFLICTS OF LAWS, EXCEPT SECTION 5-1401 OF THE NEW YORK OBLIGATION LAWS.  This Guaranty shall be binding upon Guarantor, its successors and assigns and inure to the benefit of and be enforceable by Counterparty and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jc w:val="both"/>
        <w:rPr>
          <w:sz w:val="22"/>
        </w:rPr>
      </w:pPr>
      <w:r>
        <w:rPr>
          <w:sz w:val="22"/>
        </w:rPr>
      </w:r>
      <w:r>
        <w:br w:type="page"/>
      </w:r>
    </w:p>
    <w:p>
      <w:pPr>
        <w:pStyle w:val="Normal"/>
        <w:spacing w:lineRule="atLeast" w:line="240"/>
        <w:ind w:firstLine="720" w:end="0"/>
        <w:jc w:val="both"/>
        <w:rPr>
          <w:sz w:val="22"/>
        </w:rPr>
      </w:pPr>
      <w:r>
        <w:rPr>
          <w:sz w:val="22"/>
        </w:rPr>
        <w:t>IN WITNESS WHEREOF, the Guarantor has executed this Guaranty effective as of the Effective Date.</w:t>
      </w:r>
    </w:p>
    <w:p>
      <w:pPr>
        <w:pStyle w:val="Normal"/>
        <w:spacing w:lineRule="atLeast" w:line="240"/>
        <w:ind w:firstLine="720" w:end="0"/>
        <w:jc w:val="both"/>
        <w:rPr>
          <w:sz w:val="22"/>
        </w:rPr>
      </w:pPr>
      <w:r>
        <w:rPr>
          <w:sz w:val="22"/>
        </w:rPr>
      </w:r>
    </w:p>
    <w:p>
      <w:pPr>
        <w:pStyle w:val="Normal"/>
        <w:keepNext w:val="true"/>
        <w:keepLines/>
        <w:spacing w:lineRule="exact" w:line="240"/>
        <w:ind w:start="5040" w:end="0"/>
        <w:jc w:val="both"/>
        <w:rPr>
          <w:b/>
          <w:bCs/>
          <w:sz w:val="22"/>
        </w:rPr>
      </w:pPr>
      <w:r>
        <w:rPr>
          <w:b/>
          <w:bCs/>
          <w:sz w:val="22"/>
        </w:rPr>
        <w:t>ENRON CORP.</w:t>
      </w:r>
    </w:p>
    <w:p>
      <w:pPr>
        <w:pStyle w:val="Normal"/>
        <w:keepNext w:val="true"/>
        <w:keepLines/>
        <w:spacing w:lineRule="exact" w:line="240"/>
        <w:ind w:start="5040" w:end="0"/>
        <w:jc w:val="both"/>
        <w:rPr>
          <w:b/>
          <w:bCs/>
          <w:sz w:val="22"/>
        </w:rPr>
      </w:pPr>
      <w:r>
        <w:rPr>
          <w:b/>
          <w:bCs/>
          <w:sz w:val="22"/>
        </w:rPr>
      </w:r>
    </w:p>
    <w:p>
      <w:pPr>
        <w:pStyle w:val="Normal"/>
        <w:keepNext w:val="true"/>
        <w:keepLines/>
        <w:spacing w:lineRule="exact" w:line="240"/>
        <w:ind w:start="5040" w:end="0"/>
        <w:jc w:val="both"/>
        <w:rPr>
          <w:sz w:val="22"/>
        </w:rPr>
      </w:pPr>
      <w:r>
        <w:rPr>
          <w:sz w:val="22"/>
        </w:rPr>
        <w:t xml:space="preserve">By:  </w:t>
      </w:r>
      <w:r>
        <w:rPr>
          <w:sz w:val="22"/>
          <w:u w:val="single"/>
        </w:rPr>
        <w:tab/>
        <w:tab/>
        <w:tab/>
        <w:tab/>
        <w:tab/>
        <w:tab/>
      </w:r>
    </w:p>
    <w:p>
      <w:pPr>
        <w:pStyle w:val="Normal"/>
        <w:keepNext w:val="true"/>
        <w:keepLines/>
        <w:spacing w:lineRule="atLeast" w:line="240"/>
        <w:ind w:start="5040" w:end="0"/>
        <w:jc w:val="both"/>
        <w:rPr>
          <w:sz w:val="22"/>
        </w:rPr>
      </w:pPr>
      <w:r>
        <w:rPr>
          <w:sz w:val="22"/>
        </w:rPr>
        <w:t xml:space="preserve">Name:  </w:t>
      </w:r>
      <w:r>
        <w:rPr>
          <w:sz w:val="22"/>
          <w:u w:val="single"/>
        </w:rPr>
        <w:tab/>
        <w:tab/>
        <w:tab/>
        <w:tab/>
        <w:tab/>
        <w:tab/>
      </w:r>
    </w:p>
    <w:p>
      <w:pPr>
        <w:pStyle w:val="Normal"/>
        <w:keepNext w:val="true"/>
        <w:keepLines/>
        <w:spacing w:lineRule="atLeast" w:line="240"/>
        <w:ind w:start="5040" w:end="0"/>
        <w:jc w:val="both"/>
        <w:rPr/>
      </w:pPr>
      <w:r>
        <w:rPr>
          <w:sz w:val="22"/>
        </w:rPr>
        <w:t xml:space="preserve">Title:  </w:t>
      </w:r>
      <w:r>
        <w:rPr>
          <w:sz w:val="22"/>
          <w:u w:val="single"/>
        </w:rPr>
        <w:tab/>
        <w:tab/>
        <w:tab/>
        <w:tab/>
        <w:tab/>
        <w:tab/>
      </w:r>
    </w:p>
    <w:p>
      <w:pPr>
        <w:sectPr>
          <w:headerReference w:type="default" r:id="rId12"/>
          <w:headerReference w:type="first" r:id="rId13"/>
          <w:footerReference w:type="default" r:id="rId14"/>
          <w:footerReference w:type="first" r:id="rId15"/>
          <w:type w:val="nextPage"/>
          <w:pgSz w:w="12240" w:h="15840"/>
          <w:pgMar w:left="1080" w:right="1080" w:gutter="0" w:header="720" w:top="1440" w:footer="720" w:bottom="1440"/>
          <w:pgNumType w:start="1" w:fmt="decimal"/>
          <w:formProt w:val="false"/>
          <w:textDirection w:val="lrTb"/>
          <w:docGrid w:type="default" w:linePitch="360" w:charSpace="0"/>
        </w:sectPr>
        <w:pStyle w:val="Normal"/>
        <w:rPr>
          <w:sz w:val="22"/>
          <w:u w:val="single"/>
        </w:rPr>
      </w:pPr>
      <w:r>
        <w:rPr>
          <w:sz w:val="22"/>
          <w:u w:val="single"/>
        </w:rPr>
      </w:r>
    </w:p>
    <w:p>
      <w:pPr>
        <w:pStyle w:val="Normal"/>
        <w:spacing w:lineRule="exact" w:line="240"/>
        <w:ind w:end="720"/>
        <w:jc w:val="center"/>
        <w:rPr>
          <w:b/>
          <w:bCs/>
          <w:sz w:val="22"/>
          <w:szCs w:val="22"/>
        </w:rPr>
      </w:pPr>
      <w:r>
        <w:rPr>
          <w:b/>
          <w:bCs/>
          <w:sz w:val="22"/>
          <w:szCs w:val="22"/>
          <w:u w:val="single"/>
        </w:rPr>
        <w:t>EXHIBIT B</w:t>
      </w:r>
    </w:p>
    <w:p>
      <w:pPr>
        <w:pStyle w:val="Normal"/>
        <w:spacing w:lineRule="exact" w:line="240"/>
        <w:ind w:end="720"/>
        <w:jc w:val="center"/>
        <w:rPr>
          <w:b/>
          <w:bCs/>
          <w:sz w:val="22"/>
          <w:szCs w:val="22"/>
        </w:rPr>
      </w:pPr>
      <w:r>
        <w:rPr>
          <w:b/>
          <w:bCs/>
          <w:sz w:val="22"/>
          <w:szCs w:val="22"/>
        </w:rPr>
      </w:r>
    </w:p>
    <w:p>
      <w:pPr>
        <w:pStyle w:val="Normal"/>
        <w:spacing w:lineRule="exact" w:line="240"/>
        <w:ind w:end="720"/>
        <w:jc w:val="center"/>
        <w:rPr>
          <w:b/>
          <w:bCs/>
          <w:sz w:val="22"/>
          <w:szCs w:val="22"/>
        </w:rPr>
      </w:pPr>
      <w:r>
        <w:rPr>
          <w:b/>
          <w:bCs/>
          <w:sz w:val="22"/>
          <w:szCs w:val="22"/>
        </w:rPr>
        <w:t>EXELON CORP.</w:t>
      </w:r>
    </w:p>
    <w:p>
      <w:pPr>
        <w:pStyle w:val="Normal"/>
        <w:ind w:end="720"/>
        <w:jc w:val="center"/>
        <w:rPr>
          <w:b/>
          <w:bCs/>
          <w:sz w:val="22"/>
          <w:szCs w:val="22"/>
        </w:rPr>
      </w:pPr>
      <w:r>
        <w:rPr>
          <w:b/>
          <w:bCs/>
          <w:sz w:val="22"/>
          <w:szCs w:val="22"/>
        </w:rPr>
      </w:r>
    </w:p>
    <w:p>
      <w:pPr>
        <w:pStyle w:val="Normal"/>
        <w:spacing w:lineRule="exact" w:line="240"/>
        <w:ind w:end="720"/>
        <w:jc w:val="center"/>
        <w:rPr>
          <w:sz w:val="22"/>
          <w:szCs w:val="22"/>
        </w:rPr>
      </w:pPr>
      <w:r>
        <w:rPr>
          <w:sz w:val="22"/>
          <w:szCs w:val="22"/>
          <w:u w:val="single"/>
        </w:rPr>
        <w:t>Guaranty</w:t>
      </w:r>
    </w:p>
    <w:p>
      <w:pPr>
        <w:pStyle w:val="Normal"/>
        <w:ind w:end="720"/>
        <w:jc w:val="both"/>
        <w:rPr>
          <w:sz w:val="22"/>
          <w:szCs w:val="22"/>
        </w:rPr>
      </w:pPr>
      <w:r>
        <w:rPr>
          <w:sz w:val="22"/>
          <w:szCs w:val="22"/>
        </w:rPr>
      </w:r>
    </w:p>
    <w:p>
      <w:pPr>
        <w:pStyle w:val="Normal"/>
        <w:spacing w:lineRule="atLeast" w:line="240"/>
        <w:ind w:firstLine="720" w:end="0"/>
        <w:jc w:val="both"/>
        <w:rPr/>
      </w:pPr>
      <w:r>
        <w:rPr>
          <w:sz w:val="22"/>
        </w:rPr>
        <w:t xml:space="preserve">This Guaranty (this “Guaranty”), dated effective as of </w:t>
      </w:r>
      <w:r>
        <w:rPr>
          <w:sz w:val="22"/>
          <w:u w:val="single"/>
        </w:rPr>
        <w:tab/>
        <w:tab/>
        <w:tab/>
      </w:r>
      <w:r>
        <w:rPr>
          <w:sz w:val="22"/>
        </w:rPr>
        <w:t>,  2001 (the “Effective Date”),  is made and entered into by EXELON CORP., a _____________________(“Guarantor”).</w:t>
      </w:r>
    </w:p>
    <w:p>
      <w:pPr>
        <w:pStyle w:val="Normal"/>
        <w:spacing w:lineRule="atLeast" w:line="240"/>
        <w:jc w:val="both"/>
        <w:rPr>
          <w:sz w:val="22"/>
        </w:rPr>
      </w:pPr>
      <w:r>
        <w:rPr>
          <w:sz w:val="22"/>
        </w:rPr>
      </w:r>
    </w:p>
    <w:p>
      <w:pPr>
        <w:pStyle w:val="Normal"/>
        <w:keepNext w:val="true"/>
        <w:spacing w:lineRule="atLeast" w:line="240"/>
        <w:jc w:val="center"/>
        <w:rPr>
          <w:caps/>
          <w:sz w:val="22"/>
        </w:rPr>
      </w:pPr>
      <w:r>
        <w:rPr>
          <w:caps/>
          <w:sz w:val="22"/>
        </w:rPr>
        <w:t>W I T N E S S E T H:</w:t>
      </w:r>
    </w:p>
    <w:p>
      <w:pPr>
        <w:pStyle w:val="Normal"/>
        <w:spacing w:lineRule="atLeast" w:line="240"/>
        <w:jc w:val="both"/>
        <w:rPr>
          <w:caps/>
          <w:sz w:val="22"/>
        </w:rPr>
      </w:pPr>
      <w:r>
        <w:rPr>
          <w:caps/>
          <w:sz w:val="22"/>
        </w:rPr>
      </w:r>
    </w:p>
    <w:p>
      <w:pPr>
        <w:pStyle w:val="Normal"/>
        <w:spacing w:lineRule="atLeast" w:line="240"/>
        <w:ind w:firstLine="720" w:end="0"/>
        <w:jc w:val="both"/>
        <w:rPr/>
      </w:pPr>
      <w:r>
        <w:rPr>
          <w:sz w:val="22"/>
        </w:rPr>
        <w:t xml:space="preserve">WHEREAS, EXELON GENERATION COMPANY, LLC, a ___________ limited liability company and an affiliate of Guarantor (“Counterparty”) and </w:t>
      </w:r>
      <w:r>
        <w:rPr>
          <w:caps/>
          <w:sz w:val="22"/>
        </w:rPr>
        <w:t>Enron North America Corp.</w:t>
      </w:r>
      <w:r>
        <w:rPr>
          <w:sz w:val="22"/>
        </w:rPr>
        <w:t>, a Delaware corporation (“ENA”), have entered into and/or will enter into one or more swap, option, or other financially-settled derivative transactions  (the “Financial Transactions”), which Financial Transactions will be evidenced by one or more swap agreements, confirmations and/or master agreements, including without limitation, the ISDA Master Agreement dated as of ____________,  as the same may from time to time be modified, amended and supplemented (all such Financial Transactions and the agreements evidencing same, including without limitation, the ISDA Master Agreement, whether entered into prior to, on or after the date hereof, as the same may be modified, amended and supplemented, shall be herein referred to collectively as the “Financial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WHEREAS, Counterparty and </w:t>
      </w:r>
      <w:r>
        <w:rPr>
          <w:caps/>
          <w:sz w:val="22"/>
        </w:rPr>
        <w:t>Enron Power Marketing, Inc.</w:t>
      </w:r>
      <w:r>
        <w:rPr>
          <w:sz w:val="22"/>
        </w:rPr>
        <w:t xml:space="preserve"> (“EPMI” and together with ENA being hereinafter collectively referred to as the “Enron Parties” and individually as an “Enron Party”) have entered into and/or will enter into one or more power (including electrical energy capacity and/or products and services related thereto) transactions (the “Power Transactions”), which Power Transactions will be evidenced by one or more purchase and sale agreements, confirmations and/or master agreements, including without limitation, the Master Power Purchase &amp; Sale Agreement dated ____________, as the same may from time to time be modified, amended and supplemented (all such Power Transactions and the agreements evidencing same, including without limitation, the Master Power Purchase &amp; Sale Agreement, whether entered into prior to, on or after the date hereof, as the same may be modified, amended and supplemented, shall be herein referred to collectively as the “Power Contracts” and together with the Financial Contracts being hereinafter collectively referred to as the “Contracts”);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has benefited and in the future will directly or indirectly benefit from the Transactions to be entered into between the Enron Parties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the Enron Parties entering into the Contracts,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(a) Guarantor hereby irrevocably and unconditionally guarantees the timely payment when due of the obligations of Counterparty (the “Obligations”) to the Enron Parties under the Contracts, and (b) to the extent that Counterparty shall fail to pay any Obligations to any Enron Party, Guarantor shall promptly pay to such Enron Party the amount due.  This Guaranty shall constitute a guarantee of payment and not of collection.  The liability of Guarantor under this Guaranty shall be subject to the following:</w:t>
      </w:r>
    </w:p>
    <w:p>
      <w:pPr>
        <w:pStyle w:val="Normal"/>
        <w:spacing w:lineRule="exact" w:line="240" w:before="240" w:after="0"/>
        <w:ind w:firstLine="720" w:start="720" w:end="0"/>
        <w:jc w:val="both"/>
        <w:rPr>
          <w:sz w:val="22"/>
        </w:rPr>
      </w:pPr>
      <w:r>
        <w:rPr>
          <w:sz w:val="22"/>
        </w:rPr>
        <w:t>(a)  Guarantor’s liability hereunder shall be and is specifically limited to payments expressly required to be made under the Contracts (even if such payments are deemed to be damages) and, except to the extent specifically provided in the Contracts, in no event shall Guarantor be subject hereunder to consequential, exemplary, equitable, loss of profits, punitive, tort, or any other damages, costs, or attorney’s fees.</w:t>
      </w:r>
    </w:p>
    <w:p>
      <w:pPr>
        <w:pStyle w:val="Normal"/>
        <w:spacing w:lineRule="exact" w:line="240" w:before="240" w:after="0"/>
        <w:ind w:firstLine="720" w:start="720" w:end="0"/>
        <w:jc w:val="both"/>
        <w:rPr>
          <w:sz w:val="22"/>
        </w:rPr>
      </w:pPr>
      <w:r>
        <w:rPr>
          <w:sz w:val="22"/>
        </w:rPr>
        <w:t>(b)  The aggregate amount covered by this Guaranty shall not exceed U.S. $100,000,000 (the “Guarantee Cap”).</w:t>
      </w:r>
    </w:p>
    <w:p>
      <w:pPr>
        <w:pStyle w:val="Normal"/>
        <w:spacing w:lineRule="atLeast" w:line="240"/>
        <w:jc w:val="both"/>
        <w:rPr>
          <w:sz w:val="22"/>
        </w:rPr>
      </w:pPr>
      <w:r>
        <w:rPr>
          <w:sz w:val="22"/>
        </w:rPr>
      </w:r>
    </w:p>
    <w:p>
      <w:pPr>
        <w:pStyle w:val="Normal"/>
        <w:numPr>
          <w:ilvl w:val="0"/>
          <w:numId w:val="2"/>
        </w:numPr>
        <w:spacing w:lineRule="atLeast" w:line="240"/>
        <w:ind w:firstLine="720" w:start="0" w:end="0"/>
        <w:jc w:val="both"/>
        <w:rPr>
          <w:sz w:val="22"/>
        </w:rPr>
      </w:pPr>
      <w:r>
        <w:rPr>
          <w:sz w:val="22"/>
          <w:u w:val="single"/>
        </w:rPr>
        <w:t>DEMANDS AND NOTICE</w:t>
      </w:r>
      <w:r>
        <w:rPr>
          <w:sz w:val="22"/>
        </w:rPr>
        <w:t>.  If Counterparty fails or refuses to pay any Obligations, and any of the Enron Parties has elected to exercise its rights under this Guaranty, such Enron Party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such Enron 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jc w:val="both"/>
        <w:rPr>
          <w:sz w:val="22"/>
        </w:rPr>
      </w:pPr>
      <w:r>
        <w:rPr>
          <w:sz w:val="22"/>
        </w:rPr>
      </w:r>
    </w:p>
    <w:p>
      <w:pPr>
        <w:pStyle w:val="Normal"/>
        <w:tabs>
          <w:tab w:val="left" w:pos="720" w:leader="none"/>
        </w:tabs>
        <w:spacing w:lineRule="atLeast" w:line="240"/>
        <w:jc w:val="both"/>
        <w:rPr>
          <w:sz w:val="22"/>
        </w:rPr>
      </w:pPr>
      <w:r>
        <w:rPr>
          <w:sz w:val="22"/>
        </w:rPr>
        <w:tab/>
        <w:t>Guarantor shall not be liable for any Payment Demands in excess of the Guarantee Cap.  In the event Guarantor receives approximately simultaneous Payment Demands from the Enron Parties in excess of the Guarantee Cap, Guarantor’s total payment up to but not exceeding U.S.$100,000,000 shall be allocated among the Contracts to which the Enron Parties are parties in accordance with each Contract’s percentage of the total amount demanded by both.  In all other instances, Guarantor’s payments hereunder, up to and including, but not in excess of the Guarantee Cap, will be made in the order in which the associated Payment Demands were received.</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spacing w:lineRule="exact" w:line="240" w:before="240" w:after="0"/>
        <w:ind w:firstLine="720" w:start="720" w:end="0"/>
        <w:jc w:val="both"/>
        <w:rPr>
          <w:sz w:val="22"/>
        </w:rPr>
      </w:pPr>
      <w:r>
        <w:rPr>
          <w:sz w:val="22"/>
        </w:rPr>
        <w:t xml:space="preserve">(a)  it is a corporation duly organized and validly existing under the laws of the State of __________ and has the corporate power and authority to execute, deliver and carry out the terms and provisions of the Guaranty; </w:t>
      </w:r>
    </w:p>
    <w:p>
      <w:pPr>
        <w:pStyle w:val="Normal"/>
        <w:spacing w:lineRule="exact" w:line="240" w:before="240" w:after="0"/>
        <w:ind w:firstLine="720" w:start="72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Counterparty is or may be entitled to arising from or out of the Contracts or otherwise, except for defenses arising out of the bankruptcy, insolvency, dissolution or liquidation of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the Enron Parties.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Except as required in Section 2 above, Guarantor hereby waives (a) notice of acceptance of this Guaranty; (b) presentment and demand concerning the liabilities of Guarantor; and (c) any right to require that any action or proceeding be brought against Counterparty or any other person, or to require that the Enron Parties seek enforcement of any performance against Counterparty or any other person, prior to any action against Guarantor under the terms hereof.  Except as to applicable statutes of limitation, no delay of the Enron Parties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the Enron Parties and upon the effectiveness of such termination, Guarantor shall have no further liability hereunder, except as provided in the last sentence of this paragraph.  No such termination shall be effective until five (5) business days after receipt by the Enron Parties of such termination notice.  No such termination shall affect Guarantor’s liability with respect to any Transactions entered into prior to the time the termination is effective, which Transactions and the obligations of Counterparty with respect thereto under the Contracts,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rPr>
      </w:pPr>
      <w:r>
        <w:rPr>
          <w:sz w:val="22"/>
        </w:rPr>
      </w:r>
    </w:p>
    <w:tbl>
      <w:tblPr>
        <w:tblW w:w="10098" w:type="dxa"/>
        <w:jc w:val="start"/>
        <w:tblInd w:w="0" w:type="dxa"/>
        <w:tblLayout w:type="fixed"/>
        <w:tblCellMar>
          <w:top w:w="0" w:type="dxa"/>
          <w:start w:w="108" w:type="dxa"/>
          <w:bottom w:w="0" w:type="dxa"/>
          <w:end w:w="108" w:type="dxa"/>
        </w:tblCellMar>
      </w:tblPr>
      <w:tblGrid>
        <w:gridCol w:w="1458"/>
        <w:gridCol w:w="3150"/>
        <w:gridCol w:w="1530"/>
        <w:gridCol w:w="3960"/>
      </w:tblGrid>
      <w:tr>
        <w:trPr/>
        <w:tc>
          <w:tcPr>
            <w:tcW w:w="1458" w:type="dxa"/>
            <w:tcBorders/>
          </w:tcPr>
          <w:p>
            <w:pPr>
              <w:pStyle w:val="Normal"/>
              <w:keepNext w:val="true"/>
              <w:keepLines/>
              <w:spacing w:lineRule="atLeast" w:line="240"/>
              <w:rPr>
                <w:sz w:val="22"/>
              </w:rPr>
            </w:pPr>
            <w:r>
              <w:rPr>
                <w:sz w:val="22"/>
              </w:rPr>
              <w:t>To the Enron Parties:</w:t>
            </w:r>
          </w:p>
        </w:tc>
        <w:tc>
          <w:tcPr>
            <w:tcW w:w="3150" w:type="dxa"/>
            <w:tcBorders/>
          </w:tcPr>
          <w:p>
            <w:pPr>
              <w:pStyle w:val="Normal"/>
              <w:keepNext w:val="true"/>
              <w:keepLines/>
              <w:spacing w:lineRule="atLeast" w:line="240"/>
              <w:rPr>
                <w:sz w:val="22"/>
              </w:rPr>
            </w:pPr>
            <w:r>
              <w:rPr>
                <w:sz w:val="22"/>
              </w:rPr>
              <w:t>Enron North America Corp.</w:t>
            </w:r>
          </w:p>
        </w:tc>
        <w:tc>
          <w:tcPr>
            <w:tcW w:w="1530" w:type="dxa"/>
            <w:tcBorders/>
          </w:tcPr>
          <w:p>
            <w:pPr>
              <w:pStyle w:val="Normal"/>
              <w:keepNext w:val="true"/>
              <w:keepLines/>
              <w:spacing w:lineRule="atLeast" w:line="240"/>
              <w:rPr>
                <w:sz w:val="22"/>
              </w:rPr>
            </w:pPr>
            <w:r>
              <w:rPr>
                <w:sz w:val="22"/>
              </w:rPr>
              <w:t>To Guarantor:</w:t>
            </w:r>
          </w:p>
        </w:tc>
        <w:tc>
          <w:tcPr>
            <w:tcW w:w="3960" w:type="dxa"/>
            <w:tcBorders/>
          </w:tcPr>
          <w:p>
            <w:pPr>
              <w:pStyle w:val="Normal"/>
              <w:keepNext w:val="true"/>
              <w:keepLines/>
              <w:tabs>
                <w:tab w:val="clear" w:pos="720"/>
                <w:tab w:val="right" w:pos="2988" w:leader="none"/>
              </w:tabs>
              <w:spacing w:lineRule="atLeast" w:line="240"/>
              <w:rPr>
                <w:sz w:val="22"/>
              </w:rPr>
            </w:pPr>
            <w:r>
              <w:rPr>
                <w:sz w:val="22"/>
              </w:rPr>
              <w:t>Exelon Corp.</w:t>
            </w:r>
          </w:p>
          <w:p>
            <w:pPr>
              <w:pStyle w:val="Normal"/>
              <w:keepNext w:val="true"/>
              <w:keepLines/>
              <w:tabs>
                <w:tab w:val="clear" w:pos="720"/>
                <w:tab w:val="right" w:pos="2988" w:leader="none"/>
              </w:tabs>
              <w:spacing w:lineRule="atLeast" w:line="240"/>
              <w:rPr>
                <w:sz w:val="22"/>
              </w:rPr>
            </w:pPr>
            <w:r>
              <w:rPr>
                <w:sz w:val="22"/>
              </w:rPr>
            </w:r>
          </w:p>
        </w:tc>
      </w:tr>
      <w:tr>
        <w:trPr/>
        <w:tc>
          <w:tcPr>
            <w:tcW w:w="1458" w:type="dxa"/>
            <w:tcBorders/>
          </w:tcPr>
          <w:p>
            <w:pPr>
              <w:pStyle w:val="Normal"/>
              <w:keepNext w:val="true"/>
              <w:keepLines/>
              <w:snapToGrid w:val="false"/>
              <w:spacing w:lineRule="atLeast" w:line="240"/>
              <w:rPr>
                <w:sz w:val="22"/>
              </w:rPr>
            </w:pPr>
            <w:r>
              <w:rPr>
                <w:sz w:val="22"/>
              </w:rPr>
            </w:r>
          </w:p>
        </w:tc>
        <w:tc>
          <w:tcPr>
            <w:tcW w:w="3150" w:type="dxa"/>
            <w:tcBorders/>
          </w:tcPr>
          <w:p>
            <w:pPr>
              <w:pStyle w:val="Normal"/>
              <w:keepNext w:val="true"/>
              <w:keepLines/>
              <w:spacing w:lineRule="atLeast" w:line="240"/>
              <w:rPr>
                <w:sz w:val="22"/>
              </w:rPr>
            </w:pPr>
            <w:r>
              <w:rPr>
                <w:sz w:val="22"/>
              </w:rPr>
              <w:t>1400 Smith Street</w:t>
            </w:r>
          </w:p>
        </w:tc>
        <w:tc>
          <w:tcPr>
            <w:tcW w:w="1530" w:type="dxa"/>
            <w:tcBorders/>
          </w:tcPr>
          <w:p>
            <w:pPr>
              <w:pStyle w:val="Normal"/>
              <w:keepNext w:val="true"/>
              <w:keepLines/>
              <w:snapToGrid w:val="false"/>
              <w:spacing w:lineRule="atLeast" w:line="240"/>
              <w:rPr>
                <w:sz w:val="22"/>
              </w:rPr>
            </w:pPr>
            <w:r>
              <w:rPr>
                <w:sz w:val="22"/>
              </w:rPr>
            </w:r>
          </w:p>
        </w:tc>
        <w:tc>
          <w:tcPr>
            <w:tcW w:w="3960" w:type="dxa"/>
            <w:tcBorders/>
          </w:tcPr>
          <w:p>
            <w:pPr>
              <w:pStyle w:val="Normal"/>
              <w:keepNext w:val="true"/>
              <w:keepLines/>
              <w:tabs>
                <w:tab w:val="clear" w:pos="720"/>
                <w:tab w:val="right" w:pos="2988" w:leader="none"/>
              </w:tabs>
              <w:snapToGrid w:val="false"/>
              <w:spacing w:lineRule="atLeast" w:line="240"/>
              <w:rPr>
                <w:sz w:val="22"/>
              </w:rPr>
            </w:pPr>
            <w:r>
              <w:rPr>
                <w:sz w:val="22"/>
              </w:rPr>
            </w:r>
          </w:p>
        </w:tc>
      </w:tr>
      <w:tr>
        <w:trPr/>
        <w:tc>
          <w:tcPr>
            <w:tcW w:w="1458" w:type="dxa"/>
            <w:tcBorders/>
          </w:tcPr>
          <w:p>
            <w:pPr>
              <w:pStyle w:val="Normal"/>
              <w:keepNext w:val="true"/>
              <w:keepLines/>
              <w:snapToGrid w:val="false"/>
              <w:spacing w:lineRule="atLeast" w:line="240"/>
              <w:rPr>
                <w:sz w:val="22"/>
              </w:rPr>
            </w:pPr>
            <w:r>
              <w:rPr>
                <w:sz w:val="22"/>
              </w:rPr>
            </w:r>
          </w:p>
        </w:tc>
        <w:tc>
          <w:tcPr>
            <w:tcW w:w="3150" w:type="dxa"/>
            <w:tcBorders/>
          </w:tcPr>
          <w:p>
            <w:pPr>
              <w:pStyle w:val="Normal"/>
              <w:keepNext w:val="true"/>
              <w:keepLines/>
              <w:spacing w:lineRule="atLeast" w:line="240"/>
              <w:rPr>
                <w:sz w:val="22"/>
              </w:rPr>
            </w:pPr>
            <w:r>
              <w:rPr>
                <w:sz w:val="22"/>
              </w:rPr>
              <w:t>Houston, Texas 77002</w:t>
            </w:r>
          </w:p>
        </w:tc>
        <w:tc>
          <w:tcPr>
            <w:tcW w:w="1530" w:type="dxa"/>
            <w:tcBorders/>
          </w:tcPr>
          <w:p>
            <w:pPr>
              <w:pStyle w:val="Normal"/>
              <w:keepNext w:val="true"/>
              <w:keepLines/>
              <w:snapToGrid w:val="false"/>
              <w:spacing w:lineRule="atLeast" w:line="240"/>
              <w:rPr>
                <w:sz w:val="22"/>
              </w:rPr>
            </w:pPr>
            <w:r>
              <w:rPr>
                <w:sz w:val="22"/>
              </w:rPr>
            </w:r>
          </w:p>
        </w:tc>
        <w:tc>
          <w:tcPr>
            <w:tcW w:w="3960" w:type="dxa"/>
            <w:tcBorders/>
          </w:tcPr>
          <w:p>
            <w:pPr>
              <w:pStyle w:val="Normal"/>
              <w:keepNext w:val="true"/>
              <w:keepLines/>
              <w:tabs>
                <w:tab w:val="clear" w:pos="720"/>
                <w:tab w:val="right" w:pos="2988" w:leader="none"/>
              </w:tabs>
              <w:snapToGrid w:val="false"/>
              <w:spacing w:lineRule="atLeast" w:line="240"/>
              <w:rPr>
                <w:sz w:val="22"/>
              </w:rPr>
            </w:pPr>
            <w:r>
              <w:rPr>
                <w:sz w:val="22"/>
              </w:rPr>
            </w:r>
          </w:p>
        </w:tc>
      </w:tr>
      <w:tr>
        <w:trPr/>
        <w:tc>
          <w:tcPr>
            <w:tcW w:w="1458" w:type="dxa"/>
            <w:tcBorders/>
          </w:tcPr>
          <w:p>
            <w:pPr>
              <w:pStyle w:val="Normal"/>
              <w:keepNext w:val="true"/>
              <w:keepLines/>
              <w:snapToGrid w:val="false"/>
              <w:spacing w:lineRule="atLeast" w:line="240"/>
              <w:rPr>
                <w:sz w:val="22"/>
              </w:rPr>
            </w:pPr>
            <w:r>
              <w:rPr>
                <w:sz w:val="22"/>
              </w:rPr>
            </w:r>
          </w:p>
        </w:tc>
        <w:tc>
          <w:tcPr>
            <w:tcW w:w="3150" w:type="dxa"/>
            <w:tcBorders/>
          </w:tcPr>
          <w:p>
            <w:pPr>
              <w:pStyle w:val="Normal"/>
              <w:keepNext w:val="true"/>
              <w:keepLines/>
              <w:spacing w:lineRule="atLeast" w:line="240"/>
              <w:rPr>
                <w:sz w:val="22"/>
              </w:rPr>
            </w:pPr>
            <w:r>
              <w:rPr>
                <w:sz w:val="22"/>
              </w:rPr>
              <w:t>Attn.:</w:t>
              <w:tab/>
              <w:t>Director, Documentation Department</w:t>
            </w:r>
          </w:p>
        </w:tc>
        <w:tc>
          <w:tcPr>
            <w:tcW w:w="1530" w:type="dxa"/>
            <w:tcBorders/>
          </w:tcPr>
          <w:p>
            <w:pPr>
              <w:pStyle w:val="Normal"/>
              <w:keepNext w:val="true"/>
              <w:keepLines/>
              <w:snapToGrid w:val="false"/>
              <w:spacing w:lineRule="atLeast" w:line="240"/>
              <w:rPr>
                <w:sz w:val="22"/>
              </w:rPr>
            </w:pPr>
            <w:r>
              <w:rPr>
                <w:sz w:val="22"/>
              </w:rPr>
            </w:r>
          </w:p>
        </w:tc>
        <w:tc>
          <w:tcPr>
            <w:tcW w:w="3960" w:type="dxa"/>
            <w:tcBorders/>
          </w:tcPr>
          <w:p>
            <w:pPr>
              <w:pStyle w:val="Normal"/>
              <w:keepNext w:val="true"/>
              <w:keepLines/>
              <w:tabs>
                <w:tab w:val="clear" w:pos="720"/>
                <w:tab w:val="right" w:pos="2988" w:leader="none"/>
              </w:tabs>
              <w:spacing w:lineRule="atLeast" w:line="240"/>
              <w:rPr>
                <w:sz w:val="22"/>
              </w:rPr>
            </w:pPr>
            <w:r>
              <w:rPr>
                <w:sz w:val="22"/>
              </w:rPr>
              <w:t>Attn.:</w:t>
            </w:r>
            <w:r>
              <w:rPr>
                <w:sz w:val="22"/>
                <w:u w:val="single"/>
              </w:rPr>
              <w:tab/>
            </w:r>
          </w:p>
        </w:tc>
      </w:tr>
      <w:tr>
        <w:trPr/>
        <w:tc>
          <w:tcPr>
            <w:tcW w:w="1458" w:type="dxa"/>
            <w:tcBorders/>
          </w:tcPr>
          <w:p>
            <w:pPr>
              <w:pStyle w:val="Normal"/>
              <w:keepNext w:val="true"/>
              <w:keepLines/>
              <w:snapToGrid w:val="false"/>
              <w:spacing w:lineRule="atLeast" w:line="240"/>
              <w:rPr>
                <w:sz w:val="22"/>
              </w:rPr>
            </w:pPr>
            <w:r>
              <w:rPr>
                <w:sz w:val="22"/>
              </w:rPr>
            </w:r>
          </w:p>
        </w:tc>
        <w:tc>
          <w:tcPr>
            <w:tcW w:w="3150" w:type="dxa"/>
            <w:tcBorders/>
          </w:tcPr>
          <w:p>
            <w:pPr>
              <w:pStyle w:val="Normal"/>
              <w:keepNext w:val="true"/>
              <w:keepLines/>
              <w:spacing w:lineRule="atLeast" w:line="240"/>
              <w:rPr>
                <w:sz w:val="22"/>
              </w:rPr>
            </w:pPr>
            <w:r>
              <w:rPr>
                <w:sz w:val="22"/>
              </w:rPr>
              <w:t>Fax No.:  (713) 646-4816</w:t>
            </w:r>
          </w:p>
        </w:tc>
        <w:tc>
          <w:tcPr>
            <w:tcW w:w="1530" w:type="dxa"/>
            <w:tcBorders/>
          </w:tcPr>
          <w:p>
            <w:pPr>
              <w:pStyle w:val="Normal"/>
              <w:keepNext w:val="true"/>
              <w:keepLines/>
              <w:snapToGrid w:val="false"/>
              <w:spacing w:lineRule="atLeast" w:line="240"/>
              <w:rPr>
                <w:sz w:val="22"/>
              </w:rPr>
            </w:pPr>
            <w:r>
              <w:rPr>
                <w:sz w:val="22"/>
              </w:rPr>
            </w:r>
          </w:p>
        </w:tc>
        <w:tc>
          <w:tcPr>
            <w:tcW w:w="3960" w:type="dxa"/>
            <w:tcBorders/>
          </w:tcPr>
          <w:p>
            <w:pPr>
              <w:pStyle w:val="Normal"/>
              <w:keepNext w:val="true"/>
              <w:keepLines/>
              <w:tabs>
                <w:tab w:val="clear" w:pos="720"/>
                <w:tab w:val="right" w:pos="2988" w:leader="none"/>
              </w:tabs>
              <w:spacing w:lineRule="atLeast" w:line="240"/>
              <w:rPr>
                <w:sz w:val="22"/>
              </w:rPr>
            </w:pPr>
            <w:r>
              <w:rPr>
                <w:sz w:val="22"/>
              </w:rPr>
              <w:t>Fax No.:</w:t>
            </w:r>
            <w:r>
              <w:rPr>
                <w:sz w:val="22"/>
                <w:u w:val="single"/>
              </w:rPr>
              <w:tab/>
            </w:r>
          </w:p>
        </w:tc>
      </w:tr>
    </w:tbl>
    <w:p>
      <w:pPr>
        <w:pStyle w:val="Normal"/>
        <w:spacing w:lineRule="atLeast" w:line="240"/>
        <w:ind w:firstLine="720" w:end="0"/>
        <w:jc w:val="both"/>
        <w:rPr>
          <w:sz w:val="22"/>
        </w:rPr>
      </w:pPr>
      <w:r>
        <w:rPr>
          <w:sz w:val="22"/>
        </w:rPr>
      </w:r>
    </w:p>
    <w:p>
      <w:pPr>
        <w:pStyle w:val="BodyTextIndent"/>
        <w:rPr/>
      </w:pPr>
      <w:r>
        <w:rPr/>
        <w:t>A copy of any Notice sent to the Enron Parties pursuant hereto must also be sent to the above address to (i) Enron Corp., Attention:  Corporate Secretary, Fax No. (713) 853-2534, and (ii) Enron North America Corp., Attention:  Assistant General Counsel, Trading Group, Fax No. (713) 646-4818.</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8.</w:t>
        <w:tab/>
      </w:r>
      <w:r>
        <w:rPr>
          <w:sz w:val="22"/>
          <w:u w:val="single"/>
        </w:rPr>
        <w:t>MISCELLANEOUS</w:t>
      </w:r>
      <w:r>
        <w:rPr>
          <w:sz w:val="22"/>
        </w:rPr>
        <w:t>.  THIS GUARANTY SHALL IN ALL RESPECTS BE GOVERNED BY, AND CONSTRUED IN ACCORDANCE WITH, THE LAWS OF THE STATE OF NEW YORK, WITHOUT GIVING EFFECT TO THE PRINCIPLES THEREOF RELATING TO CONFLICTS OF LAWS, EXCEPT SECTION 5-1401 OF THE NEW YORK OBLIGATION LAWS.  This Guaranty shall be binding upon Guarantor, its successors and assigns and inure to the benefit of and be enforceable by the Enron Parties and their respective successors and assigns.  This Guaranty embodies the entire agreement and understanding between Guarantor and the Enron Parties and supersedes all prior agreements and understandings relating to the subject matter hereof. The headings in this Guaranty are for purposes of reference only, and shall not affect the meaning hereof.</w:t>
      </w:r>
    </w:p>
    <w:p>
      <w:pPr>
        <w:pStyle w:val="Normal"/>
        <w:spacing w:lineRule="atLeast" w:line="240"/>
        <w:jc w:val="both"/>
        <w:rPr>
          <w:sz w:val="22"/>
        </w:rPr>
      </w:pPr>
      <w:r>
        <w:rPr>
          <w:sz w:val="22"/>
        </w:rPr>
      </w:r>
    </w:p>
    <w:p>
      <w:pPr>
        <w:pStyle w:val="Normal"/>
        <w:keepNext w:val="true"/>
        <w:spacing w:lineRule="atLeast" w:line="240"/>
        <w:ind w:firstLine="720" w:end="0"/>
        <w:jc w:val="both"/>
        <w:rPr>
          <w:sz w:val="22"/>
        </w:rPr>
      </w:pPr>
      <w:r>
        <w:rPr>
          <w:sz w:val="22"/>
        </w:rPr>
        <w:t>IN WITNESS WHEREOF, the Guarantor has executed this Guaranty effective as of the Effective Date.</w:t>
      </w:r>
    </w:p>
    <w:p>
      <w:pPr>
        <w:pStyle w:val="Normal"/>
        <w:keepNext w:val="true"/>
        <w:keepLines/>
        <w:spacing w:lineRule="atLeast" w:line="240"/>
        <w:jc w:val="both"/>
        <w:rPr>
          <w:sz w:val="22"/>
        </w:rPr>
      </w:pPr>
      <w:r>
        <w:rPr>
          <w:sz w:val="22"/>
        </w:rPr>
      </w:r>
    </w:p>
    <w:p>
      <w:pPr>
        <w:pStyle w:val="Normal"/>
        <w:keepNext w:val="true"/>
        <w:keepLines/>
        <w:spacing w:lineRule="exact" w:line="240"/>
        <w:ind w:start="5040" w:end="0"/>
        <w:jc w:val="both"/>
        <w:rPr>
          <w:b/>
          <w:bCs/>
          <w:sz w:val="22"/>
        </w:rPr>
      </w:pPr>
      <w:r>
        <w:rPr>
          <w:b/>
          <w:bCs/>
          <w:sz w:val="22"/>
        </w:rPr>
        <w:t>EXELON CORP.</w:t>
      </w:r>
    </w:p>
    <w:p>
      <w:pPr>
        <w:pStyle w:val="Normal"/>
        <w:keepNext w:val="true"/>
        <w:keepLines/>
        <w:spacing w:lineRule="exact" w:line="240"/>
        <w:ind w:start="5040" w:end="0"/>
        <w:jc w:val="both"/>
        <w:rPr>
          <w:b/>
          <w:bCs/>
          <w:sz w:val="22"/>
        </w:rPr>
      </w:pPr>
      <w:r>
        <w:rPr>
          <w:b/>
          <w:bCs/>
          <w:sz w:val="22"/>
        </w:rPr>
      </w:r>
    </w:p>
    <w:p>
      <w:pPr>
        <w:pStyle w:val="Normal"/>
        <w:keepNext w:val="true"/>
        <w:keepLines/>
        <w:spacing w:lineRule="exact" w:line="240"/>
        <w:ind w:start="5040" w:end="0"/>
        <w:jc w:val="both"/>
        <w:rPr>
          <w:sz w:val="22"/>
        </w:rPr>
      </w:pPr>
      <w:r>
        <w:rPr>
          <w:sz w:val="22"/>
        </w:rPr>
        <w:t xml:space="preserve">By:  </w:t>
      </w:r>
      <w:r>
        <w:rPr>
          <w:sz w:val="22"/>
          <w:u w:val="single"/>
        </w:rPr>
        <w:tab/>
        <w:tab/>
        <w:tab/>
        <w:tab/>
        <w:tab/>
        <w:tab/>
      </w:r>
    </w:p>
    <w:p>
      <w:pPr>
        <w:pStyle w:val="Normal"/>
        <w:keepNext w:val="true"/>
        <w:keepLines/>
        <w:spacing w:lineRule="atLeast" w:line="240"/>
        <w:ind w:start="5040" w:end="0"/>
        <w:jc w:val="both"/>
        <w:rPr>
          <w:sz w:val="22"/>
        </w:rPr>
      </w:pPr>
      <w:r>
        <w:rPr>
          <w:sz w:val="22"/>
        </w:rPr>
        <w:t xml:space="preserve">Name:  </w:t>
      </w:r>
      <w:r>
        <w:rPr>
          <w:sz w:val="22"/>
          <w:u w:val="single"/>
        </w:rPr>
        <w:tab/>
        <w:tab/>
        <w:tab/>
        <w:tab/>
        <w:tab/>
        <w:tab/>
      </w:r>
    </w:p>
    <w:p>
      <w:pPr>
        <w:pStyle w:val="Normal"/>
        <w:keepNext w:val="true"/>
        <w:keepLines/>
        <w:spacing w:lineRule="atLeast" w:line="240"/>
        <w:ind w:start="5040" w:end="0"/>
        <w:jc w:val="both"/>
        <w:rPr/>
      </w:pPr>
      <w:r>
        <w:rPr>
          <w:sz w:val="22"/>
        </w:rPr>
        <w:t xml:space="preserve">Title:  </w:t>
      </w:r>
      <w:r>
        <w:rPr>
          <w:sz w:val="22"/>
          <w:u w:val="single"/>
        </w:rPr>
        <w:tab/>
        <w:tab/>
        <w:tab/>
        <w:tab/>
        <w:tab/>
        <w:tab/>
      </w:r>
    </w:p>
    <w:p>
      <w:pPr>
        <w:pStyle w:val="Normal"/>
        <w:keepNext w:val="true"/>
        <w:rPr>
          <w:sz w:val="22"/>
          <w:u w:val="single"/>
        </w:rPr>
      </w:pPr>
      <w:r>
        <w:rPr>
          <w:sz w:val="22"/>
          <w:u w:val="single"/>
        </w:rPr>
      </w:r>
    </w:p>
    <w:p>
      <w:pPr>
        <w:pStyle w:val="Normal"/>
        <w:rPr>
          <w:sz w:val="22"/>
        </w:rPr>
      </w:pPr>
      <w:r>
        <w:rPr>
          <w:sz w:val="22"/>
        </w:rPr>
      </w:r>
    </w:p>
    <w:p>
      <w:pPr>
        <w:pStyle w:val="Normal"/>
        <w:spacing w:lineRule="exact" w:line="240"/>
        <w:ind w:end="720"/>
        <w:jc w:val="center"/>
        <w:rPr>
          <w:sz w:val="22"/>
        </w:rPr>
      </w:pPr>
      <w:r>
        <w:rPr>
          <w:sz w:val="22"/>
        </w:rPr>
      </w:r>
    </w:p>
    <w:sectPr>
      <w:headerReference w:type="default" r:id="rId16"/>
      <w:headerReference w:type="first" r:id="rId17"/>
      <w:footerReference w:type="default" r:id="rId18"/>
      <w:footerReference w:type="first" r:id="rId19"/>
      <w:type w:val="nextPage"/>
      <w:pgSz w:w="12240" w:h="15840"/>
      <w:pgMar w:left="1080" w:right="108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2"/>
        <w:szCs w:val="16"/>
      </w:rPr>
      <w:fldChar w:fldCharType="begin"/>
    </w:r>
    <w:r>
      <w:rPr>
        <w:rStyle w:val="PageNumber"/>
        <w:sz w:val="12"/>
        <w:szCs w:val="16"/>
      </w:rPr>
      <w:instrText xml:space="preserve"> FILENAME \p </w:instrText>
    </w:r>
    <w:r>
      <w:rPr>
        <w:rStyle w:val="PageNumber"/>
        <w:sz w:val="12"/>
        <w:szCs w:val="16"/>
      </w:rPr>
      <w:fldChar w:fldCharType="separate"/>
    </w:r>
    <w:r>
      <w:rPr>
        <w:rStyle w:val="PageNumber"/>
        <w:sz w:val="12"/>
        <w:szCs w:val="16"/>
      </w:rPr>
      <w:t>/mnt/main-storage/datasets/enron-docs/doc/180ctr_exelon_.doc</w:t>
    </w:r>
    <w:r>
      <w:rPr>
        <w:rStyle w:val="PageNumber"/>
        <w:sz w:val="12"/>
        <w:szCs w:val="16"/>
      </w:rPr>
      <w:fldChar w:fldCharType="end"/>
    </w:r>
    <w:r>
      <mc:AlternateContent>
        <mc:Choice Requires="wps">
          <w:drawing>
            <wp:anchor behindDoc="0" distT="0" distB="0" distL="0" distR="0" simplePos="0" locked="0" layoutInCell="0" allowOverlap="1" relativeHeight="12">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11</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11</w:t>
                    </w:r>
                    <w:r>
                      <w:rPr>
                        <w:rStyle w:val="PageNumber"/>
                        <w:sz w:val="20"/>
                        <w:szCs w:val="20"/>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rPr>
        <w:sz w:val="12"/>
      </w:rPr>
    </w:pPr>
    <w:r>
      <w:rPr>
        <w:sz w:val="12"/>
      </w:rPr>
      <w:fldChar w:fldCharType="begin"/>
    </w:r>
    <w:r>
      <w:rPr>
        <w:sz w:val="12"/>
      </w:rPr>
      <w:instrText xml:space="preserve"> FILENAME \p </w:instrText>
    </w:r>
    <w:r>
      <w:rPr>
        <w:sz w:val="12"/>
      </w:rPr>
      <w:fldChar w:fldCharType="separate"/>
    </w:r>
    <w:r>
      <w:rPr>
        <w:sz w:val="12"/>
      </w:rPr>
      <w:t>/mnt/main-storage/datasets/enron-docs/doc/180ctr_exelon_.doc</w:t>
    </w:r>
    <w:r>
      <w:rPr>
        <w:sz w:val="12"/>
      </w:rPr>
      <w:fldChar w:fldCharType="end"/>
    </w:r>
  </w:p>
  <w:p>
    <w:pPr>
      <w:pStyle w:val="Footer"/>
      <w:widowControl/>
      <w:tabs>
        <w:tab w:val="clear" w:pos="4320"/>
        <w:tab w:val="right" w:pos="8640" w:leader="none"/>
      </w:tabs>
      <w:ind w:end="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/mnt/main-storage/datasets/enron-docs/doc/180ctr_exelon_.doc</w:t>
    </w:r>
    <w:r>
      <w:rPr>
        <w:sz w:val="12"/>
        <w:szCs w:val="16"/>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/mnt/main-storage/datasets/enron-docs/doc/180ctr_exelon_.doc</w:t>
    </w:r>
    <w:r>
      <w:rPr>
        <w:sz w:val="12"/>
        <w:szCs w:val="16"/>
      </w:rPr>
      <w:fldChar w:fldCharType="end"/>
    </w:r>
  </w:p>
  <w:p>
    <w:pPr>
      <w:pStyle w:val="Normal"/>
      <w:rPr>
        <w:sz w:val="12"/>
        <w:szCs w:val="16"/>
      </w:rPr>
    </w:pPr>
    <w:r>
      <w:rPr>
        <w:sz w:val="12"/>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/mnt/main-storage/datasets/enron-docs/doc/180ctr_exelon_.doc</w:t>
    </w:r>
    <w:r>
      <w:rPr>
        <w:sz w:val="12"/>
        <w:szCs w:val="16"/>
      </w:rPr>
      <w:fldChar w:fldCharType="end"/>
    </w:r>
  </w:p>
  <w:p>
    <w:pPr>
      <w:pStyle w:val="Footer"/>
      <w:rPr>
        <w:sz w:val="8"/>
        <w:szCs w:val="8"/>
      </w:rPr>
    </w:pPr>
    <w:r>
      <w:rPr>
        <w:sz w:val="8"/>
        <w:szCs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/mnt/main-storage/datasets/enron-docs/doc/180ctr_exelon_.doc</w:t>
    </w:r>
    <w:r>
      <w:rPr>
        <w:sz w:val="12"/>
      </w:rPr>
      <w:fldChar w:fldCharType="end"/>
    </w:r>
  </w:p>
  <w:p>
    <w:pPr>
      <w:pStyle w:val="Footer"/>
      <w:jc w:val="center"/>
      <w:rPr/>
    </w:pPr>
    <w:r>
      <w:rPr/>
      <w:fldChar w:fldCharType="begin"/>
    </w:r>
    <w:r>
      <w:rPr/>
      <w:instrText xml:space="preserve"> PAGE </w:instrText>
    </w:r>
    <w:r>
      <w:rPr/>
      <w:fldChar w:fldCharType="separate"/>
    </w:r>
    <w:r>
      <w:rPr/>
      <w:t>4</w:t>
    </w:r>
    <w: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
      <w:lvlJc w:val="start"/>
      <w:pPr>
        <w:tabs>
          <w:tab w:val="num" w:pos="360"/>
        </w:tabs>
        <w:ind w:start="1080" w:hanging="360"/>
      </w:pPr>
      <w:rPr>
        <w:sz w:val="22"/>
        <w:i w:val="false"/>
        <w:u w:val="none"/>
        <w:b w:val="false"/>
        <w:rFonts w:ascii="Times New Roman" w:hAnsi="Times New Roman" w:cs="Times New Roman"/>
      </w:rPr>
    </w:lvl>
  </w:abstractNum>
  <w:abstractNum w:abstractNumId="3">
    <w:lvl w:ilvl="0">
      <w:start w:val="1"/>
      <w:numFmt w:val="decimal"/>
      <w:lvlText w:val="%1."/>
      <w:lvlJc w:val="start"/>
      <w:pPr>
        <w:tabs>
          <w:tab w:val="num" w:pos="720"/>
        </w:tabs>
        <w:ind w:start="720" w:hanging="360"/>
      </w:pPr>
      <w:rPr/>
    </w:lvl>
  </w:abstractNum>
  <w:abstractNum w:abstractNumId="4">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paragraph" w:styleId="Heading6">
    <w:name w:val="heading 6"/>
    <w:basedOn w:val="Normal"/>
    <w:next w:val="Normal"/>
    <w:qFormat/>
    <w:pPr>
      <w:keepNext w:val="true"/>
      <w:numPr>
        <w:ilvl w:val="5"/>
        <w:numId w:val="1"/>
      </w:numPr>
      <w:jc w:val="end"/>
      <w:outlineLvl w:val="5"/>
    </w:pPr>
    <w:rPr>
      <w:b/>
      <w:bCs/>
      <w:sz w:val="22"/>
      <w:szCs w:val="22"/>
      <w:u w:val="single"/>
    </w:rPr>
  </w:style>
  <w:style w:type="paragraph" w:styleId="Heading7">
    <w:name w:val="heading 7"/>
    <w:basedOn w:val="Normal"/>
    <w:next w:val="Normal"/>
    <w:qFormat/>
    <w:pPr>
      <w:keepNext w:val="true"/>
      <w:numPr>
        <w:ilvl w:val="6"/>
        <w:numId w:val="1"/>
      </w:numPr>
      <w:ind w:hanging="0" w:start="0" w:end="180"/>
      <w:jc w:val="center"/>
      <w:outlineLvl w:val="6"/>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rFonts w:ascii="Times New Roman" w:hAnsi="Times New Roman" w:cs="Times New Roman"/>
      <w:b w:val="false"/>
      <w:i w:val="false"/>
      <w:sz w:val="22"/>
      <w:u w:val="none"/>
    </w:rPr>
  </w:style>
  <w:style w:type="character" w:styleId="WW8Num16z0">
    <w:name w:val="WW8Num16z0"/>
    <w:qFormat/>
    <w:rPr>
      <w:sz w:val="22"/>
      <w:szCs w:val="22"/>
    </w:rPr>
  </w:style>
  <w:style w:type="character" w:styleId="WW8Num18z0">
    <w:name w:val="WW8Num18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color w:val="000000"/>
    </w:rPr>
  </w:style>
  <w:style w:type="character" w:styleId="WW8Num27z0">
    <w:name w:val="WW8Num27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footer" Target="footer10.xml"/><Relationship Id="rId19" Type="http://schemas.openxmlformats.org/officeDocument/2006/relationships/footer" Target="footer11.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2001-09-26T11:55:00Z</dcterms:created>
  <dc:creator>mheard</dc:creator>
  <dc:description/>
  <dc:language>en-CA</dc:language>
  <cp:lastModifiedBy>spanus</cp:lastModifiedBy>
  <cp:lastPrinted>2001-10-19T14:27:00Z</cp:lastPrinted>
  <dcterms:modified xsi:type="dcterms:W3CDTF">2001-10-19T16:57:00Z</dcterms:modified>
  <cp:revision>12</cp:revision>
  <dc:subject/>
  <dc:title>ISDA Multicurrency Agreement</dc:title>
</cp:coreProperties>
</file>