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pBdr>
        <w:tabs>
          <w:tab w:val="clear" w:pos="720"/>
          <w:tab w:val="center" w:pos="7380" w:leader="none"/>
        </w:tabs>
        <w:ind w:start="-90" w:end="0"/>
        <w:rPr>
          <w:b/>
          <w:bCs/>
          <w:sz w:val="28"/>
          <w:szCs w:val="28"/>
        </w:rPr>
      </w:pPr>
      <w:r>
        <w:rPr>
          <w:sz w:val="24"/>
          <w:szCs w:val="24"/>
        </w:rPr>
        <w:t xml:space="preserve"> </w:t>
      </w:r>
      <w:r>
        <w:rPr>
          <w:sz w:val="60"/>
          <w:szCs w:val="60"/>
        </w:rPr>
        <w:t>Fax</w:t>
      </w:r>
      <w:r>
        <w:rPr/>
        <w:tab/>
      </w:r>
      <w:r>
        <w:rPr>
          <w:b/>
          <w:bCs/>
          <w:caps/>
          <w:sz w:val="24"/>
          <w:szCs w:val="24"/>
        </w:rPr>
        <w:t>Watson, Farley &amp; Williams</w:t>
      </w:r>
    </w:p>
    <w:p>
      <w:pPr>
        <w:pStyle w:val="MessageHeaderFirst"/>
        <w:tabs>
          <w:tab w:val="clear" w:pos="1560"/>
          <w:tab w:val="center" w:pos="7380" w:leader="none"/>
        </w:tabs>
        <w:spacing w:lineRule="auto" w:line="240" w:before="0" w:after="120"/>
        <w:ind w:hanging="0" w:start="-86" w:end="0"/>
        <w:rPr/>
      </w:pPr>
      <w:r>
        <w:rPr>
          <w:b/>
          <w:bCs/>
        </w:rPr>
        <w:tab/>
      </w:r>
      <w:r>
        <w:rPr>
          <w:b/>
          <w:bCs/>
          <w:sz w:val="24"/>
          <w:szCs w:val="24"/>
        </w:rPr>
        <w:t>Singapore</w:t>
      </w:r>
    </w:p>
    <w:tbl>
      <w:tblPr>
        <w:tblW w:w="9630" w:type="dxa"/>
        <w:jc w:val="start"/>
        <w:tblInd w:w="18" w:type="dxa"/>
        <w:tblLayout w:type="fixed"/>
        <w:tblCellMar>
          <w:top w:w="0" w:type="dxa"/>
          <w:start w:w="108" w:type="dxa"/>
          <w:bottom w:w="0" w:type="dxa"/>
          <w:end w:w="108" w:type="dxa"/>
        </w:tblCellMar>
      </w:tblPr>
      <w:tblGrid>
        <w:gridCol w:w="4598"/>
        <w:gridCol w:w="2065"/>
        <w:gridCol w:w="324"/>
        <w:gridCol w:w="2643"/>
      </w:tblGrid>
      <w:tr>
        <w:trPr/>
        <w:tc>
          <w:tcPr>
            <w:tcW w:w="9630" w:type="dxa"/>
            <w:gridSpan w:val="4"/>
            <w:tcBorders>
              <w:top w:val="single" w:sz="6" w:space="0" w:color="000000"/>
            </w:tcBorders>
          </w:tcPr>
          <w:p>
            <w:pPr>
              <w:pStyle w:val="Normal"/>
              <w:spacing w:before="0" w:after="80"/>
              <w:jc w:val="start"/>
              <w:rPr/>
            </w:pPr>
            <w:r>
              <w:rPr>
                <w:b/>
                <w:bCs/>
                <w:sz w:val="24"/>
                <w:szCs w:val="24"/>
              </w:rPr>
              <w:t xml:space="preserve">16 Collyer Quay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#12-02 Hitachi Tower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Singapore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049318</w:t>
            </w:r>
          </w:p>
        </w:tc>
      </w:tr>
      <w:tr>
        <w:trPr/>
        <w:tc>
          <w:tcPr>
            <w:tcW w:w="4598" w:type="dxa"/>
            <w:tcBorders/>
          </w:tcPr>
          <w:p>
            <w:pPr>
              <w:pStyle w:val="Normal"/>
              <w:spacing w:before="0" w:after="60"/>
              <w:jc w:val="start"/>
              <w:rPr/>
            </w:pPr>
            <w:r>
              <w:rPr/>
              <w:t>Telephone</w:t>
              <w:tab/>
            </w:r>
            <w:r>
              <w:rPr>
                <w:b/>
                <w:bCs/>
              </w:rPr>
              <w:t>+(65) 532 5335</w:t>
            </w:r>
          </w:p>
        </w:tc>
        <w:tc>
          <w:tcPr>
            <w:tcW w:w="2065" w:type="dxa"/>
            <w:tcBorders/>
          </w:tcPr>
          <w:p>
            <w:pPr>
              <w:pStyle w:val="Normal"/>
              <w:spacing w:before="0" w:after="60"/>
              <w:jc w:val="start"/>
              <w:rPr/>
            </w:pPr>
            <w:r>
              <w:rPr/>
              <w:t>Date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t>31 July 2000</w:t>
            </w:r>
          </w:p>
        </w:tc>
      </w:tr>
      <w:tr>
        <w:trPr/>
        <w:tc>
          <w:tcPr>
            <w:tcW w:w="4598" w:type="dxa"/>
            <w:tcBorders/>
          </w:tcPr>
          <w:p>
            <w:pPr>
              <w:pStyle w:val="Normal"/>
              <w:spacing w:before="0" w:after="60"/>
              <w:jc w:val="start"/>
              <w:rPr/>
            </w:pPr>
            <w:r>
              <w:rPr/>
              <w:t xml:space="preserve">Fax  </w:t>
              <w:tab/>
              <w:tab/>
            </w:r>
            <w:r>
              <w:rPr>
                <w:b/>
                <w:bCs/>
              </w:rPr>
              <w:t>+(65) 532 5454</w:t>
            </w:r>
          </w:p>
        </w:tc>
        <w:tc>
          <w:tcPr>
            <w:tcW w:w="2065" w:type="dxa"/>
            <w:tcBorders/>
          </w:tcPr>
          <w:p>
            <w:pPr>
              <w:pStyle w:val="Normal"/>
              <w:spacing w:before="0" w:after="60"/>
              <w:jc w:val="start"/>
              <w:rPr/>
            </w:pPr>
            <w:r>
              <w:rPr/>
              <w:t>Our Reference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fldChar w:fldCharType="begin"/>
            </w:r>
            <w:r>
              <w:rPr/>
              <w:instrText xml:space="preserve"> FILLIN "Type Our Ref, press Tab and Return or click OK"</w:instrText>
            </w:r>
            <w:r>
              <w:rPr/>
              <w:fldChar w:fldCharType="separate"/>
            </w:r>
            <w:r>
              <w:rPr/>
              <w:t>NRG/jl/20669.20005</w:t>
            </w:r>
            <w:r>
              <w:rPr/>
              <w:fldChar w:fldCharType="end"/>
            </w:r>
          </w:p>
        </w:tc>
      </w:tr>
      <w:tr>
        <w:trPr/>
        <w:tc>
          <w:tcPr>
            <w:tcW w:w="4598" w:type="dxa"/>
            <w:tcBorders/>
          </w:tcPr>
          <w:p>
            <w:pPr>
              <w:pStyle w:val="Normal"/>
              <w:spacing w:before="0" w:after="60"/>
              <w:jc w:val="start"/>
              <w:rPr/>
            </w:pPr>
            <w:r>
              <w:rPr/>
              <w:t xml:space="preserve">Telex  </w:t>
              <w:tab/>
              <w:tab/>
            </w:r>
            <w:r>
              <w:rPr>
                <w:b/>
                <w:bCs/>
              </w:rPr>
              <w:t>RS 20433 WFWs</w:t>
            </w:r>
          </w:p>
        </w:tc>
        <w:tc>
          <w:tcPr>
            <w:tcW w:w="2065" w:type="dxa"/>
            <w:tcBorders/>
          </w:tcPr>
          <w:p>
            <w:pPr>
              <w:pStyle w:val="Normal"/>
              <w:spacing w:before="0" w:after="60"/>
              <w:jc w:val="start"/>
              <w:rPr/>
            </w:pPr>
            <w:r>
              <w:rPr/>
              <w:t>Document Number</w:t>
            </w:r>
          </w:p>
        </w:tc>
        <w:tc>
          <w:tcPr>
            <w:tcW w:w="324" w:type="dxa"/>
            <w:tcBorders/>
          </w:tcPr>
          <w:p>
            <w:pPr>
              <w:pStyle w:val="Normal"/>
              <w:spacing w:before="0" w:after="60"/>
              <w:jc w:val="start"/>
              <w:rPr/>
            </w:pPr>
            <w:r>
              <w:rPr/>
              <w:t>:</w:t>
            </w:r>
          </w:p>
        </w:tc>
        <w:tc>
          <w:tcPr>
            <w:tcW w:w="2643" w:type="dxa"/>
            <w:tcBorders/>
          </w:tcPr>
          <w:p>
            <w:pPr>
              <w:pStyle w:val="Normal"/>
              <w:snapToGrid w:val="false"/>
              <w:spacing w:before="0" w:after="60"/>
              <w:jc w:val="start"/>
              <w:rPr/>
            </w:pPr>
            <w:r>
              <w:rPr/>
            </w:r>
          </w:p>
        </w:tc>
      </w:tr>
      <w:tr>
        <w:trPr/>
        <w:tc>
          <w:tcPr>
            <w:tcW w:w="4598" w:type="dxa"/>
            <w:tcBorders>
              <w:bottom w:val="single" w:sz="6" w:space="0" w:color="000000"/>
            </w:tcBorders>
          </w:tcPr>
          <w:p>
            <w:pPr>
              <w:pStyle w:val="Normal"/>
              <w:spacing w:before="0" w:after="60"/>
              <w:jc w:val="start"/>
              <w:rPr/>
            </w:pPr>
            <w:r>
              <w:rPr/>
              <w:t xml:space="preserve">E-Mail:            </w:t>
            </w:r>
            <w:r>
              <w:rPr>
                <w:b/>
                <w:bCs/>
              </w:rPr>
              <w:fldChar w:fldCharType="begin"/>
            </w:r>
            <w:r>
              <w:rPr>
                <w:b/>
                <w:bCs/>
              </w:rPr>
              <w:instrText xml:space="preserve"> FILLIN "E-Mail address  i.e. mwatson - THIS MUST BE IN LOWERCASE press Tab and Return or click OK"</w:instrText>
            </w:r>
            <w:r>
              <w:rPr>
                <w:b/>
                <w:bCs/>
              </w:rPr>
              <w:fldChar w:fldCharType="separate"/>
            </w:r>
            <w:r>
              <w:rPr>
                <w:b/>
                <w:bCs/>
              </w:rPr>
              <w:t>ngregson</w:t>
            </w:r>
            <w:r>
              <w:rPr>
                <w:b/>
                <w:bCs/>
              </w:rPr>
              <w:fldChar w:fldCharType="end"/>
            </w:r>
            <w:r>
              <w:rPr>
                <w:b/>
                <w:bCs/>
              </w:rPr>
              <w:t>@wfw.com</w:t>
            </w:r>
          </w:p>
        </w:tc>
        <w:tc>
          <w:tcPr>
            <w:tcW w:w="2065" w:type="dxa"/>
            <w:tcBorders>
              <w:bottom w:val="single" w:sz="6" w:space="0" w:color="000000"/>
            </w:tcBorders>
          </w:tcPr>
          <w:p>
            <w:pPr>
              <w:pStyle w:val="Normal"/>
              <w:spacing w:before="0" w:after="60"/>
              <w:jc w:val="start"/>
              <w:rPr/>
            </w:pPr>
            <w:r>
              <w:rPr/>
              <w:t>Total Pages</w:t>
            </w:r>
          </w:p>
        </w:tc>
        <w:tc>
          <w:tcPr>
            <w:tcW w:w="324" w:type="dxa"/>
            <w:tcBorders>
              <w:bottom w:val="single" w:sz="6" w:space="0" w:color="000000"/>
            </w:tcBorders>
          </w:tcPr>
          <w:p>
            <w:pPr>
              <w:pStyle w:val="Normal"/>
              <w:spacing w:before="0" w:after="60"/>
              <w:jc w:val="start"/>
              <w:rPr/>
            </w:pPr>
            <w:r>
              <w:rPr/>
              <w:t>:</w:t>
            </w:r>
          </w:p>
        </w:tc>
        <w:tc>
          <w:tcPr>
            <w:tcW w:w="2643" w:type="dxa"/>
            <w:tcBorders>
              <w:bottom w:val="single" w:sz="6" w:space="0" w:color="000000"/>
            </w:tcBorders>
          </w:tcPr>
          <w:p>
            <w:pPr>
              <w:pStyle w:val="Normal"/>
              <w:spacing w:before="0" w:after="60"/>
              <w:jc w:val="start"/>
              <w:rPr/>
            </w:pPr>
            <w:r>
              <w:rPr/>
              <w:t>2</w:t>
            </w:r>
          </w:p>
        </w:tc>
      </w:tr>
    </w:tbl>
    <w:p>
      <w:pPr>
        <w:pStyle w:val="Normal"/>
        <w:spacing w:lineRule="auto" w:line="216" w:before="120" w:after="120"/>
        <w:ind w:end="101"/>
        <w:rPr/>
      </w:pPr>
      <w:r>
        <w:rPr>
          <w:b/>
          <w:bCs/>
          <w:sz w:val="20"/>
          <w:szCs w:val="20"/>
        </w:rPr>
        <w:t>CONFIDENTIALITY</w:t>
      </w:r>
      <w:r>
        <w:rPr>
          <w:sz w:val="20"/>
          <w:szCs w:val="20"/>
        </w:rPr>
        <w:t xml:space="preserve"> </w:t>
      </w:r>
      <w:r>
        <w:rPr>
          <w:rFonts w:eastAsia="Symbol" w:cs="Symbol" w:ascii="Symbol" w:hAnsi="Symbol"/>
          <w:sz w:val="20"/>
          <w:szCs w:val="20"/>
        </w:rPr>
        <w:sym w:font="Symbol" w:char="b7"/>
      </w:r>
      <w:r>
        <w:rPr/>
        <w:t xml:space="preserve"> If you or your organisation are not a named addressee of this fax, you must not read the contents, copy them or disclose them to any other person.   Please telephone us immediately to enable us to re-send the fax.</w:t>
      </w:r>
    </w:p>
    <w:tbl>
      <w:tblPr>
        <w:tblW w:w="9630" w:type="dxa"/>
        <w:jc w:val="start"/>
        <w:tblInd w:w="18" w:type="dxa"/>
        <w:tblLayout w:type="fixed"/>
        <w:tblCellMar>
          <w:top w:w="0" w:type="dxa"/>
          <w:start w:w="108" w:type="dxa"/>
          <w:bottom w:w="0" w:type="dxa"/>
          <w:end w:w="108" w:type="dxa"/>
        </w:tblCellMar>
      </w:tblPr>
      <w:tblGrid>
        <w:gridCol w:w="2180"/>
        <w:gridCol w:w="2"/>
        <w:gridCol w:w="271"/>
        <w:gridCol w:w="2"/>
        <w:gridCol w:w="7175"/>
      </w:tblGrid>
      <w:tr>
        <w:trPr>
          <w:trHeight w:val="200" w:hRule="exact"/>
        </w:trPr>
        <w:tc>
          <w:tcPr>
            <w:tcW w:w="2182" w:type="dxa"/>
            <w:gridSpan w:val="2"/>
            <w:tcBorders>
              <w:top w:val="single" w:sz="6" w:space="0" w:color="000000"/>
            </w:tcBorders>
          </w:tcPr>
          <w:p>
            <w:pPr>
              <w:pStyle w:val="Normal"/>
              <w:snapToGrid w:val="false"/>
              <w:spacing w:lineRule="auto" w:line="300" w:before="0" w:after="80"/>
              <w:rPr/>
            </w:pPr>
            <w:r>
              <w:rPr/>
            </w:r>
          </w:p>
        </w:tc>
        <w:tc>
          <w:tcPr>
            <w:tcW w:w="273" w:type="dxa"/>
            <w:gridSpan w:val="2"/>
            <w:tcBorders>
              <w:top w:val="single" w:sz="6" w:space="0" w:color="000000"/>
            </w:tcBorders>
          </w:tcPr>
          <w:p>
            <w:pPr>
              <w:pStyle w:val="Normal"/>
              <w:snapToGrid w:val="false"/>
              <w:spacing w:lineRule="auto" w:line="300" w:before="0" w:after="80"/>
              <w:rPr/>
            </w:pPr>
            <w:r>
              <w:rPr/>
            </w:r>
          </w:p>
        </w:tc>
        <w:tc>
          <w:tcPr>
            <w:tcW w:w="7175" w:type="dxa"/>
            <w:tcBorders>
              <w:top w:val="single" w:sz="6" w:space="0" w:color="000000"/>
            </w:tcBorders>
          </w:tcPr>
          <w:p>
            <w:pPr>
              <w:pStyle w:val="Normal"/>
              <w:snapToGrid w:val="false"/>
              <w:spacing w:lineRule="auto" w:line="300" w:before="0" w:after="80"/>
              <w:rPr>
                <w:b/>
                <w:bCs/>
              </w:rPr>
            </w:pPr>
            <w:r>
              <w:rPr>
                <w:b/>
                <w:bCs/>
              </w:rPr>
            </w:r>
          </w:p>
        </w:tc>
      </w:tr>
      <w:tr>
        <w:trPr/>
        <w:tc>
          <w:tcPr>
            <w:tcW w:w="2180" w:type="dxa"/>
            <w:tcBorders/>
          </w:tcPr>
          <w:p>
            <w:pPr>
              <w:pStyle w:val="Normal"/>
              <w:jc w:val="start"/>
              <w:rPr/>
            </w:pPr>
            <w:r>
              <w:rPr/>
              <w:t>To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t>Mr Matthias Lee</w:t>
            </w:r>
          </w:p>
        </w:tc>
      </w:tr>
      <w:tr>
        <w:trPr/>
        <w:tc>
          <w:tcPr>
            <w:tcW w:w="2180" w:type="dxa"/>
            <w:tcBorders/>
          </w:tcPr>
          <w:p>
            <w:pPr>
              <w:pStyle w:val="Normal"/>
              <w:jc w:val="start"/>
              <w:rPr/>
            </w:pPr>
            <w:r>
              <w:rPr/>
              <w:t>Organisation</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ORGANISATION, press TAB,RETURN or CLICK OK"</w:instrText>
            </w:r>
            <w:r>
              <w:rPr>
                <w:b/>
                <w:bCs/>
              </w:rPr>
              <w:fldChar w:fldCharType="separate"/>
            </w:r>
            <w:r>
              <w:rPr>
                <w:b/>
                <w:bCs/>
              </w:rPr>
              <w:t>Enron Capital &amp; Trade Resources Singapore Pte Ltd</w:t>
            </w:r>
            <w:r>
              <w:rPr>
                <w:b/>
                <w:bCs/>
              </w:rPr>
              <w:fldChar w:fldCharType="end"/>
            </w:r>
          </w:p>
        </w:tc>
      </w:tr>
      <w:tr>
        <w:trPr/>
        <w:tc>
          <w:tcPr>
            <w:tcW w:w="2180" w:type="dxa"/>
            <w:tcBorders/>
          </w:tcPr>
          <w:p>
            <w:pPr>
              <w:pStyle w:val="Normal"/>
              <w:jc w:val="start"/>
              <w:rPr/>
            </w:pPr>
            <w:r>
              <w:rPr/>
              <w:t>Fax No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Fax Number, press TAB,RETURN or CLICK OK"</w:instrText>
            </w:r>
            <w:r>
              <w:rPr>
                <w:b/>
                <w:bCs/>
              </w:rPr>
              <w:fldChar w:fldCharType="separate"/>
            </w:r>
            <w:r>
              <w:rPr>
                <w:b/>
                <w:bCs/>
              </w:rPr>
              <w:t>734 2868</w:t>
            </w:r>
            <w:r>
              <w:rPr>
                <w:b/>
                <w:bCs/>
              </w:rPr>
              <w:fldChar w:fldCharType="end"/>
            </w:r>
          </w:p>
        </w:tc>
      </w:tr>
      <w:tr>
        <w:trPr/>
        <w:tc>
          <w:tcPr>
            <w:tcW w:w="2180" w:type="dxa"/>
            <w:tcBorders/>
          </w:tcPr>
          <w:p>
            <w:pPr>
              <w:pStyle w:val="Normal"/>
              <w:snapToGrid w:val="false"/>
              <w:jc w:val="start"/>
              <w:rPr>
                <w:b/>
                <w:bCs/>
              </w:rPr>
            </w:pPr>
            <w:r>
              <w:rPr>
                <w:b/>
                <w:bCs/>
              </w:rPr>
            </w:r>
          </w:p>
        </w:tc>
        <w:tc>
          <w:tcPr>
            <w:tcW w:w="273" w:type="dxa"/>
            <w:gridSpan w:val="2"/>
            <w:tcBorders/>
          </w:tcPr>
          <w:p>
            <w:pPr>
              <w:pStyle w:val="Normal"/>
              <w:snapToGrid w:val="false"/>
              <w:jc w:val="start"/>
              <w:rPr/>
            </w:pPr>
            <w:r>
              <w:rPr/>
            </w:r>
          </w:p>
        </w:tc>
        <w:tc>
          <w:tcPr>
            <w:tcW w:w="7177" w:type="dxa"/>
            <w:gridSpan w:val="2"/>
            <w:tcBorders/>
          </w:tcPr>
          <w:p>
            <w:pPr>
              <w:pStyle w:val="Normal"/>
              <w:snapToGrid w:val="false"/>
              <w:jc w:val="start"/>
              <w:rPr>
                <w:b/>
                <w:bCs/>
              </w:rPr>
            </w:pPr>
            <w:r>
              <w:rPr>
                <w:b/>
                <w:bCs/>
              </w:rPr>
            </w:r>
          </w:p>
        </w:tc>
      </w:tr>
      <w:tr>
        <w:trPr/>
        <w:tc>
          <w:tcPr>
            <w:tcW w:w="2180" w:type="dxa"/>
            <w:tcBorders/>
          </w:tcPr>
          <w:p>
            <w:pPr>
              <w:pStyle w:val="Normal"/>
              <w:jc w:val="start"/>
              <w:rPr/>
            </w:pPr>
            <w:r>
              <w:rPr/>
              <w:t>From</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"Type Sender’s Name, press Tab and Return or click OK"</w:instrText>
            </w:r>
            <w:r>
              <w:rPr>
                <w:b/>
                <w:bCs/>
              </w:rPr>
              <w:fldChar w:fldCharType="separate"/>
            </w:r>
            <w:r>
              <w:rPr>
                <w:b/>
                <w:bCs/>
              </w:rPr>
              <w:t>Neale Gregson</w:t>
            </w:r>
            <w:r>
              <w:rPr>
                <w:b/>
                <w:bCs/>
              </w:rPr>
              <w:fldChar w:fldCharType="end"/>
            </w:r>
          </w:p>
        </w:tc>
      </w:tr>
      <w:tr>
        <w:trPr>
          <w:trHeight w:val="200" w:hRule="exact"/>
        </w:trPr>
        <w:tc>
          <w:tcPr>
            <w:tcW w:w="2182" w:type="dxa"/>
            <w:gridSpan w:val="2"/>
            <w:tcBorders>
              <w:bottom w:val="single" w:sz="6" w:space="0" w:color="000000"/>
            </w:tcBorders>
          </w:tcPr>
          <w:p>
            <w:pPr>
              <w:pStyle w:val="Normal"/>
              <w:snapToGrid w:val="false"/>
              <w:spacing w:lineRule="auto" w:line="300" w:before="0" w:after="80"/>
              <w:rPr>
                <w:b/>
                <w:bCs/>
              </w:rPr>
            </w:pPr>
            <w:r>
              <w:rPr>
                <w:b/>
                <w:bCs/>
              </w:rPr>
            </w:r>
          </w:p>
        </w:tc>
        <w:tc>
          <w:tcPr>
            <w:tcW w:w="273" w:type="dxa"/>
            <w:gridSpan w:val="2"/>
            <w:tcBorders>
              <w:bottom w:val="single" w:sz="6" w:space="0" w:color="000000"/>
            </w:tcBorders>
          </w:tcPr>
          <w:p>
            <w:pPr>
              <w:pStyle w:val="Normal"/>
              <w:snapToGrid w:val="false"/>
              <w:spacing w:lineRule="auto" w:line="300" w:before="0" w:after="80"/>
              <w:rPr/>
            </w:pPr>
            <w:r>
              <w:rPr/>
            </w:r>
          </w:p>
        </w:tc>
        <w:tc>
          <w:tcPr>
            <w:tcW w:w="7175" w:type="dxa"/>
            <w:tcBorders>
              <w:bottom w:val="single" w:sz="6" w:space="0" w:color="000000"/>
            </w:tcBorders>
          </w:tcPr>
          <w:p>
            <w:pPr>
              <w:pStyle w:val="Normal"/>
              <w:snapToGrid w:val="false"/>
              <w:spacing w:lineRule="auto" w:line="300" w:before="0" w:after="80"/>
              <w:rPr>
                <w:b/>
                <w:bCs/>
              </w:rPr>
            </w:pPr>
            <w:r>
              <w:rPr>
                <w:b/>
                <w:bCs/>
              </w:rPr>
            </w:r>
          </w:p>
        </w:tc>
      </w:tr>
    </w:tbl>
    <w:p>
      <w:pPr>
        <w:pStyle w:val="Normal"/>
        <w:rPr/>
      </w:pPr>
      <w:r>
        <w:rPr/>
      </w:r>
    </w:p>
    <w:p>
      <w:pPr>
        <w:pStyle w:val="Normal"/>
        <w:rPr/>
      </w:pPr>
      <w:r>
        <w:rPr/>
        <w:t>Dear Matt</w:t>
      </w:r>
    </w:p>
    <w:p>
      <w:pPr>
        <w:pStyle w:val="Normal"/>
        <w:rPr/>
      </w:pPr>
      <w:r>
        <w:rPr/>
      </w:r>
    </w:p>
    <w:p>
      <w:pPr>
        <w:pStyle w:val="Normal"/>
        <w:jc w:val="start"/>
        <w:rPr>
          <w:b/>
          <w:bCs/>
        </w:rPr>
      </w:pPr>
      <w:r>
        <w:rPr>
          <w:b/>
          <w:bCs/>
        </w:rPr>
        <w:t>“</w:t>
      </w:r>
      <w:r>
        <w:rPr>
          <w:b/>
          <w:bCs/>
        </w:rPr>
        <w:t xml:space="preserve">PACIFIC VIRGO” </w:t>
      </w:r>
    </w:p>
    <w:p>
      <w:pPr>
        <w:pStyle w:val="Normal"/>
        <w:jc w:val="start"/>
        <w:rPr>
          <w:b/>
          <w:bCs/>
        </w:rPr>
      </w:pPr>
      <w:r>
        <w:rPr>
          <w:b/>
          <w:bCs/>
        </w:rPr>
      </w:r>
    </w:p>
    <w:p>
      <w:pPr>
        <w:pStyle w:val="Normal"/>
        <w:rPr/>
      </w:pPr>
      <w:r>
        <w:rPr/>
        <w:t>Thanks for your fax today regarding Mitsubishi’s demand for payment and the SGS Analysis Report dated November 1999.</w:t>
      </w:r>
    </w:p>
    <w:p>
      <w:pPr>
        <w:pStyle w:val="Normal"/>
        <w:rPr/>
      </w:pPr>
      <w:r>
        <w:rPr/>
      </w:r>
    </w:p>
    <w:p>
      <w:pPr>
        <w:pStyle w:val="Normal"/>
        <w:rPr>
          <w:b/>
          <w:bCs/>
          <w:u w:val="single"/>
        </w:rPr>
      </w:pPr>
      <w:r>
        <w:rPr>
          <w:b/>
          <w:bCs/>
          <w:u w:val="single"/>
        </w:rPr>
        <w:t>Demand for payment (USD501,294.50 - freight and USD258,555.56 - demurrage)</w:t>
      </w:r>
    </w:p>
    <w:p>
      <w:pPr>
        <w:pStyle w:val="Normal"/>
        <w:rPr>
          <w:b/>
          <w:bCs/>
          <w:u w:val="single"/>
        </w:rPr>
      </w:pPr>
      <w:r>
        <w:rPr>
          <w:b/>
          <w:bCs/>
          <w:u w:val="single"/>
        </w:rPr>
      </w:r>
    </w:p>
    <w:p>
      <w:pPr>
        <w:pStyle w:val="Normal"/>
        <w:rPr/>
      </w:pPr>
      <w:r>
        <w:rPr/>
        <w:t>Bearing in mind the possible commercial/trading sensitivities, I suggest that Eric Tan politely replies to Mitsubishi’s chasers along the lines that the matter is now being dealt with by Enron’s legal team who will revert as soon as possible.</w:t>
      </w:r>
    </w:p>
    <w:p>
      <w:pPr>
        <w:pStyle w:val="Normal"/>
        <w:rPr/>
      </w:pPr>
      <w:r>
        <w:rPr/>
      </w:r>
    </w:p>
    <w:p>
      <w:pPr>
        <w:pStyle w:val="Normal"/>
        <w:rPr>
          <w:b/>
          <w:bCs/>
          <w:u w:val="single"/>
        </w:rPr>
      </w:pPr>
      <w:r>
        <w:rPr>
          <w:b/>
          <w:bCs/>
          <w:u w:val="single"/>
        </w:rPr>
        <w:t>SGS Analysis Report - November 1999</w:t>
      </w:r>
    </w:p>
    <w:p>
      <w:pPr>
        <w:pStyle w:val="Normal"/>
        <w:rPr/>
      </w:pPr>
      <w:r>
        <w:rPr/>
      </w:r>
    </w:p>
    <w:p>
      <w:pPr>
        <w:pStyle w:val="Normal"/>
        <w:rPr/>
      </w:pPr>
      <w:r>
        <w:rPr/>
        <w:t>Whereas the pre-loading SGS Certificate of Quality (dated 27 June 2000) clearly identifies the source of the sample taken as “</w:t>
      </w:r>
      <w:r>
        <w:rPr>
          <w:caps/>
        </w:rPr>
        <w:t>Modec Venture 1</w:t>
      </w:r>
      <w:r>
        <w:rPr/>
        <w:t>” (the FPSO from which the vessel loaded the elang condensate), the SGS Analysis Report (dated November 1999) refers on its face merely to an elang condensate sample taken “Ex Darwin”, there being no mention at all of “</w:t>
      </w:r>
      <w:r>
        <w:rPr>
          <w:caps/>
        </w:rPr>
        <w:t xml:space="preserve">Modec Venture 1”. </w:t>
      </w:r>
      <w:r>
        <w:rPr/>
        <w:t xml:space="preserve"> Ostensibly taken from a different source cargo (and location), the Nov’ 99 sample raises no issues of relevance (I would argue), therefore, I would simply take the position that the report is non-discoverable under English law.  That said, I would be interested to hear an expert chemist’s comments if, in fact, the two samples in question were taken from the same source (and to which nothing whatsoever had been added between Nov’ 99 and Jun’ 00).</w:t>
      </w:r>
    </w:p>
    <w:p>
      <w:pPr>
        <w:pStyle w:val="Normal"/>
        <w:rPr/>
      </w:pPr>
      <w:r>
        <w:rPr/>
      </w:r>
    </w:p>
    <w:p>
      <w:pPr>
        <w:pStyle w:val="Normal"/>
        <w:rPr/>
      </w:pPr>
      <w:r>
        <w:rPr/>
        <w:t xml:space="preserve">Following our discussion this morning, I would make two further points by way of post-script. </w:t>
      </w:r>
    </w:p>
    <w:p>
      <w:pPr>
        <w:pStyle w:val="Normal"/>
        <w:rPr/>
      </w:pPr>
      <w:r>
        <w:rPr/>
      </w:r>
    </w:p>
    <w:p>
      <w:pPr>
        <w:pStyle w:val="Normal"/>
        <w:rPr/>
      </w:pPr>
      <w:r>
        <w:rPr/>
        <w:t>First, while the suggestion was made at an early stage of the case that there may have been a “bug” in the cargo, I have seen no evidence to substantiate this.  Clearly, however, that possibility needs to be investigated and, hopefully, discounted (I suggest by Burgoynes) since, if proven:</w:t>
      </w:r>
    </w:p>
    <w:p>
      <w:pPr>
        <w:pStyle w:val="Normal"/>
        <w:rPr/>
      </w:pPr>
      <w:r>
        <w:rPr/>
      </w:r>
    </w:p>
    <w:p>
      <w:pPr>
        <w:pStyle w:val="Normal"/>
        <w:rPr/>
      </w:pPr>
      <w:r>
        <w:rPr/>
        <w:tab/>
        <w:t>1.</w:t>
        <w:tab/>
        <w:t>owners could defend the cargo contamination claim on the basis of “inherent vice”;</w:t>
      </w:r>
    </w:p>
    <w:p>
      <w:pPr>
        <w:pStyle w:val="Normal"/>
        <w:rPr/>
      </w:pPr>
      <w:r>
        <w:rPr/>
      </w:r>
    </w:p>
    <w:p>
      <w:pPr>
        <w:pStyle w:val="Normal"/>
        <w:ind w:hanging="720" w:start="1440" w:end="0"/>
        <w:rPr/>
      </w:pPr>
      <w:r>
        <w:rPr/>
        <w:t>2.</w:t>
        <w:tab/>
        <w:t>they could further recover damages (including demurrage at Batangas and freight to Korea) for the unauthorised loading of “dangerous cargo”; and</w:t>
      </w:r>
    </w:p>
    <w:p>
      <w:pPr>
        <w:pStyle w:val="Normal"/>
        <w:rPr/>
      </w:pPr>
      <w:r>
        <w:rPr/>
      </w:r>
    </w:p>
    <w:p>
      <w:pPr>
        <w:pStyle w:val="Normal"/>
        <w:ind w:hanging="720" w:start="1440" w:end="0"/>
        <w:rPr/>
      </w:pPr>
      <w:r>
        <w:rPr/>
        <w:t>3.</w:t>
        <w:tab/>
        <w:t>recourse would then have to be made to Phillips Petroleum as sellers of the condensate for breach of warranty as to “normal export quality at time and place of loading”.</w:t>
      </w:r>
    </w:p>
    <w:p>
      <w:pPr>
        <w:pStyle w:val="Normal"/>
        <w:rPr/>
      </w:pPr>
      <w:r>
        <w:rPr/>
      </w:r>
    </w:p>
    <w:p>
      <w:pPr>
        <w:pStyle w:val="Normal"/>
        <w:rPr/>
      </w:pPr>
      <w:r>
        <w:rPr/>
        <w:t>Secondly, it is clear that we will need the cooperation of the owners/operators of “</w:t>
      </w:r>
      <w:r>
        <w:rPr>
          <w:caps/>
        </w:rPr>
        <w:t>Modec Venture 1</w:t>
      </w:r>
      <w:r>
        <w:rPr/>
        <w:t>”, if we are to maintain Enron’s position against Mitsubishi.  Am I right in assuming the FPSO is a Phillips Petroleum facility?  If so, sending Phillips Petroleum notice of a possible claim would undoubtedly result in their refusing to cooperate towards our gathering vital documents and statements of evidence from the all-important cargo source.  Accordingly, and there being no contractual time limit for giving notice of or for bringing claims under the purchase contract (apart from the usual six year limitation period), I do not recommend sending a notice of potential claim to Phillips Petroleum at this stage.</w:t>
      </w:r>
    </w:p>
    <w:p>
      <w:pPr>
        <w:pStyle w:val="Normal"/>
        <w:rPr/>
      </w:pPr>
      <w:r>
        <w:rPr/>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Neale Gregson</w:t>
      </w:r>
    </w:p>
    <w:p>
      <w:pPr>
        <w:pStyle w:val="Normal"/>
        <w:rPr>
          <w:b/>
          <w:bCs/>
        </w:rPr>
      </w:pPr>
      <w:r>
        <w:rPr>
          <w:b/>
          <w:bCs/>
        </w:rPr>
      </w:r>
    </w:p>
    <w:sectPr>
      <w:headerReference w:type="default" r:id="rId2"/>
      <w:headerReference w:type="first" r:id="rId3"/>
      <w:footerReference w:type="default" r:id="rId4"/>
      <w:footerReference w:type="first" r:id="rId5"/>
      <w:type w:val="nextPage"/>
      <w:pgSz w:w="11906" w:h="16838"/>
      <w:pgMar w:left="1440" w:right="929" w:gutter="0" w:header="720" w:top="1008" w:footer="432" w:bottom="1008"/>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Wingding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bCs/>
      </w:rPr>
    </w:pPr>
    <w:r>
      <w:rPr>
        <w:b/>
        <w:bCs/>
      </w:rPr>
      <w:t>WATSON, FARLEY &amp; WILLIAMS</w:t>
    </w:r>
  </w:p>
  <w:p>
    <w:pPr>
      <w:pStyle w:val="Footer"/>
      <w:jc w:val="end"/>
      <w:rPr>
        <w:sz w:val="18"/>
        <w:szCs w:val="18"/>
      </w:rPr>
    </w:pPr>
    <w:r>
      <w:rPr>
        <w:sz w:val="18"/>
        <w:szCs w:val="18"/>
      </w:rPr>
      <w:fldChar w:fldCharType="begin"/>
    </w:r>
    <w:r>
      <w:rPr>
        <w:sz w:val="18"/>
        <w:szCs w:val="18"/>
      </w:rPr>
      <w:instrText xml:space="preserve"> DOCPROPERTY "WFWProfile"</w:instrText>
    </w:r>
    <w:r>
      <w:rPr>
        <w:sz w:val="18"/>
        <w:szCs w:val="18"/>
      </w:rPr>
      <w:fldChar w:fldCharType="separate"/>
    </w:r>
    <w:r>
      <w:rPr>
        <w:sz w:val="18"/>
        <w:szCs w:val="18"/>
      </w:rPr>
      <w:t>18028777 v1</w:t>
    </w:r>
    <w:r>
      <w:rPr>
        <w:sz w:val="18"/>
        <w:szCs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p>
  <w:p>
    <w:pPr>
      <w:pStyle w:val="Footer"/>
      <w:rPr>
        <w:sz w:val="18"/>
        <w:szCs w:val="18"/>
      </w:rPr>
    </w:pPr>
    <w:r>
      <w:rPr>
        <w:sz w:val="18"/>
        <w:szCs w:val="18"/>
      </w:rPr>
    </w:r>
  </w:p>
  <w:p>
    <w:pPr>
      <w:pStyle w:val="Footer"/>
      <w:pBdr>
        <w:top w:val="single" w:sz="6" w:space="1" w:color="000000"/>
      </w:pBdr>
      <w:rPr/>
    </w:pPr>
    <w:r>
      <w:rPr>
        <w:sz w:val="18"/>
        <w:szCs w:val="18"/>
      </w:rPr>
      <w:t>London</w:t>
    </w:r>
    <w:r>
      <w:rPr>
        <w:rFonts w:eastAsia="Symbol" w:cs="Symbol" w:ascii="Symbol" w:hAnsi="Symbol"/>
        <w:sz w:val="18"/>
        <w:szCs w:val="18"/>
      </w:rPr>
      <w:sym w:font="Symbol" w:char="b7"/>
    </w:r>
    <w:r>
      <w:rPr>
        <w:sz w:val="18"/>
        <w:szCs w:val="18"/>
      </w:rPr>
      <w:t xml:space="preserve">ATHENS </w:t>
    </w:r>
    <w:r>
      <w:rPr>
        <w:rFonts w:eastAsia="Symbol" w:cs="Symbol" w:ascii="Symbol" w:hAnsi="Symbol"/>
        <w:sz w:val="18"/>
        <w:szCs w:val="18"/>
      </w:rPr>
      <w:sym w:font="Symbol" w:char="b7"/>
    </w:r>
    <w:r>
      <w:rPr>
        <w:sz w:val="18"/>
        <w:szCs w:val="18"/>
      </w:rPr>
      <w:t xml:space="preserve"> PARIS </w:t>
    </w:r>
    <w:r>
      <w:rPr>
        <w:rFonts w:eastAsia="Symbol" w:cs="Symbol" w:ascii="Symbol" w:hAnsi="Symbol"/>
        <w:sz w:val="18"/>
        <w:szCs w:val="18"/>
      </w:rPr>
      <w:sym w:font="Symbol" w:char="b7"/>
    </w:r>
    <w:r>
      <w:rPr>
        <w:sz w:val="18"/>
        <w:szCs w:val="18"/>
      </w:rPr>
      <w:t xml:space="preserve"> NEW YORK </w:t>
    </w:r>
    <w:r>
      <w:rPr>
        <w:rFonts w:eastAsia="Symbol" w:cs="Symbol" w:ascii="Symbol" w:hAnsi="Symbol"/>
        <w:sz w:val="18"/>
        <w:szCs w:val="18"/>
      </w:rPr>
      <w:sym w:font="Symbol" w:char="b7"/>
    </w:r>
    <w:r>
      <w:rPr>
        <w:sz w:val="18"/>
        <w:szCs w:val="18"/>
      </w:rPr>
      <w:t xml:space="preserve"> MOSCOW </w:t>
    </w:r>
    <w:r>
      <w:rPr>
        <w:rFonts w:eastAsia="Symbol" w:cs="Symbol" w:ascii="Symbol" w:hAnsi="Symbol"/>
        <w:sz w:val="18"/>
        <w:szCs w:val="18"/>
      </w:rPr>
      <w:sym w:font="Symbol" w:char="b7"/>
    </w:r>
    <w:r>
      <w:rPr>
        <w:sz w:val="18"/>
        <w:szCs w:val="18"/>
      </w:rPr>
      <w:t xml:space="preserve"> COPENHAGEN </w:t>
    </w:r>
    <w:r>
      <w:rPr>
        <w:rFonts w:eastAsia="Symbol" w:cs="Symbol" w:ascii="Symbol" w:hAnsi="Symbol"/>
        <w:sz w:val="18"/>
        <w:szCs w:val="18"/>
      </w:rPr>
      <w:sym w:font="Symbol" w:char="b7"/>
    </w:r>
    <w:r>
      <w:rPr>
        <w:sz w:val="18"/>
        <w:szCs w:val="18"/>
      </w:rPr>
      <w:t xml:space="preserve"> SINGAPORE</w:t>
    </w:r>
  </w:p>
  <w:p>
    <w:pPr>
      <w:pStyle w:val="Footer"/>
      <w:rPr>
        <w:caps w:val="false"/>
        <w:smallCaps w:val="false"/>
        <w:sz w:val="16"/>
        <w:szCs w:val="16"/>
      </w:rPr>
    </w:pPr>
    <w:r>
      <w:rPr>
        <w:caps w:val="false"/>
        <w:smallCaps w:val="false"/>
        <w:sz w:val="16"/>
        <w:szCs w:val="16"/>
      </w:rPr>
      <w:t>Website: http://www.wfw.com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right" w:pos="8306" w:leader="none"/>
        <w:tab w:val="center" w:pos="9540" w:leader="none"/>
      </w:tabs>
      <w:spacing w:before="0" w:after="480"/>
      <w:ind w:end="187"/>
      <w:jc w:val="end"/>
      <w:rPr/>
    </w:pPr>
    <w:r>
      <w:rPr/>
      <w:t>Page</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3660" cy="167640"/>
              <wp:effectExtent l="0" t="0" r="0" b="0"/>
              <wp:wrapSquare wrapText="bothSides"/>
              <wp:docPr id="1" name="Frame2"/>
              <a:graphic xmlns:a="http://schemas.openxmlformats.org/drawingml/2006/main">
                <a:graphicData uri="http://schemas.microsoft.com/office/word/2010/wordprocessingShape">
                  <wps:wsp>
                    <wps:cNvSpPr txBox="1"/>
                    <wps:spPr>
                      <a:xfrm>
                        <a:off x="0" y="0"/>
                        <a:ext cx="73660" cy="16764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pt;height:13.2pt;mso-wrap-distance-left:0pt;mso-wrap-distance-right:0pt;mso-wrap-distance-top:0pt;mso-wrap-distance-bottom:0pt;margin-top:0.05pt;mso-position-vertical-relative:text;margin-left:471.0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lowerLetter"/>
      <w:lvlText w:val="%2"/>
      <w:lvlJc w:val="start"/>
      <w:pPr>
        <w:tabs>
          <w:tab w:val="num" w:pos="720"/>
        </w:tabs>
        <w:ind w:start="720" w:hanging="720"/>
      </w:pPr>
    </w:lvl>
    <w:lvl w:ilvl="2">
      <w:start w:val="1"/>
      <w:pStyle w:val="Heading3"/>
      <w:numFmt w:val="lowerRoman"/>
      <w:lvlText w:val="%3"/>
      <w:lvlJc w:val="start"/>
      <w:pPr>
        <w:tabs>
          <w:tab w:val="num" w:pos="720"/>
        </w:tabs>
        <w:ind w:start="720" w:hanging="720"/>
      </w:pPr>
    </w:lvl>
    <w:lvl w:ilvl="3">
      <w:start w:val="1"/>
      <w:pStyle w:val="Heading4"/>
      <w:numFmt w:val="upp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decimal"/>
      <w:lvlText w:val="%6"/>
      <w:lvlJc w:val="start"/>
      <w:pPr>
        <w:tabs>
          <w:tab w:val="num" w:pos="720"/>
        </w:tabs>
        <w:ind w:start="720" w:hanging="720"/>
      </w:pPr>
    </w:lvl>
    <w:lvl w:ilvl="6">
      <w:start w:val="1"/>
      <w:pStyle w:val="Heading7"/>
      <w:numFmt w:val="decimal"/>
      <w:suff w:val="nothing"/>
      <w:lvlText w:val="%1.%2.%3.%4.%5.%6.%7"/>
      <w:lvlJc w:val="start"/>
      <w:pPr>
        <w:tabs>
          <w:tab w:val="num" w:pos="0"/>
        </w:tabs>
        <w:ind w:start="0" w:hanging="0"/>
      </w:pPr>
    </w:lvl>
    <w:lvl w:ilvl="7">
      <w:start w:val="1"/>
      <w:pStyle w:val="Heading8"/>
      <w:numFmt w:val="decimal"/>
      <w:suff w:val="nothing"/>
      <w:lvlText w:val="%1.%2.%3.%4.%5.%6.%7.%8"/>
      <w:lvlJc w:val="start"/>
      <w:pPr>
        <w:tabs>
          <w:tab w:val="num" w:pos="0"/>
        </w:tabs>
        <w:ind w:start="0" w:hanging="0"/>
      </w:pPr>
    </w:lvl>
    <w:lvl w:ilvl="8">
      <w:start w:val="1"/>
      <w:pStyle w:val="Heading9"/>
      <w:numFmt w:val="decimal"/>
      <w:suff w:val="nothing"/>
      <w:lvlText w:val="%1.%2.%3.%4.%5.%6.%7.%8.%9"/>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3"/>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tabs>
        <w:tab w:val="clear" w:pos="720"/>
      </w:tabs>
      <w:spacing w:before="0" w:after="240"/>
      <w:ind w:hanging="720" w:start="2160" w:end="0"/>
      <w:outlineLvl w:val="1"/>
    </w:pPr>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tyle>
  <w:style w:type="paragraph" w:styleId="Heading4">
    <w:name w:val="heading 4"/>
    <w:basedOn w:val="Normal"/>
    <w:next w:val="BodyText"/>
    <w:qFormat/>
    <w:pPr>
      <w:numPr>
        <w:ilvl w:val="3"/>
        <w:numId w:val="1"/>
      </w:numPr>
      <w:tabs>
        <w:tab w:val="clear" w:pos="720"/>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20"/>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20"/>
      </w:tabs>
      <w:spacing w:before="0" w:after="240"/>
      <w:ind w:hanging="720" w:start="5040" w:end="0"/>
      <w:outlineLvl w:val="5"/>
    </w:pPr>
    <w:rPr/>
  </w:style>
  <w:style w:type="paragraph" w:styleId="Heading7">
    <w:name w:val="heading 7"/>
    <w:basedOn w:val="Normal"/>
    <w:next w:val="Normal"/>
    <w:qFormat/>
    <w:pPr>
      <w:numPr>
        <w:ilvl w:val="6"/>
        <w:numId w:val="1"/>
      </w:numPr>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ind w:hanging="0" w:start="432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ind w:hanging="0" w:start="4320" w:end="0"/>
      <w:outlineLvl w:val="8"/>
    </w:pPr>
    <w:rPr>
      <w:rFonts w:ascii="Arial" w:hAnsi="Arial" w:eastAsia="Arial" w:cs="Arial"/>
      <w:b/>
      <w:bCs/>
      <w:i/>
      <w:iCs/>
      <w:sz w:val="18"/>
      <w:szCs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306" w:leader="none"/>
      </w:tabs>
    </w:pPr>
    <w:rPr>
      <w:caps/>
      <w:sz w:val="20"/>
      <w:szCs w:val="20"/>
    </w:rPr>
  </w:style>
  <w:style w:type="paragraph" w:styleId="Header">
    <w:name w:val="header"/>
    <w:basedOn w:val="Normal"/>
    <w:pPr>
      <w:tabs>
        <w:tab w:val="clear" w:pos="720"/>
        <w:tab w:val="center" w:pos="4153" w:leader="none"/>
        <w:tab w:val="right" w:pos="8306" w:leader="none"/>
      </w:tabs>
    </w:pPr>
    <w:rPr/>
  </w:style>
  <w:style w:type="paragraph" w:styleId="listno">
    <w:name w:val="listno"/>
    <w:basedOn w:val="Normal"/>
    <w:qFormat/>
    <w:pPr>
      <w:numPr>
        <w:ilvl w:val="0"/>
        <w:numId w:val="2"/>
      </w:numPr>
      <w:spacing w:before="0" w:after="240"/>
      <w:ind w:hanging="720" w:start="720" w:end="0"/>
    </w:pPr>
    <w:rPr/>
  </w:style>
  <w:style w:type="paragraph" w:styleId="MessageHeaderFirst">
    <w:name w:val="Message Header First"/>
    <w:basedOn w:val="Normal"/>
    <w:next w:val="Normal"/>
    <w:qFormat/>
    <w:pPr>
      <w:keepLines/>
      <w:tabs>
        <w:tab w:val="clear" w:pos="720"/>
        <w:tab w:val="left" w:pos="1560" w:leader="none"/>
      </w:tabs>
      <w:spacing w:lineRule="atLeast" w:line="415"/>
      <w:ind w:hanging="720" w:start="1560" w:end="-360"/>
      <w:jc w:val="star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768" w:leader="none"/>
        <w:tab w:val="right" w:pos="9537"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2000-07-31T07:20:00Z</dcterms:created>
  <dc:creator>WFW</dc:creator>
  <dc:description/>
  <dc:language>en-CA</dc:language>
  <cp:lastModifiedBy>WFW</cp:lastModifiedBy>
  <cp:lastPrinted>2000-07-31T17:44:00Z</cp:lastPrinted>
  <dcterms:modified xsi:type="dcterms:W3CDTF">2000-07-31T07:20:00Z</dcterms:modified>
  <cp:revision>2</cp:revision>
  <dc:subject/>
  <dc:title>FAX TO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WProfile">
    <vt:lpwstr>18028777 v1</vt:lpwstr>
  </property>
</Properties>
</file>