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top w:val="single" w:sz="6" w:space="1" w:color="000000"/>
        </w:pBdr>
        <w:tabs>
          <w:tab w:val="clear" w:pos="720"/>
          <w:tab w:val="center" w:pos="7380" w:leader="none"/>
        </w:tabs>
        <w:ind w:start="-90" w:end="0"/>
        <w:rPr>
          <w:b/>
          <w:bCs/>
          <w:sz w:val="28"/>
          <w:szCs w:val="28"/>
        </w:rPr>
      </w:pPr>
      <w:r>
        <w:rPr>
          <w:sz w:val="24"/>
          <w:szCs w:val="24"/>
        </w:rPr>
        <w:t xml:space="preserve"> </w:t>
      </w:r>
      <w:r>
        <w:rPr>
          <w:sz w:val="60"/>
          <w:szCs w:val="60"/>
        </w:rPr>
        <w:t>Fax</w:t>
      </w:r>
      <w:r>
        <w:rPr/>
        <w:tab/>
      </w:r>
      <w:r>
        <w:rPr>
          <w:b/>
          <w:bCs/>
          <w:caps/>
          <w:sz w:val="24"/>
          <w:szCs w:val="24"/>
        </w:rPr>
        <w:t>Watson, Farley &amp; Williams</w:t>
      </w:r>
    </w:p>
    <w:p>
      <w:pPr>
        <w:pStyle w:val="MessageHeaderFirst"/>
        <w:tabs>
          <w:tab w:val="clear" w:pos="1560"/>
          <w:tab w:val="center" w:pos="7380" w:leader="none"/>
        </w:tabs>
        <w:spacing w:lineRule="auto" w:line="240" w:before="0" w:after="120"/>
        <w:ind w:hanging="0" w:start="-86" w:end="0"/>
        <w:rPr/>
      </w:pPr>
      <w:r>
        <w:rPr>
          <w:b/>
          <w:bCs/>
        </w:rPr>
        <w:tab/>
      </w:r>
      <w:r>
        <w:rPr>
          <w:b/>
          <w:bCs/>
          <w:sz w:val="24"/>
          <w:szCs w:val="24"/>
        </w:rPr>
        <w:t>Singapore</w:t>
      </w:r>
    </w:p>
    <w:tbl>
      <w:tblPr>
        <w:tblW w:w="9630" w:type="dxa"/>
        <w:jc w:val="start"/>
        <w:tblInd w:w="18" w:type="dxa"/>
        <w:tblLayout w:type="fixed"/>
        <w:tblCellMar>
          <w:top w:w="0" w:type="dxa"/>
          <w:start w:w="108" w:type="dxa"/>
          <w:bottom w:w="0" w:type="dxa"/>
          <w:end w:w="108" w:type="dxa"/>
        </w:tblCellMar>
      </w:tblPr>
      <w:tblGrid>
        <w:gridCol w:w="4598"/>
        <w:gridCol w:w="2065"/>
        <w:gridCol w:w="324"/>
        <w:gridCol w:w="2643"/>
      </w:tblGrid>
      <w:tr>
        <w:trPr/>
        <w:tc>
          <w:tcPr>
            <w:tcW w:w="9630" w:type="dxa"/>
            <w:gridSpan w:val="4"/>
            <w:tcBorders>
              <w:top w:val="single" w:sz="6" w:space="0" w:color="000000"/>
            </w:tcBorders>
          </w:tcPr>
          <w:p>
            <w:pPr>
              <w:pStyle w:val="Normal"/>
              <w:spacing w:before="0" w:after="80"/>
              <w:jc w:val="start"/>
              <w:rPr/>
            </w:pPr>
            <w:r>
              <w:rPr>
                <w:b/>
                <w:bCs/>
                <w:sz w:val="24"/>
                <w:szCs w:val="24"/>
              </w:rPr>
              <w:t xml:space="preserve">16 Collyer Quay </w:t>
            </w:r>
            <w:r>
              <w:rPr>
                <w:rFonts w:eastAsia="Wingdings;Symbol" w:cs="Wingdings;Symbol" w:ascii="Wingdings;Symbol" w:hAnsi="Wingdings;Symbol"/>
                <w:b/>
                <w:bCs/>
                <w:sz w:val="12"/>
                <w:szCs w:val="12"/>
              </w:rPr>
              <w:sym w:font="Wingdings;Symbol" w:char="6c"/>
            </w:r>
            <w:r>
              <w:rPr>
                <w:b/>
                <w:bCs/>
                <w:sz w:val="12"/>
                <w:szCs w:val="12"/>
              </w:rPr>
              <w:t xml:space="preserve"> </w:t>
            </w:r>
            <w:r>
              <w:rPr>
                <w:b/>
                <w:bCs/>
                <w:sz w:val="24"/>
                <w:szCs w:val="24"/>
              </w:rPr>
              <w:t xml:space="preserve">#12-02 Hitachi Tower </w:t>
            </w:r>
            <w:r>
              <w:rPr>
                <w:rFonts w:eastAsia="Wingdings;Symbol" w:cs="Wingdings;Symbol" w:ascii="Wingdings;Symbol" w:hAnsi="Wingdings;Symbol"/>
                <w:b/>
                <w:bCs/>
                <w:sz w:val="12"/>
                <w:szCs w:val="12"/>
              </w:rPr>
              <w:sym w:font="Wingdings;Symbol" w:char="6c"/>
            </w:r>
            <w:r>
              <w:rPr>
                <w:b/>
                <w:bCs/>
                <w:sz w:val="12"/>
                <w:szCs w:val="12"/>
              </w:rPr>
              <w:t xml:space="preserve"> </w:t>
            </w:r>
            <w:r>
              <w:rPr>
                <w:b/>
                <w:bCs/>
                <w:sz w:val="24"/>
                <w:szCs w:val="24"/>
              </w:rPr>
              <w:t xml:space="preserve">Singapore </w:t>
            </w:r>
            <w:r>
              <w:rPr>
                <w:rFonts w:eastAsia="Wingdings;Symbol" w:cs="Wingdings;Symbol" w:ascii="Wingdings;Symbol" w:hAnsi="Wingdings;Symbol"/>
                <w:b/>
                <w:bCs/>
                <w:sz w:val="12"/>
                <w:szCs w:val="12"/>
              </w:rPr>
              <w:sym w:font="Wingdings;Symbol" w:char="6c"/>
            </w:r>
            <w:r>
              <w:rPr>
                <w:b/>
                <w:bCs/>
                <w:sz w:val="12"/>
                <w:szCs w:val="12"/>
              </w:rPr>
              <w:t xml:space="preserve"> </w:t>
            </w:r>
            <w:r>
              <w:rPr>
                <w:b/>
                <w:bCs/>
                <w:sz w:val="24"/>
                <w:szCs w:val="24"/>
              </w:rPr>
              <w:t>049318</w:t>
            </w:r>
          </w:p>
        </w:tc>
      </w:tr>
      <w:tr>
        <w:trPr/>
        <w:tc>
          <w:tcPr>
            <w:tcW w:w="4598" w:type="dxa"/>
            <w:tcBorders/>
          </w:tcPr>
          <w:p>
            <w:pPr>
              <w:pStyle w:val="Normal"/>
              <w:spacing w:before="0" w:after="60"/>
              <w:jc w:val="start"/>
              <w:rPr/>
            </w:pPr>
            <w:r>
              <w:rPr/>
              <w:t>Telephone</w:t>
              <w:tab/>
            </w:r>
            <w:r>
              <w:rPr>
                <w:b/>
                <w:bCs/>
              </w:rPr>
              <w:t>+(65) 532 5335</w:t>
            </w:r>
          </w:p>
        </w:tc>
        <w:tc>
          <w:tcPr>
            <w:tcW w:w="2065" w:type="dxa"/>
            <w:tcBorders/>
          </w:tcPr>
          <w:p>
            <w:pPr>
              <w:pStyle w:val="Normal"/>
              <w:spacing w:before="0" w:after="60"/>
              <w:jc w:val="start"/>
              <w:rPr/>
            </w:pPr>
            <w:r>
              <w:rPr/>
              <w:t>Date</w:t>
            </w:r>
          </w:p>
        </w:tc>
        <w:tc>
          <w:tcPr>
            <w:tcW w:w="324" w:type="dxa"/>
            <w:tcBorders/>
          </w:tcPr>
          <w:p>
            <w:pPr>
              <w:pStyle w:val="Normal"/>
              <w:spacing w:before="0" w:after="60"/>
              <w:jc w:val="start"/>
              <w:rPr/>
            </w:pPr>
            <w:r>
              <w:rPr/>
              <w:t>:</w:t>
            </w:r>
          </w:p>
        </w:tc>
        <w:tc>
          <w:tcPr>
            <w:tcW w:w="2643" w:type="dxa"/>
            <w:tcBorders/>
          </w:tcPr>
          <w:p>
            <w:pPr>
              <w:pStyle w:val="Normal"/>
              <w:spacing w:before="0" w:after="60"/>
              <w:jc w:val="start"/>
              <w:rPr/>
            </w:pPr>
            <w:r>
              <w:rPr/>
              <w:t>28 July 2000</w:t>
            </w:r>
          </w:p>
        </w:tc>
      </w:tr>
      <w:tr>
        <w:trPr/>
        <w:tc>
          <w:tcPr>
            <w:tcW w:w="4598" w:type="dxa"/>
            <w:tcBorders/>
          </w:tcPr>
          <w:p>
            <w:pPr>
              <w:pStyle w:val="Normal"/>
              <w:spacing w:before="0" w:after="60"/>
              <w:jc w:val="start"/>
              <w:rPr/>
            </w:pPr>
            <w:r>
              <w:rPr/>
              <w:t xml:space="preserve">Fax  </w:t>
              <w:tab/>
              <w:tab/>
            </w:r>
            <w:r>
              <w:rPr>
                <w:b/>
                <w:bCs/>
              </w:rPr>
              <w:t>+(65) 532 5454</w:t>
            </w:r>
          </w:p>
        </w:tc>
        <w:tc>
          <w:tcPr>
            <w:tcW w:w="2065" w:type="dxa"/>
            <w:tcBorders/>
          </w:tcPr>
          <w:p>
            <w:pPr>
              <w:pStyle w:val="Normal"/>
              <w:spacing w:before="0" w:after="60"/>
              <w:jc w:val="start"/>
              <w:rPr/>
            </w:pPr>
            <w:r>
              <w:rPr/>
              <w:t>Our Reference</w:t>
            </w:r>
          </w:p>
        </w:tc>
        <w:tc>
          <w:tcPr>
            <w:tcW w:w="324" w:type="dxa"/>
            <w:tcBorders/>
          </w:tcPr>
          <w:p>
            <w:pPr>
              <w:pStyle w:val="Normal"/>
              <w:spacing w:before="0" w:after="60"/>
              <w:jc w:val="start"/>
              <w:rPr/>
            </w:pPr>
            <w:r>
              <w:rPr/>
              <w:t>:</w:t>
            </w:r>
          </w:p>
        </w:tc>
        <w:tc>
          <w:tcPr>
            <w:tcW w:w="2643" w:type="dxa"/>
            <w:tcBorders/>
          </w:tcPr>
          <w:p>
            <w:pPr>
              <w:pStyle w:val="Normal"/>
              <w:spacing w:before="0" w:after="60"/>
              <w:jc w:val="start"/>
              <w:rPr/>
            </w:pPr>
            <w:r>
              <w:rPr/>
              <w:fldChar w:fldCharType="begin"/>
            </w:r>
            <w:r>
              <w:rPr/>
              <w:instrText xml:space="preserve"> FILLIN "Type Our Ref, press Tab and Return or click OK"</w:instrText>
            </w:r>
            <w:r>
              <w:rPr/>
              <w:fldChar w:fldCharType="separate"/>
            </w:r>
            <w:r>
              <w:rPr/>
              <w:t>NRG/jl/20669.20005</w:t>
            </w:r>
            <w:r>
              <w:rPr/>
              <w:fldChar w:fldCharType="end"/>
            </w:r>
          </w:p>
        </w:tc>
      </w:tr>
      <w:tr>
        <w:trPr/>
        <w:tc>
          <w:tcPr>
            <w:tcW w:w="4598" w:type="dxa"/>
            <w:tcBorders/>
          </w:tcPr>
          <w:p>
            <w:pPr>
              <w:pStyle w:val="Normal"/>
              <w:spacing w:before="0" w:after="60"/>
              <w:jc w:val="start"/>
              <w:rPr/>
            </w:pPr>
            <w:r>
              <w:rPr/>
              <w:t xml:space="preserve">Telex  </w:t>
              <w:tab/>
              <w:tab/>
            </w:r>
            <w:r>
              <w:rPr>
                <w:b/>
                <w:bCs/>
              </w:rPr>
              <w:t>RS 20433 WFWs</w:t>
            </w:r>
          </w:p>
        </w:tc>
        <w:tc>
          <w:tcPr>
            <w:tcW w:w="2065" w:type="dxa"/>
            <w:tcBorders/>
          </w:tcPr>
          <w:p>
            <w:pPr>
              <w:pStyle w:val="Normal"/>
              <w:spacing w:before="0" w:after="60"/>
              <w:jc w:val="start"/>
              <w:rPr/>
            </w:pPr>
            <w:r>
              <w:rPr/>
              <w:t>Document Number</w:t>
            </w:r>
          </w:p>
        </w:tc>
        <w:tc>
          <w:tcPr>
            <w:tcW w:w="324" w:type="dxa"/>
            <w:tcBorders/>
          </w:tcPr>
          <w:p>
            <w:pPr>
              <w:pStyle w:val="Normal"/>
              <w:spacing w:before="0" w:after="60"/>
              <w:jc w:val="start"/>
              <w:rPr/>
            </w:pPr>
            <w:r>
              <w:rPr/>
              <w:t>:</w:t>
            </w:r>
          </w:p>
        </w:tc>
        <w:tc>
          <w:tcPr>
            <w:tcW w:w="2643" w:type="dxa"/>
            <w:tcBorders/>
          </w:tcPr>
          <w:p>
            <w:pPr>
              <w:pStyle w:val="Normal"/>
              <w:snapToGrid w:val="false"/>
              <w:spacing w:before="0" w:after="60"/>
              <w:jc w:val="start"/>
              <w:rPr/>
            </w:pPr>
            <w:r>
              <w:rPr/>
            </w:r>
          </w:p>
        </w:tc>
      </w:tr>
      <w:tr>
        <w:trPr/>
        <w:tc>
          <w:tcPr>
            <w:tcW w:w="4598" w:type="dxa"/>
            <w:tcBorders>
              <w:bottom w:val="single" w:sz="6" w:space="0" w:color="000000"/>
            </w:tcBorders>
          </w:tcPr>
          <w:p>
            <w:pPr>
              <w:pStyle w:val="Normal"/>
              <w:spacing w:before="0" w:after="60"/>
              <w:jc w:val="start"/>
              <w:rPr/>
            </w:pPr>
            <w:r>
              <w:rPr/>
              <w:t xml:space="preserve">E-Mail:            </w:t>
            </w:r>
            <w:r>
              <w:rPr>
                <w:b/>
                <w:bCs/>
              </w:rPr>
              <w:fldChar w:fldCharType="begin"/>
            </w:r>
            <w:r>
              <w:rPr>
                <w:b/>
                <w:bCs/>
              </w:rPr>
              <w:instrText xml:space="preserve"> FILLIN "E-Mail address  i.e. mwatson - THIS MUST BE IN LOWERCASE press Tab and Return or click OK"</w:instrText>
            </w:r>
            <w:r>
              <w:rPr>
                <w:b/>
                <w:bCs/>
              </w:rPr>
              <w:fldChar w:fldCharType="separate"/>
            </w:r>
            <w:r>
              <w:rPr>
                <w:b/>
                <w:bCs/>
              </w:rPr>
              <w:t>ngregson</w:t>
            </w:r>
            <w:r>
              <w:rPr>
                <w:b/>
                <w:bCs/>
              </w:rPr>
              <w:fldChar w:fldCharType="end"/>
            </w:r>
            <w:r>
              <w:rPr>
                <w:b/>
                <w:bCs/>
              </w:rPr>
              <w:t>@wfw.com</w:t>
            </w:r>
          </w:p>
        </w:tc>
        <w:tc>
          <w:tcPr>
            <w:tcW w:w="2065" w:type="dxa"/>
            <w:tcBorders>
              <w:bottom w:val="single" w:sz="6" w:space="0" w:color="000000"/>
            </w:tcBorders>
          </w:tcPr>
          <w:p>
            <w:pPr>
              <w:pStyle w:val="Normal"/>
              <w:spacing w:before="0" w:after="60"/>
              <w:jc w:val="start"/>
              <w:rPr/>
            </w:pPr>
            <w:r>
              <w:rPr/>
              <w:t>Total Pages</w:t>
            </w:r>
          </w:p>
        </w:tc>
        <w:tc>
          <w:tcPr>
            <w:tcW w:w="324" w:type="dxa"/>
            <w:tcBorders>
              <w:bottom w:val="single" w:sz="6" w:space="0" w:color="000000"/>
            </w:tcBorders>
          </w:tcPr>
          <w:p>
            <w:pPr>
              <w:pStyle w:val="Normal"/>
              <w:spacing w:before="0" w:after="60"/>
              <w:jc w:val="start"/>
              <w:rPr/>
            </w:pPr>
            <w:r>
              <w:rPr/>
              <w:t>:</w:t>
            </w:r>
          </w:p>
        </w:tc>
        <w:tc>
          <w:tcPr>
            <w:tcW w:w="2643" w:type="dxa"/>
            <w:tcBorders>
              <w:bottom w:val="single" w:sz="6" w:space="0" w:color="000000"/>
            </w:tcBorders>
          </w:tcPr>
          <w:p>
            <w:pPr>
              <w:pStyle w:val="Normal"/>
              <w:spacing w:before="0" w:after="60"/>
              <w:jc w:val="start"/>
              <w:rPr/>
            </w:pPr>
            <w:r>
              <w:rPr/>
              <w:t>15</w:t>
            </w:r>
          </w:p>
        </w:tc>
      </w:tr>
    </w:tbl>
    <w:p>
      <w:pPr>
        <w:pStyle w:val="Normal"/>
        <w:spacing w:lineRule="auto" w:line="216" w:before="120" w:after="120"/>
        <w:ind w:end="101"/>
        <w:rPr/>
      </w:pPr>
      <w:r>
        <w:rPr>
          <w:b/>
          <w:bCs/>
          <w:sz w:val="20"/>
          <w:szCs w:val="20"/>
        </w:rPr>
        <w:t>CONFIDENTIALITY</w:t>
      </w:r>
      <w:r>
        <w:rPr>
          <w:sz w:val="20"/>
          <w:szCs w:val="20"/>
        </w:rPr>
        <w:t xml:space="preserve"> </w:t>
      </w:r>
      <w:r>
        <w:rPr>
          <w:rFonts w:eastAsia="Symbol" w:cs="Symbol" w:ascii="Symbol" w:hAnsi="Symbol"/>
          <w:sz w:val="20"/>
          <w:szCs w:val="20"/>
        </w:rPr>
        <w:sym w:font="Symbol" w:char="b7"/>
      </w:r>
      <w:r>
        <w:rPr/>
        <w:t xml:space="preserve"> If you or your organisation are not a named addressee of this fax, you must not read the contents, copy them or disclose them to any other person.   Please telephone us immediately to enable us to re-send the fax.</w:t>
      </w:r>
    </w:p>
    <w:tbl>
      <w:tblPr>
        <w:tblW w:w="9630" w:type="dxa"/>
        <w:jc w:val="start"/>
        <w:tblInd w:w="18" w:type="dxa"/>
        <w:tblLayout w:type="fixed"/>
        <w:tblCellMar>
          <w:top w:w="0" w:type="dxa"/>
          <w:start w:w="108" w:type="dxa"/>
          <w:bottom w:w="0" w:type="dxa"/>
          <w:end w:w="108" w:type="dxa"/>
        </w:tblCellMar>
      </w:tblPr>
      <w:tblGrid>
        <w:gridCol w:w="2180"/>
        <w:gridCol w:w="2"/>
        <w:gridCol w:w="271"/>
        <w:gridCol w:w="2"/>
        <w:gridCol w:w="7175"/>
      </w:tblGrid>
      <w:tr>
        <w:trPr>
          <w:trHeight w:val="200" w:hRule="exact"/>
        </w:trPr>
        <w:tc>
          <w:tcPr>
            <w:tcW w:w="2182" w:type="dxa"/>
            <w:gridSpan w:val="2"/>
            <w:tcBorders>
              <w:top w:val="single" w:sz="6" w:space="0" w:color="000000"/>
            </w:tcBorders>
          </w:tcPr>
          <w:p>
            <w:pPr>
              <w:pStyle w:val="Normal"/>
              <w:snapToGrid w:val="false"/>
              <w:spacing w:lineRule="auto" w:line="300" w:before="0" w:after="80"/>
              <w:rPr/>
            </w:pPr>
            <w:r>
              <w:rPr/>
            </w:r>
          </w:p>
        </w:tc>
        <w:tc>
          <w:tcPr>
            <w:tcW w:w="273" w:type="dxa"/>
            <w:gridSpan w:val="2"/>
            <w:tcBorders>
              <w:top w:val="single" w:sz="6" w:space="0" w:color="000000"/>
            </w:tcBorders>
          </w:tcPr>
          <w:p>
            <w:pPr>
              <w:pStyle w:val="Normal"/>
              <w:snapToGrid w:val="false"/>
              <w:spacing w:lineRule="auto" w:line="300" w:before="0" w:after="80"/>
              <w:rPr/>
            </w:pPr>
            <w:r>
              <w:rPr/>
            </w:r>
          </w:p>
        </w:tc>
        <w:tc>
          <w:tcPr>
            <w:tcW w:w="7175" w:type="dxa"/>
            <w:tcBorders>
              <w:top w:val="single" w:sz="6" w:space="0" w:color="000000"/>
            </w:tcBorders>
          </w:tcPr>
          <w:p>
            <w:pPr>
              <w:pStyle w:val="Normal"/>
              <w:snapToGrid w:val="false"/>
              <w:spacing w:lineRule="auto" w:line="300" w:before="0" w:after="80"/>
              <w:rPr>
                <w:b/>
                <w:bCs/>
              </w:rPr>
            </w:pPr>
            <w:r>
              <w:rPr>
                <w:b/>
                <w:bCs/>
              </w:rPr>
            </w:r>
          </w:p>
        </w:tc>
      </w:tr>
      <w:tr>
        <w:trPr/>
        <w:tc>
          <w:tcPr>
            <w:tcW w:w="2180" w:type="dxa"/>
            <w:tcBorders/>
          </w:tcPr>
          <w:p>
            <w:pPr>
              <w:pStyle w:val="Normal"/>
              <w:jc w:val="start"/>
              <w:rPr/>
            </w:pPr>
            <w:r>
              <w:rPr/>
              <w:t>To</w:t>
            </w:r>
          </w:p>
        </w:tc>
        <w:tc>
          <w:tcPr>
            <w:tcW w:w="273" w:type="dxa"/>
            <w:gridSpan w:val="2"/>
            <w:tcBorders/>
          </w:tcPr>
          <w:p>
            <w:pPr>
              <w:pStyle w:val="Normal"/>
              <w:snapToGrid w:val="false"/>
              <w:jc w:val="start"/>
              <w:rPr/>
            </w:pPr>
            <w:r>
              <w:rPr/>
            </w:r>
          </w:p>
        </w:tc>
        <w:tc>
          <w:tcPr>
            <w:tcW w:w="7177" w:type="dxa"/>
            <w:gridSpan w:val="2"/>
            <w:tcBorders/>
          </w:tcPr>
          <w:p>
            <w:pPr>
              <w:pStyle w:val="Normal"/>
              <w:jc w:val="start"/>
              <w:rPr>
                <w:b/>
                <w:bCs/>
              </w:rPr>
            </w:pPr>
            <w:r>
              <w:rPr>
                <w:b/>
                <w:bCs/>
              </w:rPr>
              <w:t>Mr Matthias Lee</w:t>
            </w:r>
          </w:p>
        </w:tc>
      </w:tr>
      <w:tr>
        <w:trPr/>
        <w:tc>
          <w:tcPr>
            <w:tcW w:w="2180" w:type="dxa"/>
            <w:tcBorders/>
          </w:tcPr>
          <w:p>
            <w:pPr>
              <w:pStyle w:val="Normal"/>
              <w:jc w:val="start"/>
              <w:rPr/>
            </w:pPr>
            <w:r>
              <w:rPr/>
              <w:t>Organisation</w:t>
            </w:r>
          </w:p>
        </w:tc>
        <w:tc>
          <w:tcPr>
            <w:tcW w:w="273" w:type="dxa"/>
            <w:gridSpan w:val="2"/>
            <w:tcBorders/>
          </w:tcPr>
          <w:p>
            <w:pPr>
              <w:pStyle w:val="Normal"/>
              <w:jc w:val="start"/>
              <w:rPr/>
            </w:pPr>
            <w:r>
              <w:rPr/>
              <w:t>:</w:t>
            </w:r>
          </w:p>
        </w:tc>
        <w:tc>
          <w:tcPr>
            <w:tcW w:w="7177" w:type="dxa"/>
            <w:gridSpan w:val="2"/>
            <w:tcBorders/>
          </w:tcPr>
          <w:p>
            <w:pPr>
              <w:pStyle w:val="Normal"/>
              <w:jc w:val="start"/>
              <w:rPr>
                <w:b/>
                <w:bCs/>
              </w:rPr>
            </w:pPr>
            <w:r>
              <w:rPr>
                <w:b/>
                <w:bCs/>
              </w:rPr>
              <w:fldChar w:fldCharType="begin"/>
            </w:r>
            <w:r>
              <w:rPr>
                <w:b/>
                <w:bCs/>
              </w:rPr>
              <w:instrText xml:space="preserve"> FILLIN "CC:  ORGANISATION, press TAB,RETURN or CLICK OK"</w:instrText>
            </w:r>
            <w:r>
              <w:rPr>
                <w:b/>
                <w:bCs/>
              </w:rPr>
              <w:fldChar w:fldCharType="separate"/>
            </w:r>
            <w:r>
              <w:rPr>
                <w:b/>
                <w:bCs/>
              </w:rPr>
              <w:t>Enron Capital &amp; Trade Resources Singapore Pte Ltd</w:t>
            </w:r>
            <w:r>
              <w:rPr>
                <w:b/>
                <w:bCs/>
              </w:rPr>
              <w:fldChar w:fldCharType="end"/>
            </w:r>
          </w:p>
        </w:tc>
      </w:tr>
      <w:tr>
        <w:trPr/>
        <w:tc>
          <w:tcPr>
            <w:tcW w:w="2180" w:type="dxa"/>
            <w:tcBorders/>
          </w:tcPr>
          <w:p>
            <w:pPr>
              <w:pStyle w:val="Normal"/>
              <w:jc w:val="start"/>
              <w:rPr/>
            </w:pPr>
            <w:r>
              <w:rPr/>
              <w:t>Fax No</w:t>
            </w:r>
          </w:p>
        </w:tc>
        <w:tc>
          <w:tcPr>
            <w:tcW w:w="273" w:type="dxa"/>
            <w:gridSpan w:val="2"/>
            <w:tcBorders/>
          </w:tcPr>
          <w:p>
            <w:pPr>
              <w:pStyle w:val="Normal"/>
              <w:jc w:val="start"/>
              <w:rPr/>
            </w:pPr>
            <w:r>
              <w:rPr/>
              <w:t>:</w:t>
            </w:r>
          </w:p>
        </w:tc>
        <w:tc>
          <w:tcPr>
            <w:tcW w:w="7177" w:type="dxa"/>
            <w:gridSpan w:val="2"/>
            <w:tcBorders/>
          </w:tcPr>
          <w:p>
            <w:pPr>
              <w:pStyle w:val="Normal"/>
              <w:jc w:val="start"/>
              <w:rPr/>
            </w:pPr>
            <w:r>
              <w:rPr>
                <w:b/>
                <w:bCs/>
              </w:rPr>
              <w:fldChar w:fldCharType="begin"/>
            </w:r>
            <w:r>
              <w:rPr>
                <w:b/>
                <w:bCs/>
              </w:rPr>
              <w:instrText xml:space="preserve"> FILLIN "CC:  Fax Number, press TAB,RETURN or CLICK OK"</w:instrText>
            </w:r>
            <w:r>
              <w:rPr>
                <w:b/>
                <w:bCs/>
              </w:rPr>
              <w:fldChar w:fldCharType="separate"/>
            </w:r>
            <w:r>
              <w:rPr>
                <w:b/>
                <w:bCs/>
              </w:rPr>
              <w:t>734 2868</w:t>
            </w:r>
            <w:r>
              <w:rPr>
                <w:b/>
                <w:bCs/>
              </w:rPr>
              <w:fldChar w:fldCharType="end"/>
            </w:r>
            <w:r>
              <w:rPr>
                <w:b/>
                <w:bCs/>
              </w:rPr>
              <w:t>/779 4469</w:t>
            </w:r>
          </w:p>
        </w:tc>
      </w:tr>
      <w:tr>
        <w:trPr/>
        <w:tc>
          <w:tcPr>
            <w:tcW w:w="2180" w:type="dxa"/>
            <w:tcBorders/>
          </w:tcPr>
          <w:p>
            <w:pPr>
              <w:pStyle w:val="Normal"/>
              <w:snapToGrid w:val="false"/>
              <w:jc w:val="start"/>
              <w:rPr>
                <w:b/>
                <w:bCs/>
              </w:rPr>
            </w:pPr>
            <w:r>
              <w:rPr>
                <w:b/>
                <w:bCs/>
              </w:rPr>
            </w:r>
          </w:p>
        </w:tc>
        <w:tc>
          <w:tcPr>
            <w:tcW w:w="273" w:type="dxa"/>
            <w:gridSpan w:val="2"/>
            <w:tcBorders/>
          </w:tcPr>
          <w:p>
            <w:pPr>
              <w:pStyle w:val="Normal"/>
              <w:snapToGrid w:val="false"/>
              <w:jc w:val="start"/>
              <w:rPr/>
            </w:pPr>
            <w:r>
              <w:rPr/>
            </w:r>
          </w:p>
        </w:tc>
        <w:tc>
          <w:tcPr>
            <w:tcW w:w="7177" w:type="dxa"/>
            <w:gridSpan w:val="2"/>
            <w:tcBorders/>
          </w:tcPr>
          <w:p>
            <w:pPr>
              <w:pStyle w:val="Normal"/>
              <w:snapToGrid w:val="false"/>
              <w:jc w:val="start"/>
              <w:rPr>
                <w:b/>
                <w:bCs/>
              </w:rPr>
            </w:pPr>
            <w:r>
              <w:rPr>
                <w:b/>
                <w:bCs/>
              </w:rPr>
            </w:r>
          </w:p>
        </w:tc>
      </w:tr>
      <w:tr>
        <w:trPr/>
        <w:tc>
          <w:tcPr>
            <w:tcW w:w="2180" w:type="dxa"/>
            <w:tcBorders/>
          </w:tcPr>
          <w:p>
            <w:pPr>
              <w:pStyle w:val="Normal"/>
              <w:jc w:val="start"/>
              <w:rPr/>
            </w:pPr>
            <w:r>
              <w:rPr/>
              <w:t>From</w:t>
            </w:r>
          </w:p>
        </w:tc>
        <w:tc>
          <w:tcPr>
            <w:tcW w:w="273" w:type="dxa"/>
            <w:gridSpan w:val="2"/>
            <w:tcBorders/>
          </w:tcPr>
          <w:p>
            <w:pPr>
              <w:pStyle w:val="Normal"/>
              <w:jc w:val="start"/>
              <w:rPr/>
            </w:pPr>
            <w:r>
              <w:rPr/>
              <w:t>:</w:t>
            </w:r>
          </w:p>
        </w:tc>
        <w:tc>
          <w:tcPr>
            <w:tcW w:w="7177" w:type="dxa"/>
            <w:gridSpan w:val="2"/>
            <w:tcBorders/>
          </w:tcPr>
          <w:p>
            <w:pPr>
              <w:pStyle w:val="Normal"/>
              <w:jc w:val="start"/>
              <w:rPr>
                <w:b/>
                <w:bCs/>
              </w:rPr>
            </w:pPr>
            <w:r>
              <w:rPr>
                <w:b/>
                <w:bCs/>
              </w:rPr>
              <w:fldChar w:fldCharType="begin"/>
            </w:r>
            <w:r>
              <w:rPr>
                <w:b/>
                <w:bCs/>
              </w:rPr>
              <w:instrText xml:space="preserve"> FILLIN "Type Sender’s Name, press Tab and Return or click OK"</w:instrText>
            </w:r>
            <w:r>
              <w:rPr>
                <w:b/>
                <w:bCs/>
              </w:rPr>
              <w:fldChar w:fldCharType="separate"/>
            </w:r>
            <w:r>
              <w:rPr>
                <w:b/>
                <w:bCs/>
              </w:rPr>
              <w:t>Neale Gregson</w:t>
            </w:r>
            <w:r>
              <w:rPr>
                <w:b/>
                <w:bCs/>
              </w:rPr>
              <w:fldChar w:fldCharType="end"/>
            </w:r>
          </w:p>
        </w:tc>
      </w:tr>
      <w:tr>
        <w:trPr>
          <w:trHeight w:val="200" w:hRule="exact"/>
        </w:trPr>
        <w:tc>
          <w:tcPr>
            <w:tcW w:w="2182" w:type="dxa"/>
            <w:gridSpan w:val="2"/>
            <w:tcBorders>
              <w:bottom w:val="single" w:sz="6" w:space="0" w:color="000000"/>
            </w:tcBorders>
          </w:tcPr>
          <w:p>
            <w:pPr>
              <w:pStyle w:val="Normal"/>
              <w:snapToGrid w:val="false"/>
              <w:spacing w:lineRule="auto" w:line="300" w:before="0" w:after="80"/>
              <w:rPr>
                <w:b/>
                <w:bCs/>
              </w:rPr>
            </w:pPr>
            <w:r>
              <w:rPr>
                <w:b/>
                <w:bCs/>
              </w:rPr>
            </w:r>
          </w:p>
        </w:tc>
        <w:tc>
          <w:tcPr>
            <w:tcW w:w="273" w:type="dxa"/>
            <w:gridSpan w:val="2"/>
            <w:tcBorders>
              <w:bottom w:val="single" w:sz="6" w:space="0" w:color="000000"/>
            </w:tcBorders>
          </w:tcPr>
          <w:p>
            <w:pPr>
              <w:pStyle w:val="Normal"/>
              <w:snapToGrid w:val="false"/>
              <w:spacing w:lineRule="auto" w:line="300" w:before="0" w:after="80"/>
              <w:rPr/>
            </w:pPr>
            <w:r>
              <w:rPr/>
            </w:r>
          </w:p>
        </w:tc>
        <w:tc>
          <w:tcPr>
            <w:tcW w:w="7175" w:type="dxa"/>
            <w:tcBorders>
              <w:bottom w:val="single" w:sz="6" w:space="0" w:color="000000"/>
            </w:tcBorders>
          </w:tcPr>
          <w:p>
            <w:pPr>
              <w:pStyle w:val="Normal"/>
              <w:snapToGrid w:val="false"/>
              <w:spacing w:lineRule="auto" w:line="300" w:before="0" w:after="80"/>
              <w:rPr>
                <w:b/>
                <w:bCs/>
              </w:rPr>
            </w:pPr>
            <w:r>
              <w:rPr>
                <w:b/>
                <w:bCs/>
              </w:rPr>
            </w:r>
          </w:p>
        </w:tc>
      </w:tr>
    </w:tbl>
    <w:p>
      <w:pPr>
        <w:pStyle w:val="Normal"/>
        <w:rPr/>
      </w:pPr>
      <w:r>
        <w:rPr/>
      </w:r>
    </w:p>
    <w:p>
      <w:pPr>
        <w:pStyle w:val="Normal"/>
        <w:rPr/>
      </w:pPr>
      <w:r>
        <w:rPr/>
      </w:r>
    </w:p>
    <w:p>
      <w:pPr>
        <w:pStyle w:val="Normal"/>
        <w:rPr/>
      </w:pPr>
      <w:r>
        <w:rPr/>
        <w:t>Dear Matt</w:t>
      </w:r>
    </w:p>
    <w:p>
      <w:pPr>
        <w:pStyle w:val="Normal"/>
        <w:rPr/>
      </w:pPr>
      <w:r>
        <w:rPr/>
      </w:r>
    </w:p>
    <w:p>
      <w:pPr>
        <w:pStyle w:val="Normal"/>
        <w:rPr>
          <w:b/>
          <w:bCs/>
        </w:rPr>
      </w:pPr>
      <w:r>
        <w:rPr>
          <w:b/>
          <w:bCs/>
        </w:rPr>
        <w:t>“</w:t>
      </w:r>
      <w:r>
        <w:rPr>
          <w:b/>
          <w:bCs/>
        </w:rPr>
        <w:t>PACIFIC VIRGO” - C/P 13.6.00</w:t>
      </w:r>
    </w:p>
    <w:p>
      <w:pPr>
        <w:pStyle w:val="Normal"/>
        <w:rPr/>
      </w:pPr>
      <w:r>
        <w:rPr/>
      </w:r>
    </w:p>
    <w:p>
      <w:pPr>
        <w:pStyle w:val="Normal"/>
        <w:rPr/>
      </w:pPr>
      <w:r>
        <w:rPr/>
        <w:t>I refer to my notes of advice dated 13, 26 and 27 July 2000.</w:t>
      </w:r>
    </w:p>
    <w:p>
      <w:pPr>
        <w:pStyle w:val="Normal"/>
        <w:rPr/>
      </w:pPr>
      <w:r>
        <w:rPr/>
      </w:r>
    </w:p>
    <w:p>
      <w:pPr>
        <w:pStyle w:val="Normal"/>
        <w:rPr/>
      </w:pPr>
      <w:r>
        <w:rPr/>
        <w:t xml:space="preserve">You have asked for my opinion on the merits of Enron’s legal position against Mitsubishi under the subject charterparty which I set out below. </w:t>
      </w:r>
    </w:p>
    <w:p>
      <w:pPr>
        <w:pStyle w:val="Normal"/>
        <w:rPr/>
      </w:pPr>
      <w:r>
        <w:rPr/>
      </w:r>
    </w:p>
    <w:p>
      <w:pPr>
        <w:pStyle w:val="Normal"/>
        <w:rPr/>
      </w:pPr>
      <w:r>
        <w:rPr/>
        <w:t>I should say, however, that, until the relevant witnesses of fact have been interviewed, all necessary experts instructed and their reports received - in addition to the results of analysis carried out on the cargo samples, I will not be in a position to provide a finally concluded view on the strength of our evidence.  That said, I will comment briefly on the evidence as it stands having first set out in some detail the principles which will be applied to the case under English law.</w:t>
      </w:r>
    </w:p>
    <w:p>
      <w:pPr>
        <w:pStyle w:val="Normal"/>
        <w:rPr/>
      </w:pPr>
      <w:r>
        <w:rPr/>
      </w:r>
    </w:p>
    <w:p>
      <w:pPr>
        <w:pStyle w:val="Normal"/>
        <w:rPr>
          <w:b/>
          <w:bCs/>
          <w:sz w:val="28"/>
          <w:szCs w:val="28"/>
          <w:u w:val="single"/>
        </w:rPr>
      </w:pPr>
      <w:r>
        <w:rPr>
          <w:b/>
          <w:bCs/>
          <w:sz w:val="28"/>
          <w:szCs w:val="28"/>
          <w:u w:val="single"/>
        </w:rPr>
      </w:r>
    </w:p>
    <w:p>
      <w:pPr>
        <w:pStyle w:val="Normal"/>
        <w:jc w:val="center"/>
        <w:rPr>
          <w:b/>
          <w:bCs/>
          <w:sz w:val="28"/>
          <w:szCs w:val="28"/>
          <w:u w:val="single"/>
        </w:rPr>
      </w:pPr>
      <w:r>
        <w:rPr>
          <w:b/>
          <w:bCs/>
          <w:sz w:val="28"/>
          <w:szCs w:val="28"/>
          <w:u w:val="single"/>
        </w:rPr>
        <w:t>Law</w:t>
      </w:r>
    </w:p>
    <w:p>
      <w:pPr>
        <w:pStyle w:val="Normal"/>
        <w:jc w:val="center"/>
        <w:rPr/>
      </w:pPr>
      <w:r>
        <w:rPr/>
        <w:tab/>
      </w:r>
    </w:p>
    <w:p>
      <w:pPr>
        <w:pStyle w:val="Normal"/>
        <w:rPr/>
      </w:pPr>
      <w:r>
        <w:rPr/>
        <w:t>1.</w:t>
        <w:tab/>
        <w:t>The subject charterparty is made between Mitsubishi Corporation (as chartered/disponent owners) and Enron Capital &amp; Trade Resources Singapore Pte Ltd (as charterers).  It is comprised of Eric Tan’s fixture recap dated 13 June 2000, the Asbatankvoy form and Enron’s charter clauses (as amended).</w:t>
      </w:r>
    </w:p>
    <w:p>
      <w:pPr>
        <w:pStyle w:val="Normal"/>
        <w:rPr/>
      </w:pPr>
      <w:r>
        <w:rPr/>
      </w:r>
    </w:p>
    <w:p>
      <w:pPr>
        <w:pStyle w:val="Normal"/>
        <w:rPr/>
      </w:pPr>
      <w:r>
        <w:rPr/>
        <w:t>2.</w:t>
        <w:tab/>
        <w:t>Under Enron clause 44, the charterparty is governed by English law and, by Enron’s notice to owners dated 13 July 2000, all disputes thereunder are subject to arbitration in London before a sole arbitrator.  A separate advice will follow on the procedures to be followed in this respect under the Arbitration Act 1996.</w:t>
      </w:r>
    </w:p>
    <w:p>
      <w:pPr>
        <w:pStyle w:val="Normal"/>
        <w:rPr/>
      </w:pPr>
      <w:r>
        <w:rPr/>
      </w:r>
    </w:p>
    <w:p>
      <w:pPr>
        <w:pStyle w:val="Normal"/>
        <w:rPr/>
      </w:pPr>
      <w:r>
        <w:rPr/>
        <w:t>3.</w:t>
        <w:tab/>
        <w:t>A bill of lading was issued on 21 June 2000 identifying the (actual) owners (rather than Mitsubishi) as the carriers - Enron being shippers, and First Gas Power Corporation (“First Gas”) consignees.  However, in the hands of Enron as charterers of the vessel, the bill of lading is a receipt (and, of course, a document of title), rather than evidencing the contract of carriage.</w:t>
      </w:r>
    </w:p>
    <w:p>
      <w:pPr>
        <w:pStyle w:val="Normal"/>
        <w:rPr/>
      </w:pPr>
      <w:r>
        <w:rPr/>
      </w:r>
    </w:p>
    <w:p>
      <w:pPr>
        <w:pStyle w:val="Normal"/>
        <w:rPr/>
      </w:pPr>
      <w:r>
        <w:rPr/>
        <w:t>4.</w:t>
        <w:tab/>
        <w:t>Nevertheless, US COGSA (United States Carriage of Goods by Sea Act 1936) - a variation of the Hague Rules is incorporated into the charterparty (Asbatankvoy clause 20(b) and (i)).  A copy of US COGSA is attached for your ease of reference, and section references below are to this legislation.</w:t>
      </w:r>
    </w:p>
    <w:p>
      <w:pPr>
        <w:pStyle w:val="Normal"/>
        <w:rPr/>
      </w:pPr>
      <w:r>
        <w:rPr/>
      </w:r>
    </w:p>
    <w:p>
      <w:pPr>
        <w:pStyle w:val="Normal"/>
        <w:rPr/>
      </w:pPr>
      <w:r>
        <w:rPr/>
        <w:t>5.</w:t>
        <w:tab/>
        <w:t>The owners’ principal obligations are as follows:</w:t>
      </w:r>
    </w:p>
    <w:p>
      <w:pPr>
        <w:pStyle w:val="Normal"/>
        <w:rPr/>
      </w:pPr>
      <w:r>
        <w:rPr/>
      </w:r>
    </w:p>
    <w:p>
      <w:pPr>
        <w:pStyle w:val="Normal"/>
        <w:rPr>
          <w:i/>
          <w:i/>
          <w:iCs/>
        </w:rPr>
      </w:pPr>
      <w:r>
        <w:rPr>
          <w:i/>
          <w:iCs/>
        </w:rPr>
        <w:tab/>
        <w:t>Seaworthiness</w:t>
      </w:r>
    </w:p>
    <w:p>
      <w:pPr>
        <w:pStyle w:val="Normal"/>
        <w:rPr>
          <w:i/>
          <w:i/>
          <w:iCs/>
        </w:rPr>
      </w:pPr>
      <w:r>
        <w:rPr>
          <w:i/>
          <w:iCs/>
        </w:rPr>
      </w:r>
    </w:p>
    <w:p>
      <w:pPr>
        <w:pStyle w:val="Normal"/>
        <w:ind w:start="720" w:end="0"/>
        <w:rPr/>
      </w:pPr>
      <w:r>
        <w:rPr/>
        <w:t>(i)</w:t>
        <w:tab/>
        <w:t>before and at the beginning of the voyage, to exercise due diligence to:</w:t>
      </w:r>
    </w:p>
    <w:p>
      <w:pPr>
        <w:pStyle w:val="Normal"/>
        <w:rPr/>
      </w:pPr>
      <w:r>
        <w:rPr/>
      </w:r>
    </w:p>
    <w:p>
      <w:pPr>
        <w:pStyle w:val="Normal"/>
        <w:ind w:start="720" w:end="0"/>
        <w:rPr/>
      </w:pPr>
      <w:r>
        <w:rPr/>
        <w:tab/>
        <w:t>(a)</w:t>
        <w:tab/>
        <w:t>make the ship seaworthy;</w:t>
      </w:r>
    </w:p>
    <w:p>
      <w:pPr>
        <w:pStyle w:val="Normal"/>
        <w:ind w:start="720" w:end="0"/>
        <w:rPr/>
      </w:pPr>
      <w:r>
        <w:rPr/>
      </w:r>
    </w:p>
    <w:p>
      <w:pPr>
        <w:pStyle w:val="Normal"/>
        <w:ind w:hanging="720" w:start="1440" w:end="0"/>
        <w:rPr/>
      </w:pPr>
      <w:r>
        <w:rPr/>
        <w:tab/>
        <w:t>(b)</w:t>
        <w:tab/>
        <w:t xml:space="preserve">make the holds ... and all other parts of the ship in which goods are carried, fit </w:t>
        <w:tab/>
        <w:t>and safe for their reception, carriage, and preservation (section 3(1))</w:t>
      </w:r>
    </w:p>
    <w:p>
      <w:pPr>
        <w:pStyle w:val="Normal"/>
        <w:ind w:hanging="720" w:start="1440" w:end="0"/>
        <w:rPr/>
      </w:pPr>
      <w:r>
        <w:rPr/>
      </w:r>
    </w:p>
    <w:p>
      <w:pPr>
        <w:pStyle w:val="Normal"/>
        <w:rPr>
          <w:i/>
          <w:i/>
          <w:iCs/>
        </w:rPr>
      </w:pPr>
      <w:r>
        <w:rPr>
          <w:i/>
          <w:iCs/>
        </w:rPr>
        <w:tab/>
        <w:t>Cargo Care</w:t>
      </w:r>
    </w:p>
    <w:p>
      <w:pPr>
        <w:pStyle w:val="Normal"/>
        <w:rPr>
          <w:i/>
          <w:i/>
          <w:iCs/>
        </w:rPr>
      </w:pPr>
      <w:r>
        <w:rPr>
          <w:i/>
          <w:iCs/>
        </w:rPr>
      </w:r>
    </w:p>
    <w:p>
      <w:pPr>
        <w:pStyle w:val="Normal"/>
        <w:ind w:hanging="720" w:start="1440" w:end="0"/>
        <w:rPr/>
      </w:pPr>
      <w:r>
        <w:rPr/>
        <w:t>(ii)</w:t>
        <w:tab/>
        <w:t>properly and carefully to load, handle, stow, carry, keep, care for, and discharge the goods carried (section 3 (2))</w:t>
      </w:r>
    </w:p>
    <w:p>
      <w:pPr>
        <w:pStyle w:val="Normal"/>
        <w:rPr/>
      </w:pPr>
      <w:r>
        <w:rPr/>
      </w:r>
    </w:p>
    <w:p>
      <w:pPr>
        <w:pStyle w:val="Normal"/>
        <w:ind w:hanging="720" w:start="720" w:end="0"/>
        <w:rPr/>
      </w:pPr>
      <w:r>
        <w:rPr/>
        <w:t>6.</w:t>
        <w:tab/>
        <w:t>These are the owners’ fundamental or ‘bare minimum’ obligations in relation to which section 3(8) provides:</w:t>
      </w:r>
    </w:p>
    <w:p>
      <w:pPr>
        <w:pStyle w:val="Normal"/>
        <w:rPr/>
      </w:pPr>
      <w:r>
        <w:rPr/>
      </w:r>
    </w:p>
    <w:p>
      <w:pPr>
        <w:pStyle w:val="Normal"/>
        <w:ind w:hanging="720" w:start="720" w:end="0"/>
        <w:rPr/>
      </w:pPr>
      <w:r>
        <w:rPr/>
        <w:tab/>
        <w:t>“Any clause , covenant, or agreement in a contract of carriage relieving the carrier or the ship from liability for loss or damage to or in connection with the goods, arising from negligence, fault, or failure in the duties and obligations provided in this section, or lessening such liability otherwise than as provided in this chapter, shall be null and void and of no effect ...”</w:t>
      </w:r>
    </w:p>
    <w:p>
      <w:pPr>
        <w:pStyle w:val="Normal"/>
        <w:rPr/>
      </w:pPr>
      <w:r>
        <w:rPr/>
      </w:r>
    </w:p>
    <w:p>
      <w:pPr>
        <w:pStyle w:val="Normal"/>
        <w:rPr/>
      </w:pPr>
      <w:r>
        <w:rPr/>
        <w:t>7.</w:t>
        <w:tab/>
        <w:t>Given that US COGSA applies by virtue of the parties’ agreement rather than by force of law, it may be argued that section 3(8) does not operate as an absolute bar on the ‘dilution’ of owners’ minimum duties.  This is relevant in the context of charterparty special provision 2 and Enron clause 9.</w:t>
      </w:r>
    </w:p>
    <w:p>
      <w:pPr>
        <w:pStyle w:val="Normal"/>
        <w:rPr/>
      </w:pPr>
      <w:r>
        <w:rPr/>
        <w:t>However, as explained in paragraph 11 below, I do not believe such an argument would carry much weight with a robust London QC arbitrator (see further below, paragraph 23).</w:t>
      </w:r>
    </w:p>
    <w:p>
      <w:pPr>
        <w:pStyle w:val="Normal"/>
        <w:rPr/>
      </w:pPr>
      <w:r>
        <w:rPr/>
      </w:r>
    </w:p>
    <w:p>
      <w:pPr>
        <w:pStyle w:val="Normal"/>
        <w:rPr/>
      </w:pPr>
      <w:r>
        <w:rPr/>
        <w:t>8.</w:t>
        <w:tab/>
        <w:t>In the light of further documents and information provided, it is now clear that Enron clause 9 is limited to the following:</w:t>
      </w:r>
    </w:p>
    <w:p>
      <w:pPr>
        <w:pStyle w:val="Normal"/>
        <w:rPr/>
      </w:pPr>
      <w:r>
        <w:rPr/>
      </w:r>
    </w:p>
    <w:p>
      <w:pPr>
        <w:pStyle w:val="Normal"/>
        <w:rPr/>
      </w:pPr>
      <w:r>
        <w:rPr/>
        <w:tab/>
        <w:t>“Cleaning</w:t>
      </w:r>
    </w:p>
    <w:p>
      <w:pPr>
        <w:pStyle w:val="Normal"/>
        <w:rPr/>
      </w:pPr>
      <w:r>
        <w:rPr/>
      </w:r>
    </w:p>
    <w:p>
      <w:pPr>
        <w:pStyle w:val="Normal"/>
        <w:ind w:hanging="720" w:start="720" w:end="0"/>
        <w:rPr/>
      </w:pPr>
      <w:r>
        <w:rPr/>
        <w:tab/>
        <w:t>At the time of tendering notice of readiness, Vessel’s lines, tanks and pumps shall be in all ways suitable for loading the cargo to the Charterers’ surveyor’s satisfaction.  If Vessel is not found suitably clean, she will be cleaned at Owners’ expense to the satisfaction of said surveyor ... Owners are to notify Charterers and cargo surveyors prior to loading, if washing was performed, and to specify the type of washing and its duration.”</w:t>
      </w:r>
    </w:p>
    <w:p>
      <w:pPr>
        <w:pStyle w:val="Normal"/>
        <w:rPr/>
      </w:pPr>
      <w:r>
        <w:rPr/>
      </w:r>
    </w:p>
    <w:p>
      <w:pPr>
        <w:pStyle w:val="Normal"/>
        <w:rPr/>
      </w:pPr>
      <w:r>
        <w:rPr/>
        <w:t>9.</w:t>
        <w:tab/>
        <w:t>Further, special provision 2 of the fixture recap provides:</w:t>
      </w:r>
    </w:p>
    <w:p>
      <w:pPr>
        <w:pStyle w:val="Normal"/>
        <w:rPr/>
      </w:pPr>
      <w:r>
        <w:rPr/>
      </w:r>
    </w:p>
    <w:p>
      <w:pPr>
        <w:pStyle w:val="Normal"/>
        <w:ind w:hanging="720" w:start="720" w:end="0"/>
        <w:rPr/>
      </w:pPr>
      <w:r>
        <w:rPr/>
        <w:tab/>
        <w:t>“IF REQESTED BY CHARTERERS, OWNERS AGREE TO PERFORM TANK CLEANING SUBJECT TO ALL TIME AND EXPENSES INCLUDING DE-SLOPPING  FOR CHARTERERS ACCOUNT”</w:t>
      </w:r>
    </w:p>
    <w:p>
      <w:pPr>
        <w:pStyle w:val="Normal"/>
        <w:rPr/>
      </w:pPr>
      <w:r>
        <w:rPr/>
      </w:r>
    </w:p>
    <w:p>
      <w:pPr>
        <w:pStyle w:val="Normal"/>
        <w:rPr/>
      </w:pPr>
      <w:r>
        <w:rPr/>
        <w:t>10.</w:t>
        <w:tab/>
        <w:t xml:space="preserve">It seems clear that the intention of Enron clause 9 and special provision 2 is to give charterers </w:t>
      </w:r>
      <w:r>
        <w:rPr>
          <w:u w:val="single"/>
        </w:rPr>
        <w:t>special</w:t>
      </w:r>
      <w:r>
        <w:rPr/>
        <w:t xml:space="preserve"> rights to cleaning, at their option.  The object is for charterers to secure for themselves, if they so choose, cargo protection over and above that secured by their </w:t>
      </w:r>
      <w:r>
        <w:rPr>
          <w:u w:val="single"/>
        </w:rPr>
        <w:t>basic</w:t>
      </w:r>
      <w:r>
        <w:rPr/>
        <w:t xml:space="preserve"> rights under US COGSA.  These basic rights should, of course, apply whether or not any special rights were originally contracted for or, indeed, exercised.</w:t>
      </w:r>
    </w:p>
    <w:p>
      <w:pPr>
        <w:pStyle w:val="Normal"/>
        <w:rPr/>
      </w:pPr>
      <w:r>
        <w:rPr/>
      </w:r>
    </w:p>
    <w:p>
      <w:pPr>
        <w:pStyle w:val="Normal"/>
        <w:rPr/>
      </w:pPr>
      <w:r>
        <w:rPr/>
        <w:t>11.</w:t>
        <w:tab/>
        <w:t>Mitsubishi have said that Enron failed to exercise its right to require owners to perform tank cleaning, therefore, owners cannot be held liable.  While I recognise that this lies at the heart of owners’ case and, no doubt, will be vigorously pursued, I do not accept their analysis.</w:t>
      </w:r>
    </w:p>
    <w:p>
      <w:pPr>
        <w:pStyle w:val="Normal"/>
        <w:rPr/>
      </w:pPr>
      <w:r>
        <w:rPr/>
      </w:r>
    </w:p>
    <w:p>
      <w:pPr>
        <w:pStyle w:val="Normal"/>
        <w:ind w:hanging="720" w:start="1440" w:end="0"/>
        <w:rPr/>
      </w:pPr>
      <w:r>
        <w:rPr/>
        <w:t>(i)</w:t>
        <w:tab/>
        <w:t>Simply as a matter of construction of the contract, reference to a party’s special rights (which the party concerned is under no obligation to exercise) cannot be held in diminution of that party’s basic rights.  In this case, Enron’s basic rights require Mitsubishi to exercise due diligence to make the ship seaworthy/cargoworthy, as well as to make the holds fit and safe for the reception, carriage and preservation of cargo.  They further require owners properly and carefully to load, handle, carry, keep and care for the cargo.  It makes both legal and commercial nonsense to suggest that, by choosing to rely upon their basic rights (alone - without the benefit of optional/expensive additional protection), Enron is denied any protection at all under those very rights!  Can it seriously be argued that, on the facts, charterers were required to pay a large amount of additional cash to the owners to secure those optional special rights, otherwise their basic rights were forfeit?  The effect of owners’ argument is to nullify completely their general seaworthiness/cargo care obligations!</w:t>
      </w:r>
    </w:p>
    <w:p>
      <w:pPr>
        <w:pStyle w:val="Normal"/>
        <w:ind w:start="720" w:end="0"/>
        <w:rPr/>
      </w:pPr>
      <w:r>
        <w:rPr/>
      </w:r>
    </w:p>
    <w:p>
      <w:pPr>
        <w:pStyle w:val="Normal"/>
        <w:ind w:hanging="720" w:start="1440" w:end="0"/>
        <w:rPr/>
      </w:pPr>
      <w:r>
        <w:rPr/>
        <w:t>(ii)</w:t>
        <w:tab/>
        <w:t>Such reasoning also make nonsense of US COGSA, section 3(8) - the purpose of which is to preserve these basic rights and liabilities, indeed, to hold them paramount.  While not having to the force of law, this is an important contractual provision which must be given due weight by an arbitrator in construing the contract.  In my view, a robust English lawyer would hold this term fatal to the owners’ interpretation of the contract as regards special provision 2 and clause 9.</w:t>
      </w:r>
    </w:p>
    <w:p>
      <w:pPr>
        <w:pStyle w:val="Normal"/>
        <w:ind w:start="720" w:end="0"/>
        <w:rPr/>
      </w:pPr>
      <w:r>
        <w:rPr/>
      </w:r>
    </w:p>
    <w:p>
      <w:pPr>
        <w:pStyle w:val="Normal"/>
        <w:ind w:hanging="720" w:start="1440" w:end="0"/>
        <w:rPr/>
      </w:pPr>
      <w:r>
        <w:rPr/>
        <w:t>(iii)</w:t>
        <w:tab/>
        <w:t>It would be a very strange result indeed if owners were able to avoid taking care of the cargo simply because charterers had not (in effect) told (and paid them a large premium) to do so!</w:t>
      </w:r>
    </w:p>
    <w:p>
      <w:pPr>
        <w:pStyle w:val="Normal"/>
        <w:ind w:start="720" w:end="0"/>
        <w:rPr/>
      </w:pPr>
      <w:r>
        <w:rPr/>
      </w:r>
    </w:p>
    <w:p>
      <w:pPr>
        <w:pStyle w:val="Normal"/>
        <w:rPr/>
      </w:pPr>
      <w:r>
        <w:rPr/>
        <w:t>12.</w:t>
        <w:tab/>
        <w:t>Whether Mitsubishi would be able to rely upon any of the US COGSA defences would obviously depend on the evidence.  The most likely arguments are set out and considered briefly below.</w:t>
      </w:r>
    </w:p>
    <w:p>
      <w:pPr>
        <w:pStyle w:val="Normal"/>
        <w:rPr/>
      </w:pPr>
      <w:r>
        <w:rPr/>
      </w:r>
    </w:p>
    <w:p>
      <w:pPr>
        <w:pStyle w:val="Normal"/>
        <w:rPr/>
      </w:pPr>
      <w:r>
        <w:rPr/>
        <w:t>13.</w:t>
        <w:tab/>
      </w:r>
      <w:r>
        <w:rPr>
          <w:i/>
          <w:iCs/>
        </w:rPr>
        <w:t>Due Diligence</w:t>
      </w:r>
    </w:p>
    <w:p>
      <w:pPr>
        <w:pStyle w:val="Normal"/>
        <w:rPr>
          <w:i/>
          <w:i/>
          <w:iCs/>
        </w:rPr>
      </w:pPr>
      <w:r>
        <w:rPr>
          <w:i/>
          <w:iCs/>
        </w:rPr>
      </w:r>
    </w:p>
    <w:p>
      <w:pPr>
        <w:pStyle w:val="Normal"/>
        <w:rPr/>
      </w:pPr>
      <w:r>
        <w:rPr/>
        <w:t>Section 4(1) provides:</w:t>
      </w:r>
    </w:p>
    <w:p>
      <w:pPr>
        <w:pStyle w:val="Normal"/>
        <w:rPr/>
      </w:pPr>
      <w:r>
        <w:rPr/>
      </w:r>
    </w:p>
    <w:p>
      <w:pPr>
        <w:pStyle w:val="Normal"/>
        <w:ind w:hanging="720" w:start="720" w:end="0"/>
        <w:rPr/>
      </w:pPr>
      <w:r>
        <w:rPr/>
        <w:tab/>
        <w:t>“Neither the carrier nor the ship shall be liable for loss or damage arising or resulting from unseaworthiness unless caused by want of due diligence on the part of the carrier to make the ship seaworthy, and to secure that the ship is properly manned, equipped, and supplied, and to make the holds, refrigerating and cool chambers, and all other parts of the ship in which goods are carried fit and safe for their reception, carriage, and preservation in accordance with the provisions of ... [US COGSA, section 3(1)].  Whenever loss or damage has resulted from unseaworthiness, the burden of proving the exercise of due diligence shall be on the carrier or other persons claiming exemption under this section.”</w:t>
      </w:r>
    </w:p>
    <w:p>
      <w:pPr>
        <w:pStyle w:val="Normal"/>
        <w:rPr/>
      </w:pPr>
      <w:r>
        <w:rPr/>
      </w:r>
    </w:p>
    <w:p>
      <w:pPr>
        <w:pStyle w:val="Normal"/>
        <w:rPr/>
      </w:pPr>
      <w:r>
        <w:rPr/>
        <w:t>If, on the facts, we can prove that there was an accumulation of excessive sediments in the ship’s cargo tanks which caused the condensate to be contaminated (and Captain Sawant/Pacmarine’s expert evidence is strongly suggestive of this), then unseaworthiness/uncargoworthiness can be established.</w:t>
      </w:r>
    </w:p>
    <w:p>
      <w:pPr>
        <w:pStyle w:val="Normal"/>
        <w:rPr/>
      </w:pPr>
      <w:r>
        <w:rPr/>
      </w:r>
    </w:p>
    <w:p>
      <w:pPr>
        <w:pStyle w:val="Normal"/>
        <w:rPr/>
      </w:pPr>
      <w:r>
        <w:rPr/>
        <w:t>That being so, the burden of proof shifts to the owners to show that they exercised due diligence.  Due diligence is a question of fact which will be determined largely on the basis of expert evidence (as well, hopefully, as common sense).  See paragraphs 17 to 19 below.</w:t>
      </w:r>
    </w:p>
    <w:p>
      <w:pPr>
        <w:pStyle w:val="Normal"/>
        <w:rPr/>
      </w:pPr>
      <w:r>
        <w:rPr/>
      </w:r>
    </w:p>
    <w:p>
      <w:pPr>
        <w:pStyle w:val="Normal"/>
        <w:rPr/>
      </w:pPr>
      <w:r>
        <w:rPr/>
        <w:t>14.</w:t>
      </w:r>
      <w:r>
        <w:rPr>
          <w:i/>
          <w:iCs/>
        </w:rPr>
        <w:tab/>
        <w:t>Section 4(2) defences</w:t>
      </w:r>
    </w:p>
    <w:p>
      <w:pPr>
        <w:pStyle w:val="Normal"/>
        <w:rPr>
          <w:i/>
          <w:i/>
          <w:iCs/>
        </w:rPr>
      </w:pPr>
      <w:r>
        <w:rPr>
          <w:i/>
          <w:iCs/>
        </w:rPr>
      </w:r>
    </w:p>
    <w:p>
      <w:pPr>
        <w:pStyle w:val="Normal"/>
        <w:rPr/>
      </w:pPr>
      <w:r>
        <w:rPr/>
        <w:t>Further or alternatively, if and only if owners can prove due diligence, they may seek to rely on these ‘excepted perils’.  In considering whether the breach complained of was caused by an excepted peril, the immediate, the direct, or dominant cause, and not the remote cause is looked at.</w:t>
      </w:r>
    </w:p>
    <w:p>
      <w:pPr>
        <w:pStyle w:val="Normal"/>
        <w:rPr/>
      </w:pPr>
      <w:r>
        <w:rPr/>
      </w:r>
    </w:p>
    <w:p>
      <w:pPr>
        <w:pStyle w:val="Normal"/>
        <w:rPr/>
      </w:pPr>
      <w:r>
        <w:rPr/>
        <w:t xml:space="preserve">Further, bear in mind that owners’ defences to a cargo claim, being exclusion clauses, are subject to the </w:t>
      </w:r>
      <w:r>
        <w:rPr>
          <w:i/>
          <w:iCs/>
        </w:rPr>
        <w:t>contra proferentum</w:t>
      </w:r>
      <w:r>
        <w:rPr/>
        <w:t xml:space="preserve"> rule; also, it is for the owners to prove that any of the excepted perils applies.</w:t>
      </w:r>
    </w:p>
    <w:p>
      <w:pPr>
        <w:pStyle w:val="Normal"/>
        <w:rPr/>
      </w:pPr>
      <w:r>
        <w:rPr/>
      </w:r>
    </w:p>
    <w:p>
      <w:pPr>
        <w:pStyle w:val="Normal"/>
        <w:rPr/>
      </w:pPr>
      <w:r>
        <w:rPr/>
        <w:t>15.a</w:t>
        <w:tab/>
      </w:r>
      <w:r>
        <w:rPr>
          <w:i/>
          <w:iCs/>
        </w:rPr>
        <w:t>Negligent management of ship</w:t>
      </w:r>
    </w:p>
    <w:p>
      <w:pPr>
        <w:pStyle w:val="Normal"/>
        <w:rPr>
          <w:i/>
          <w:i/>
          <w:iCs/>
        </w:rPr>
      </w:pPr>
      <w:r>
        <w:rPr>
          <w:i/>
          <w:iCs/>
        </w:rPr>
      </w:r>
    </w:p>
    <w:p>
      <w:pPr>
        <w:pStyle w:val="Normal"/>
        <w:rPr/>
      </w:pPr>
      <w:r>
        <w:rPr/>
        <w:t>Section 4(2)(a) exempts owners from liability for any:</w:t>
      </w:r>
    </w:p>
    <w:p>
      <w:pPr>
        <w:pStyle w:val="Normal"/>
        <w:rPr/>
      </w:pPr>
      <w:r>
        <w:rPr/>
      </w:r>
    </w:p>
    <w:p>
      <w:pPr>
        <w:pStyle w:val="Normal"/>
        <w:ind w:hanging="720" w:start="720" w:end="0"/>
        <w:rPr/>
      </w:pPr>
      <w:r>
        <w:rPr/>
        <w:tab/>
        <w:t>“Act, neglect, or default of the master, mariner, pilot, or the servants of the carrier in the navigation or in the management of the ship.”</w:t>
      </w:r>
    </w:p>
    <w:p>
      <w:pPr>
        <w:pStyle w:val="Normal"/>
        <w:rPr/>
      </w:pPr>
      <w:r>
        <w:rPr/>
      </w:r>
    </w:p>
    <w:p>
      <w:pPr>
        <w:pStyle w:val="Normal"/>
        <w:rPr/>
      </w:pPr>
      <w:r>
        <w:rPr/>
        <w:t xml:space="preserve">English law tends to construe this exception strongly against the shipowner.  Moreover, the exclusion operates only in respect of error in management of the </w:t>
      </w:r>
      <w:r>
        <w:rPr>
          <w:u w:val="single"/>
        </w:rPr>
        <w:t>ship,</w:t>
      </w:r>
      <w:r>
        <w:rPr/>
        <w:t xml:space="preserve"> as opposed to </w:t>
      </w:r>
      <w:r>
        <w:rPr>
          <w:u w:val="single"/>
        </w:rPr>
        <w:t>cargo</w:t>
      </w:r>
      <w:r>
        <w:rPr/>
        <w:t>.  Thus, if owners neglect to manage (e.g. clean) their cargo holds to the level necessary to avoid cargo contamination,  this defence is likely to fail.  First, because due diligence is unlikely to have been exercised in such a situation.  Secondly, because owners’ failure in this regard is primarily directed towards the cargo rather than the ship.  The ship itself is likely to remain safe if it has dirty holds; not so the cargo.</w:t>
      </w:r>
    </w:p>
    <w:p>
      <w:pPr>
        <w:pStyle w:val="Normal"/>
        <w:rPr/>
      </w:pPr>
      <w:r>
        <w:rPr/>
      </w:r>
    </w:p>
    <w:p>
      <w:pPr>
        <w:pStyle w:val="Normal"/>
        <w:rPr/>
      </w:pPr>
      <w:r>
        <w:rPr/>
        <w:t>I think it unlikely that this defence would succeed, assuming our evidence holds up.</w:t>
      </w:r>
    </w:p>
    <w:p>
      <w:pPr>
        <w:pStyle w:val="Normal"/>
        <w:rPr/>
      </w:pPr>
      <w:r>
        <w:rPr/>
      </w:r>
    </w:p>
    <w:p>
      <w:pPr>
        <w:pStyle w:val="Normal"/>
        <w:rPr/>
      </w:pPr>
      <w:r>
        <w:rPr/>
        <w:t xml:space="preserve">  </w:t>
      </w:r>
      <w:r>
        <w:rPr/>
        <w:t>b.</w:t>
        <w:tab/>
      </w:r>
      <w:r>
        <w:rPr>
          <w:i/>
          <w:iCs/>
        </w:rPr>
        <w:t>Act or omission of the shipper or owner of the goods, his agent or representative</w:t>
      </w:r>
      <w:r>
        <w:rPr/>
        <w:t xml:space="preserve"> (section 4(2)(i))</w:t>
      </w:r>
    </w:p>
    <w:p>
      <w:pPr>
        <w:pStyle w:val="Normal"/>
        <w:rPr/>
      </w:pPr>
      <w:r>
        <w:rPr/>
      </w:r>
    </w:p>
    <w:p>
      <w:pPr>
        <w:pStyle w:val="Normal"/>
        <w:rPr/>
      </w:pPr>
      <w:r>
        <w:rPr/>
        <w:t>I have seen no evidence which would tend to support such a defence.</w:t>
      </w:r>
    </w:p>
    <w:p>
      <w:pPr>
        <w:pStyle w:val="Normal"/>
        <w:rPr/>
      </w:pPr>
      <w:r>
        <w:rPr/>
      </w:r>
    </w:p>
    <w:p>
      <w:pPr>
        <w:pStyle w:val="Normal"/>
        <w:rPr/>
      </w:pPr>
      <w:r>
        <w:rPr/>
        <w:t xml:space="preserve">  </w:t>
      </w:r>
      <w:r>
        <w:rPr/>
        <w:t>c.</w:t>
        <w:tab/>
      </w:r>
      <w:r>
        <w:rPr>
          <w:i/>
          <w:iCs/>
        </w:rPr>
        <w:t>Inherent defect, quality, or vice of the goods</w:t>
      </w:r>
      <w:r>
        <w:rPr/>
        <w:t xml:space="preserve"> (section 4(2)(m))</w:t>
      </w:r>
    </w:p>
    <w:p>
      <w:pPr>
        <w:pStyle w:val="Normal"/>
        <w:rPr/>
      </w:pPr>
      <w:r>
        <w:rPr/>
      </w:r>
    </w:p>
    <w:p>
      <w:pPr>
        <w:pStyle w:val="Normal"/>
        <w:rPr/>
      </w:pPr>
      <w:r>
        <w:rPr/>
        <w:t>Means unfitness of the goods to withstand the ordinary incidents of the voyage, given the degree of care which owners are required by the contract to exercise in relation to the goods.</w:t>
      </w:r>
    </w:p>
    <w:p>
      <w:pPr>
        <w:pStyle w:val="Normal"/>
        <w:rPr/>
      </w:pPr>
      <w:r>
        <w:rPr/>
      </w:r>
    </w:p>
    <w:p>
      <w:pPr>
        <w:pStyle w:val="Normal"/>
        <w:rPr/>
      </w:pPr>
      <w:r>
        <w:rPr/>
        <w:t>Again, no evidence so far, but a chemist would be required to help us refute any such suggestion.</w:t>
      </w:r>
    </w:p>
    <w:p>
      <w:pPr>
        <w:pStyle w:val="Normal"/>
        <w:rPr/>
      </w:pPr>
      <w:r>
        <w:rPr/>
      </w:r>
    </w:p>
    <w:p>
      <w:pPr>
        <w:pStyle w:val="Normal"/>
        <w:rPr/>
      </w:pPr>
      <w:r>
        <w:rPr/>
        <w:t xml:space="preserve">  </w:t>
      </w:r>
      <w:r>
        <w:rPr/>
        <w:t>d.</w:t>
        <w:tab/>
      </w:r>
      <w:r>
        <w:rPr>
          <w:i/>
          <w:iCs/>
        </w:rPr>
        <w:t>Latent defects not discoverable by due diligence</w:t>
      </w:r>
      <w:r>
        <w:rPr/>
        <w:t xml:space="preserve"> (section 4(2)(p))</w:t>
      </w:r>
    </w:p>
    <w:p>
      <w:pPr>
        <w:pStyle w:val="Normal"/>
        <w:rPr/>
      </w:pPr>
      <w:r>
        <w:rPr/>
      </w:r>
    </w:p>
    <w:p>
      <w:pPr>
        <w:pStyle w:val="Normal"/>
        <w:rPr/>
      </w:pPr>
      <w:r>
        <w:rPr/>
        <w:t xml:space="preserve">As a corollary to section 4(2)(m), this defence relates to defects in the </w:t>
      </w:r>
      <w:r>
        <w:rPr>
          <w:u w:val="single"/>
        </w:rPr>
        <w:t>ship</w:t>
      </w:r>
      <w:r>
        <w:rPr/>
        <w:t xml:space="preserve"> rather than the </w:t>
      </w:r>
      <w:r>
        <w:rPr>
          <w:u w:val="single"/>
        </w:rPr>
        <w:t>cargo</w:t>
      </w:r>
      <w:r>
        <w:rPr/>
        <w:t>.  Requires proof of a defect which a competent person, examining according to the current standards prevalent in the trade could not reasonably be expected to discover.  No evidence at present.  Requires ship operations expert advice, however.</w:t>
      </w:r>
    </w:p>
    <w:p>
      <w:pPr>
        <w:pStyle w:val="Normal"/>
        <w:rPr/>
      </w:pPr>
      <w:r>
        <w:rPr/>
      </w:r>
    </w:p>
    <w:p>
      <w:pPr>
        <w:pStyle w:val="Normal"/>
        <w:rPr/>
      </w:pPr>
      <w:r>
        <w:rPr/>
        <w:t xml:space="preserve">  </w:t>
      </w:r>
      <w:r>
        <w:rPr/>
        <w:t>e.</w:t>
        <w:tab/>
      </w:r>
      <w:r>
        <w:rPr>
          <w:i/>
          <w:iCs/>
        </w:rPr>
        <w:t xml:space="preserve">Any other cause arising without the actual fault or privity of the carrier and without the fault or neglect of the agents or servants of the carrier, but the burden of proof shall be on the person claiming the benefit of this exception to show that neither the actual fault or privity of the carrier nor the fault or neglect of the agents or servants of the carrier contributed to the loss or damage </w:t>
      </w:r>
      <w:r>
        <w:rPr/>
        <w:t>(section 4(2)(q)</w:t>
      </w:r>
    </w:p>
    <w:p>
      <w:pPr>
        <w:pStyle w:val="Normal"/>
        <w:rPr/>
      </w:pPr>
      <w:r>
        <w:rPr/>
      </w:r>
    </w:p>
    <w:p>
      <w:pPr>
        <w:pStyle w:val="Normal"/>
        <w:rPr/>
      </w:pPr>
      <w:r>
        <w:rPr/>
        <w:t>Unlikely to succeed.  Drafted in the widest terms, it is interpreted in the strictest.  Owners required to disprove both negligence and privity.  Proving such negatives is always problematic; all the more so if cargo is contaminated by dirty holds which could quite easily have been cleaned.</w:t>
      </w:r>
    </w:p>
    <w:p>
      <w:pPr>
        <w:pStyle w:val="Normal"/>
        <w:rPr/>
      </w:pPr>
      <w:r>
        <w:rPr/>
      </w:r>
    </w:p>
    <w:p>
      <w:pPr>
        <w:pStyle w:val="Normal"/>
        <w:rPr/>
      </w:pPr>
      <w:r>
        <w:rPr/>
        <w:t>16.</w:t>
        <w:tab/>
        <w:t>In summary, while expert advice must urgently be canvassed, Mitsubishi is likely to face an uphill struggle in establishing any of these defences.</w:t>
      </w:r>
    </w:p>
    <w:p>
      <w:pPr>
        <w:pStyle w:val="Normal"/>
        <w:rPr/>
      </w:pPr>
      <w:r>
        <w:rPr/>
      </w:r>
    </w:p>
    <w:p>
      <w:pPr>
        <w:pStyle w:val="Normal"/>
        <w:jc w:val="center"/>
        <w:rPr>
          <w:b/>
          <w:bCs/>
          <w:sz w:val="28"/>
          <w:szCs w:val="28"/>
          <w:u w:val="single"/>
        </w:rPr>
      </w:pPr>
      <w:r>
        <w:rPr>
          <w:b/>
          <w:bCs/>
          <w:sz w:val="28"/>
          <w:szCs w:val="28"/>
          <w:u w:val="single"/>
        </w:rPr>
        <w:t>Evidence</w:t>
      </w:r>
    </w:p>
    <w:p>
      <w:pPr>
        <w:pStyle w:val="Normal"/>
        <w:jc w:val="center"/>
        <w:rPr>
          <w:b/>
          <w:bCs/>
          <w:sz w:val="28"/>
          <w:szCs w:val="28"/>
          <w:u w:val="single"/>
        </w:rPr>
      </w:pPr>
      <w:r>
        <w:rPr>
          <w:b/>
          <w:bCs/>
          <w:sz w:val="28"/>
          <w:szCs w:val="28"/>
          <w:u w:val="single"/>
        </w:rPr>
      </w:r>
    </w:p>
    <w:p>
      <w:pPr>
        <w:pStyle w:val="Normal"/>
        <w:rPr>
          <w:b/>
          <w:bCs/>
          <w:sz w:val="28"/>
          <w:szCs w:val="28"/>
        </w:rPr>
      </w:pPr>
      <w:r>
        <w:rPr>
          <w:b/>
          <w:bCs/>
          <w:sz w:val="28"/>
          <w:szCs w:val="28"/>
        </w:rPr>
      </w:r>
    </w:p>
    <w:p>
      <w:pPr>
        <w:pStyle w:val="Normal"/>
        <w:rPr/>
      </w:pPr>
      <w:r>
        <w:rPr/>
        <w:t>17.</w:t>
        <w:tab/>
        <w:t>Turning briefly to the evidence (such as it is), I have carefully reviewed all the documents you have provided to date, as well as the preliminary/draft PacMarine reports dated 7 and 20 July 2000.  I also interviewed Captain Sawant at your office yesterday morning, and I have since sought amplification of his advice pursuant to a request sent out today along the lines we discussed (copy instructions attached).  Meanwhile, I await your instructions regarding my suggestion that we appoint  Captain Gregory and Dr. Mullen, as well as all relevant cargo sample analysis results.</w:t>
      </w:r>
    </w:p>
    <w:p>
      <w:pPr>
        <w:pStyle w:val="Normal"/>
        <w:rPr/>
      </w:pPr>
      <w:r>
        <w:rPr/>
      </w:r>
    </w:p>
    <w:p>
      <w:pPr>
        <w:pStyle w:val="Normal"/>
        <w:rPr/>
      </w:pPr>
      <w:r>
        <w:rPr/>
        <w:t>18.</w:t>
        <w:tab/>
        <w:t xml:space="preserve">Based on the documents and information received to date, I remain of the view that Enron has a good </w:t>
      </w:r>
      <w:r>
        <w:rPr>
          <w:i/>
          <w:iCs/>
        </w:rPr>
        <w:t>prima facie</w:t>
      </w:r>
      <w:r>
        <w:rPr/>
        <w:t xml:space="preserve"> case and that Mitsubishi has a serious case to answer.  Not least, because the filterable dirt found in the cargo at Batangas was significantly greater than that identified on loading.  Owners have, of course, made the point that the cargo being carried was dirty crude/condensate. While the cargo may well have been ‘dirty’ on loading, since clearly it was many times dirtier upon discharge, owners should be required to explain why and how.</w:t>
      </w:r>
    </w:p>
    <w:p>
      <w:pPr>
        <w:pStyle w:val="Normal"/>
        <w:rPr/>
      </w:pPr>
      <w:r>
        <w:rPr/>
      </w:r>
    </w:p>
    <w:p>
      <w:pPr>
        <w:pStyle w:val="Normal"/>
        <w:rPr/>
      </w:pPr>
      <w:r>
        <w:rPr/>
        <w:t>19.</w:t>
        <w:tab/>
        <w:t>That said, I would highlight the following.</w:t>
      </w:r>
    </w:p>
    <w:p>
      <w:pPr>
        <w:pStyle w:val="Normal"/>
        <w:rPr/>
      </w:pPr>
      <w:r>
        <w:rPr/>
      </w:r>
    </w:p>
    <w:p>
      <w:pPr>
        <w:pStyle w:val="Normal"/>
        <w:ind w:hanging="720" w:start="1440" w:end="0"/>
        <w:rPr/>
      </w:pPr>
      <w:r>
        <w:rPr/>
        <w:t>(i)</w:t>
        <w:tab/>
        <w:t>A consultant scientist’s opinion is needed to help explain the strange variations in cargo sample specs:</w:t>
      </w:r>
    </w:p>
    <w:p>
      <w:pPr>
        <w:pStyle w:val="Normal"/>
        <w:rPr/>
      </w:pPr>
      <w:r>
        <w:rPr/>
      </w:r>
    </w:p>
    <w:p>
      <w:pPr>
        <w:pStyle w:val="Normal"/>
        <w:numPr>
          <w:ilvl w:val="0"/>
          <w:numId w:val="3"/>
        </w:numPr>
        <w:tabs>
          <w:tab w:val="clear" w:pos="720"/>
          <w:tab w:val="left" w:pos="0" w:leader="none"/>
        </w:tabs>
        <w:ind w:hanging="720" w:start="2160" w:end="0"/>
        <w:rPr/>
      </w:pPr>
      <w:r>
        <w:rPr/>
        <w:t>pre-loading (on to vessel from FPSO)</w:t>
      </w:r>
    </w:p>
    <w:p>
      <w:pPr>
        <w:pStyle w:val="Normal"/>
        <w:numPr>
          <w:ilvl w:val="0"/>
          <w:numId w:val="3"/>
        </w:numPr>
        <w:tabs>
          <w:tab w:val="clear" w:pos="720"/>
          <w:tab w:val="left" w:pos="0" w:leader="none"/>
        </w:tabs>
        <w:ind w:hanging="720" w:start="2160" w:end="0"/>
        <w:rPr/>
      </w:pPr>
      <w:r>
        <w:rPr/>
        <w:t>post-loading (on to vessel)</w:t>
      </w:r>
    </w:p>
    <w:p>
      <w:pPr>
        <w:pStyle w:val="Normal"/>
        <w:numPr>
          <w:ilvl w:val="0"/>
          <w:numId w:val="3"/>
        </w:numPr>
        <w:tabs>
          <w:tab w:val="clear" w:pos="720"/>
          <w:tab w:val="left" w:pos="0" w:leader="none"/>
        </w:tabs>
        <w:ind w:hanging="720" w:start="2160" w:end="0"/>
        <w:rPr/>
      </w:pPr>
      <w:r>
        <w:rPr/>
        <w:t>post-discharge (Thailand)</w:t>
      </w:r>
    </w:p>
    <w:p>
      <w:pPr>
        <w:pStyle w:val="Normal"/>
        <w:numPr>
          <w:ilvl w:val="0"/>
          <w:numId w:val="3"/>
        </w:numPr>
        <w:tabs>
          <w:tab w:val="clear" w:pos="720"/>
          <w:tab w:val="left" w:pos="0" w:leader="none"/>
        </w:tabs>
        <w:ind w:hanging="720" w:start="2160" w:end="0"/>
        <w:rPr/>
      </w:pPr>
      <w:r>
        <w:rPr/>
        <w:t>pre-discharge (Philippines)</w:t>
      </w:r>
    </w:p>
    <w:p>
      <w:pPr>
        <w:pStyle w:val="Normal"/>
        <w:numPr>
          <w:ilvl w:val="0"/>
          <w:numId w:val="3"/>
        </w:numPr>
        <w:tabs>
          <w:tab w:val="clear" w:pos="720"/>
          <w:tab w:val="left" w:pos="0" w:leader="none"/>
        </w:tabs>
        <w:ind w:hanging="360" w:start="2160" w:end="0"/>
        <w:rPr/>
      </w:pPr>
      <w:r>
        <w:rPr/>
        <w:t>pre-discharge (Korea)</w:t>
      </w:r>
    </w:p>
    <w:p>
      <w:pPr>
        <w:pStyle w:val="Normal"/>
        <w:rPr/>
      </w:pPr>
      <w:r>
        <w:rPr/>
      </w:r>
    </w:p>
    <w:p>
      <w:pPr>
        <w:pStyle w:val="Normal"/>
        <w:ind w:start="1440" w:end="0"/>
        <w:rPr/>
      </w:pPr>
      <w:r>
        <w:rPr/>
        <w:t>I note that you are in process of preparing a comprehensive bundle of sample/quality/analysis documents.  This should assist as we prepare to instruct our expert witness on the scientific questions shortly.  It will also supplement your helpful summary of issues dated 12 July 2000, as well as the matters I raised with Captain Sawant at our meeting yesterday and summarised in the attached note.</w:t>
      </w:r>
    </w:p>
    <w:p>
      <w:pPr>
        <w:pStyle w:val="Normal"/>
        <w:rPr/>
      </w:pPr>
      <w:r>
        <w:rPr/>
      </w:r>
    </w:p>
    <w:p>
      <w:pPr>
        <w:pStyle w:val="Normal"/>
        <w:ind w:hanging="720" w:start="1440" w:end="0"/>
        <w:rPr/>
      </w:pPr>
      <w:r>
        <w:rPr/>
        <w:t>(ii)</w:t>
        <w:tab/>
        <w:t>From our discussions with Captain Sawant, it appears that tank cleaning should, as a matter of basic due diligence, have been carried out - that is, if the tanks were to be fit to carry the subject cargo.  Residues of the previous 3 cargoes (cossack crude, dulang crude and xijiang crude) would certainly have caused contamination, as would sea water.  To be sure of avoiding such contamination, therefore, fresh water in quantity would have been required in any event.  Given time and money, fresh water could have been obtained and a thorough  cleaning of the tanks carried out.  Query - whose time/cost?  If necessary to make the holds cargoworthy - that would be owners’ liability.  If not strictly necessary, but a good ‘belt and braces’ precaution - Enron had that covered in their special clauses, and the time and cost would be for charterers’ account.</w:t>
      </w:r>
    </w:p>
    <w:p>
      <w:pPr>
        <w:pStyle w:val="Normal"/>
        <w:rPr/>
      </w:pPr>
      <w:r>
        <w:rPr/>
      </w:r>
    </w:p>
    <w:p>
      <w:pPr>
        <w:pStyle w:val="Normal"/>
        <w:rPr/>
      </w:pPr>
      <w:r>
        <w:rPr/>
      </w:r>
    </w:p>
    <w:p>
      <w:pPr>
        <w:pStyle w:val="Normal"/>
        <w:jc w:val="center"/>
        <w:rPr>
          <w:b/>
          <w:bCs/>
          <w:sz w:val="28"/>
          <w:szCs w:val="28"/>
        </w:rPr>
      </w:pPr>
      <w:r>
        <w:rPr>
          <w:b/>
          <w:bCs/>
          <w:sz w:val="28"/>
          <w:szCs w:val="28"/>
        </w:rPr>
        <w:t>Recommendations</w:t>
      </w:r>
    </w:p>
    <w:p>
      <w:pPr>
        <w:pStyle w:val="Normal"/>
        <w:jc w:val="center"/>
        <w:rPr>
          <w:b/>
          <w:bCs/>
          <w:sz w:val="28"/>
          <w:szCs w:val="28"/>
        </w:rPr>
      </w:pPr>
      <w:r>
        <w:rPr>
          <w:b/>
          <w:bCs/>
          <w:sz w:val="28"/>
          <w:szCs w:val="28"/>
        </w:rPr>
      </w:r>
    </w:p>
    <w:p>
      <w:pPr>
        <w:pStyle w:val="Normal"/>
        <w:rPr/>
      </w:pPr>
      <w:r>
        <w:rPr/>
        <w:t>As we continue to investigate and prepare Enron’s case, I suggest the following lines of action.</w:t>
      </w:r>
    </w:p>
    <w:p>
      <w:pPr>
        <w:pStyle w:val="Normal"/>
        <w:rPr/>
      </w:pPr>
      <w:r>
        <w:rPr/>
      </w:r>
    </w:p>
    <w:p>
      <w:pPr>
        <w:pStyle w:val="Normal"/>
        <w:rPr/>
      </w:pPr>
      <w:r>
        <w:rPr/>
        <w:t>20.</w:t>
        <w:tab/>
        <w:t>Take a tough stance with owners.  Enron’s evidence appears good; Mitsubishi’s defences, weak.  If the situation alters as evidence is gathered, a firm hand from the start may have strengthened our negotiating position.  This approach should include the following.</w:t>
      </w:r>
    </w:p>
    <w:p>
      <w:pPr>
        <w:pStyle w:val="Normal"/>
        <w:rPr/>
      </w:pPr>
      <w:r>
        <w:rPr/>
      </w:r>
    </w:p>
    <w:p>
      <w:pPr>
        <w:pStyle w:val="Normal"/>
        <w:rPr/>
      </w:pPr>
      <w:r>
        <w:rPr/>
        <w:t>21.</w:t>
        <w:tab/>
        <w:t xml:space="preserve">Withhold payment of </w:t>
      </w:r>
      <w:r>
        <w:rPr>
          <w:b/>
          <w:bCs/>
        </w:rPr>
        <w:t>freight</w:t>
      </w:r>
      <w:r>
        <w:rPr/>
        <w:t xml:space="preserve"> being claimed by Mitsubishi for the on-carriage to Korea (</w:t>
      </w:r>
      <w:r>
        <w:rPr>
          <w:b/>
          <w:bCs/>
        </w:rPr>
        <w:t>USD501,000</w:t>
      </w:r>
      <w:r>
        <w:rPr/>
        <w:t>, approx) on the basis that, representing (in fact) damages for breach of contract by owners themselves, their claim under this head should fail for circuity of action.</w:t>
      </w:r>
    </w:p>
    <w:p>
      <w:pPr>
        <w:pStyle w:val="Normal"/>
        <w:rPr/>
      </w:pPr>
      <w:r>
        <w:rPr/>
      </w:r>
    </w:p>
    <w:p>
      <w:pPr>
        <w:pStyle w:val="Normal"/>
        <w:rPr/>
      </w:pPr>
      <w:r>
        <w:rPr/>
        <w:t>22.</w:t>
        <w:tab/>
        <w:t xml:space="preserve">Refuse payment of owners’ </w:t>
      </w:r>
      <w:r>
        <w:rPr>
          <w:b/>
          <w:bCs/>
        </w:rPr>
        <w:t>demurrage</w:t>
      </w:r>
      <w:r>
        <w:rPr/>
        <w:t xml:space="preserve"> claim (</w:t>
      </w:r>
      <w:r>
        <w:rPr>
          <w:b/>
          <w:bCs/>
        </w:rPr>
        <w:t>USD250,000</w:t>
      </w:r>
      <w:r>
        <w:rPr/>
        <w:t>, approx).  If owners’ liability for breach of the contract of carriage can be established, Enron will be entitled to resist Mitsubishi’s claim for demurrage in so far as such demurrage arose due to owners’ breach/vessel’s fault.</w:t>
      </w:r>
    </w:p>
    <w:p>
      <w:pPr>
        <w:pStyle w:val="Normal"/>
        <w:rPr/>
      </w:pPr>
      <w:r>
        <w:rPr/>
      </w:r>
    </w:p>
    <w:p>
      <w:pPr>
        <w:pStyle w:val="Normal"/>
        <w:rPr/>
      </w:pPr>
      <w:r>
        <w:rPr/>
        <w:t>23.</w:t>
        <w:tab/>
        <w:t>Quantify and demand from owners the loss you have suffered as a result of their contamination of your cargo (</w:t>
      </w:r>
      <w:r>
        <w:rPr>
          <w:b/>
          <w:bCs/>
        </w:rPr>
        <w:t xml:space="preserve">USD289,000, </w:t>
      </w:r>
      <w:r>
        <w:rPr/>
        <w:t>approx?). This may either be accompanied by or, indeed, preceeded by a request to the owners that they agree a sole arbitrator in London.  Given the nature of the dispute, I believe it would be in Enron’s best interests to appoint a Queen’s Counsel as arbitrator.  See paragraphs 2 and 11 above.</w:t>
      </w:r>
    </w:p>
    <w:p>
      <w:pPr>
        <w:pStyle w:val="Normal"/>
        <w:rPr/>
      </w:pPr>
      <w:r>
        <w:rPr/>
        <w:t xml:space="preserve">  </w:t>
      </w:r>
      <w:r>
        <w:rPr/>
        <w:br/>
      </w:r>
    </w:p>
    <w:p>
      <w:pPr>
        <w:pStyle w:val="Normal"/>
        <w:rPr/>
      </w:pPr>
      <w:r>
        <w:rPr/>
        <w:t>Meanwhile, I trust the above is helpful.  Feel free to call me over the weekend if you wish to discuss further.  My home number is 242 1143; mobile 9816 2654.</w:t>
      </w:r>
    </w:p>
    <w:p>
      <w:pPr>
        <w:pStyle w:val="Normal"/>
        <w:rPr/>
      </w:pPr>
      <w:r>
        <w:rPr/>
      </w:r>
    </w:p>
    <w:p>
      <w:pPr>
        <w:pStyle w:val="Normal"/>
        <w:rPr/>
      </w:pPr>
      <w:r>
        <w:rPr/>
        <w:t>Best regards</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b/>
          <w:bCs/>
        </w:rPr>
      </w:pPr>
      <w:r>
        <w:rPr>
          <w:b/>
          <w:bCs/>
        </w:rPr>
        <w:t>Neale Gregson</w:t>
      </w:r>
    </w:p>
    <w:p>
      <w:pPr>
        <w:pStyle w:val="Normal"/>
        <w:rPr>
          <w:b/>
          <w:bCs/>
        </w:rPr>
      </w:pPr>
      <w:r>
        <w:rPr>
          <w:b/>
          <w:bCs/>
        </w:rPr>
      </w:r>
    </w:p>
    <w:p>
      <w:pPr>
        <w:pStyle w:val="Normal"/>
        <w:jc w:val="center"/>
        <w:rPr>
          <w:sz w:val="28"/>
          <w:szCs w:val="28"/>
        </w:rPr>
      </w:pPr>
      <w:r>
        <w:rPr>
          <w:sz w:val="28"/>
          <w:szCs w:val="28"/>
        </w:rPr>
      </w:r>
    </w:p>
    <w:sectPr>
      <w:headerReference w:type="default" r:id="rId2"/>
      <w:headerReference w:type="first" r:id="rId3"/>
      <w:footerReference w:type="default" r:id="rId4"/>
      <w:footerReference w:type="first" r:id="rId5"/>
      <w:type w:val="nextPage"/>
      <w:pgSz w:w="11906" w:h="16838"/>
      <w:pgMar w:left="1440" w:right="929" w:gutter="0" w:header="720" w:top="1008" w:footer="432" w:bottom="1008"/>
      <w:pgNumType w:start="1"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Arial">
    <w:charset w:val="01"/>
    <w:family w:val="swiss"/>
    <w:pitch w:val="variable"/>
  </w:font>
  <w:font w:name="Liberation Sans">
    <w:altName w:val="Arial"/>
    <w:charset w:val="01" w:characterSet="utf-8"/>
    <w:family w:val="swiss"/>
    <w:pitch w:val="variable"/>
  </w:font>
  <w:font w:name="Wingdings">
    <w:altName w:val="Symbol"/>
    <w:charset w:val="02"/>
    <w:family w:val="auto"/>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b/>
        <w:bCs/>
      </w:rPr>
    </w:pPr>
    <w:r>
      <w:rPr>
        <w:b/>
        <w:bCs/>
      </w:rPr>
      <w:t>WATSON, FARLEY &amp; WILLIAMS</w:t>
    </w:r>
  </w:p>
  <w:p>
    <w:pPr>
      <w:pStyle w:val="Footer"/>
      <w:jc w:val="end"/>
      <w:rPr>
        <w:sz w:val="18"/>
        <w:szCs w:val="18"/>
      </w:rPr>
    </w:pPr>
    <w:r>
      <w:rPr>
        <w:sz w:val="18"/>
        <w:szCs w:val="18"/>
      </w:rPr>
      <w:fldChar w:fldCharType="begin"/>
    </w:r>
    <w:r>
      <w:rPr>
        <w:sz w:val="18"/>
        <w:szCs w:val="18"/>
      </w:rPr>
      <w:instrText xml:space="preserve"> DOCPROPERTY "WFWProfile"</w:instrText>
    </w:r>
    <w:r>
      <w:rPr>
        <w:sz w:val="18"/>
        <w:szCs w:val="18"/>
      </w:rPr>
      <w:fldChar w:fldCharType="separate"/>
    </w:r>
    <w:r>
      <w:rPr>
        <w:sz w:val="18"/>
        <w:szCs w:val="18"/>
      </w:rPr>
      <w:t>18028707 v1</w:t>
    </w:r>
    <w:r>
      <w:rPr>
        <w:sz w:val="18"/>
        <w:szCs w:val="18"/>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szCs w:val="18"/>
      </w:rPr>
    </w:pPr>
    <w:r>
      <w:rPr>
        <w:sz w:val="18"/>
        <w:szCs w:val="18"/>
      </w:rPr>
    </w:r>
  </w:p>
  <w:p>
    <w:pPr>
      <w:pStyle w:val="Footer"/>
      <w:rPr>
        <w:sz w:val="18"/>
        <w:szCs w:val="18"/>
      </w:rPr>
    </w:pPr>
    <w:r>
      <w:rPr>
        <w:sz w:val="18"/>
        <w:szCs w:val="18"/>
      </w:rPr>
    </w:r>
  </w:p>
  <w:p>
    <w:pPr>
      <w:pStyle w:val="Footer"/>
      <w:pBdr>
        <w:top w:val="single" w:sz="6" w:space="1" w:color="000000"/>
      </w:pBdr>
      <w:rPr/>
    </w:pPr>
    <w:r>
      <w:rPr>
        <w:sz w:val="18"/>
        <w:szCs w:val="18"/>
      </w:rPr>
      <w:t>London</w:t>
    </w:r>
    <w:r>
      <w:rPr>
        <w:rFonts w:eastAsia="Symbol" w:cs="Symbol" w:ascii="Symbol" w:hAnsi="Symbol"/>
        <w:sz w:val="18"/>
        <w:szCs w:val="18"/>
      </w:rPr>
      <w:sym w:font="Symbol" w:char="b7"/>
    </w:r>
    <w:r>
      <w:rPr>
        <w:sz w:val="18"/>
        <w:szCs w:val="18"/>
      </w:rPr>
      <w:t xml:space="preserve">ATHENS </w:t>
    </w:r>
    <w:r>
      <w:rPr>
        <w:rFonts w:eastAsia="Symbol" w:cs="Symbol" w:ascii="Symbol" w:hAnsi="Symbol"/>
        <w:sz w:val="18"/>
        <w:szCs w:val="18"/>
      </w:rPr>
      <w:sym w:font="Symbol" w:char="b7"/>
    </w:r>
    <w:r>
      <w:rPr>
        <w:sz w:val="18"/>
        <w:szCs w:val="18"/>
      </w:rPr>
      <w:t xml:space="preserve"> PARIS </w:t>
    </w:r>
    <w:r>
      <w:rPr>
        <w:rFonts w:eastAsia="Symbol" w:cs="Symbol" w:ascii="Symbol" w:hAnsi="Symbol"/>
        <w:sz w:val="18"/>
        <w:szCs w:val="18"/>
      </w:rPr>
      <w:sym w:font="Symbol" w:char="b7"/>
    </w:r>
    <w:r>
      <w:rPr>
        <w:sz w:val="18"/>
        <w:szCs w:val="18"/>
      </w:rPr>
      <w:t xml:space="preserve"> NEW YORK </w:t>
    </w:r>
    <w:r>
      <w:rPr>
        <w:rFonts w:eastAsia="Symbol" w:cs="Symbol" w:ascii="Symbol" w:hAnsi="Symbol"/>
        <w:sz w:val="18"/>
        <w:szCs w:val="18"/>
      </w:rPr>
      <w:sym w:font="Symbol" w:char="b7"/>
    </w:r>
    <w:r>
      <w:rPr>
        <w:sz w:val="18"/>
        <w:szCs w:val="18"/>
      </w:rPr>
      <w:t xml:space="preserve"> MOSCOW </w:t>
    </w:r>
    <w:r>
      <w:rPr>
        <w:rFonts w:eastAsia="Symbol" w:cs="Symbol" w:ascii="Symbol" w:hAnsi="Symbol"/>
        <w:sz w:val="18"/>
        <w:szCs w:val="18"/>
      </w:rPr>
      <w:sym w:font="Symbol" w:char="b7"/>
    </w:r>
    <w:r>
      <w:rPr>
        <w:sz w:val="18"/>
        <w:szCs w:val="18"/>
      </w:rPr>
      <w:t xml:space="preserve"> COPENHAGEN </w:t>
    </w:r>
    <w:r>
      <w:rPr>
        <w:rFonts w:eastAsia="Symbol" w:cs="Symbol" w:ascii="Symbol" w:hAnsi="Symbol"/>
        <w:sz w:val="18"/>
        <w:szCs w:val="18"/>
      </w:rPr>
      <w:sym w:font="Symbol" w:char="b7"/>
    </w:r>
    <w:r>
      <w:rPr>
        <w:sz w:val="18"/>
        <w:szCs w:val="18"/>
      </w:rPr>
      <w:t xml:space="preserve"> SINGAPORE</w:t>
    </w:r>
  </w:p>
  <w:p>
    <w:pPr>
      <w:pStyle w:val="Footer"/>
      <w:rPr>
        <w:caps w:val="false"/>
        <w:smallCaps w:val="false"/>
        <w:sz w:val="16"/>
        <w:szCs w:val="16"/>
      </w:rPr>
    </w:pPr>
    <w:r>
      <w:rPr>
        <w:caps w:val="false"/>
        <w:smallCaps w:val="false"/>
        <w:sz w:val="16"/>
        <w:szCs w:val="16"/>
      </w:rPr>
      <w:t>Website: http://www.wfw.com</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153" w:leader="none"/>
        <w:tab w:val="right" w:pos="8306" w:leader="none"/>
        <w:tab w:val="center" w:pos="9540" w:leader="none"/>
      </w:tabs>
      <w:spacing w:before="0" w:after="480"/>
      <w:ind w:end="187"/>
      <w:jc w:val="end"/>
      <w:rPr/>
    </w:pPr>
    <w:r>
      <w:rPr/>
      <w:t>Page</w:t>
    </w:r>
    <w:r>
      <mc:AlternateContent>
        <mc:Choice Requires="wps">
          <w:drawing>
            <wp:anchor behindDoc="0" distT="0" distB="0" distL="0" distR="0" simplePos="0" locked="0" layoutInCell="0" allowOverlap="1" relativeHeight="6">
              <wp:simplePos x="0" y="0"/>
              <wp:positionH relativeFrom="margin">
                <wp:align>right</wp:align>
              </wp:positionH>
              <wp:positionV relativeFrom="paragraph">
                <wp:posOffset>635</wp:posOffset>
              </wp:positionV>
              <wp:extent cx="73660" cy="167640"/>
              <wp:effectExtent l="0" t="0" r="0" b="0"/>
              <wp:wrapSquare wrapText="bothSides"/>
              <wp:docPr id="1" name="Frame2"/>
              <a:graphic xmlns:a="http://schemas.openxmlformats.org/drawingml/2006/main">
                <a:graphicData uri="http://schemas.microsoft.com/office/word/2010/wordprocessingShape">
                  <wps:wsp>
                    <wps:cNvSpPr txBox="1"/>
                    <wps:spPr>
                      <a:xfrm>
                        <a:off x="0" y="0"/>
                        <a:ext cx="73660" cy="167640"/>
                      </a:xfrm>
                      <a:prstGeom prst="rect"/>
                      <a:solidFill>
                        <a:srgbClr val="FFFFFF">
                          <a:alpha val="0"/>
                        </a:srgbClr>
                      </a:solidFill>
                    </wps:spPr>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8pt;height:13.2pt;mso-wrap-distance-left:0pt;mso-wrap-distance-right:0pt;mso-wrap-distance-top:0pt;mso-wrap-distance-bottom:0pt;margin-top:0.05pt;mso-position-vertical-relative:text;margin-left:471.05pt;mso-position-horizontal:right;mso-position-horizontal-relative:margin">
              <v:fill opacity="0f"/>
              <v:textbox inset="0in,0in,0in,0in">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0"/>
        </w:tabs>
        <w:ind w:start="0" w:hanging="0"/>
      </w:pPr>
    </w:lvl>
    <w:lvl w:ilvl="1">
      <w:start w:val="1"/>
      <w:pStyle w:val="Heading2"/>
      <w:numFmt w:val="lowerLetter"/>
      <w:lvlText w:val="%2"/>
      <w:lvlJc w:val="start"/>
      <w:pPr>
        <w:tabs>
          <w:tab w:val="num" w:pos="720"/>
        </w:tabs>
        <w:ind w:start="720" w:hanging="720"/>
      </w:pPr>
    </w:lvl>
    <w:lvl w:ilvl="2">
      <w:start w:val="1"/>
      <w:pStyle w:val="Heading3"/>
      <w:numFmt w:val="lowerRoman"/>
      <w:lvlText w:val="%3"/>
      <w:lvlJc w:val="start"/>
      <w:pPr>
        <w:tabs>
          <w:tab w:val="num" w:pos="720"/>
        </w:tabs>
        <w:ind w:start="720" w:hanging="720"/>
      </w:pPr>
    </w:lvl>
    <w:lvl w:ilvl="3">
      <w:start w:val="1"/>
      <w:pStyle w:val="Heading4"/>
      <w:numFmt w:val="upperLetter"/>
      <w:lvlText w:val="%4"/>
      <w:lvlJc w:val="start"/>
      <w:pPr>
        <w:tabs>
          <w:tab w:val="num" w:pos="720"/>
        </w:tabs>
        <w:ind w:start="720" w:hanging="720"/>
      </w:pPr>
    </w:lvl>
    <w:lvl w:ilvl="4">
      <w:start w:val="1"/>
      <w:pStyle w:val="Heading5"/>
      <w:numFmt w:val="decimal"/>
      <w:lvlText w:val="%5"/>
      <w:lvlJc w:val="start"/>
      <w:pPr>
        <w:tabs>
          <w:tab w:val="num" w:pos="720"/>
        </w:tabs>
        <w:ind w:start="720" w:hanging="720"/>
      </w:pPr>
    </w:lvl>
    <w:lvl w:ilvl="5">
      <w:start w:val="1"/>
      <w:pStyle w:val="Heading6"/>
      <w:numFmt w:val="decimal"/>
      <w:lvlText w:val="%6"/>
      <w:lvlJc w:val="start"/>
      <w:pPr>
        <w:tabs>
          <w:tab w:val="num" w:pos="720"/>
        </w:tabs>
        <w:ind w:start="720" w:hanging="720"/>
      </w:pPr>
    </w:lvl>
    <w:lvl w:ilvl="6">
      <w:start w:val="1"/>
      <w:pStyle w:val="Heading7"/>
      <w:numFmt w:val="decimal"/>
      <w:suff w:val="nothing"/>
      <w:lvlText w:val="%1.%2.%3.%4.%5.%6.%7"/>
      <w:lvlJc w:val="start"/>
      <w:pPr>
        <w:tabs>
          <w:tab w:val="num" w:pos="0"/>
        </w:tabs>
        <w:ind w:start="0" w:hanging="0"/>
      </w:pPr>
    </w:lvl>
    <w:lvl w:ilvl="7">
      <w:start w:val="1"/>
      <w:pStyle w:val="Heading8"/>
      <w:numFmt w:val="decimal"/>
      <w:suff w:val="nothing"/>
      <w:lvlText w:val="%1.%2.%3.%4.%5.%6.%7.%8"/>
      <w:lvlJc w:val="start"/>
      <w:pPr>
        <w:tabs>
          <w:tab w:val="num" w:pos="0"/>
        </w:tabs>
        <w:ind w:start="0" w:hanging="0"/>
      </w:pPr>
    </w:lvl>
    <w:lvl w:ilvl="8">
      <w:start w:val="1"/>
      <w:pStyle w:val="Heading9"/>
      <w:numFmt w:val="decimal"/>
      <w:suff w:val="nothing"/>
      <w:lvlText w:val="%1.%2.%3.%4.%5.%6.%7.%8.%9"/>
      <w:lvlJc w:val="start"/>
      <w:pPr>
        <w:tabs>
          <w:tab w:val="num" w:pos="0"/>
        </w:tabs>
        <w:ind w:start="0" w:hanging="0"/>
      </w:pPr>
    </w:lvl>
  </w:abstractNum>
  <w:abstractNum w:abstractNumId="2">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3"/>
      <w:szCs w:val="23"/>
      <w:lang w:val="en-US" w:eastAsia="zh-CN" w:bidi="hi-IN"/>
    </w:rPr>
  </w:style>
  <w:style w:type="paragraph" w:styleId="Heading1">
    <w:name w:val="heading 1"/>
    <w:basedOn w:val="Normal"/>
    <w:next w:val="BodyText"/>
    <w:qFormat/>
    <w:pPr>
      <w:numPr>
        <w:ilvl w:val="0"/>
        <w:numId w:val="1"/>
      </w:numPr>
      <w:spacing w:before="0" w:after="240"/>
      <w:outlineLvl w:val="0"/>
    </w:pPr>
    <w:rPr>
      <w:kern w:val="2"/>
    </w:rPr>
  </w:style>
  <w:style w:type="paragraph" w:styleId="Heading2">
    <w:name w:val="heading 2"/>
    <w:basedOn w:val="Normal"/>
    <w:next w:val="BodyText"/>
    <w:qFormat/>
    <w:pPr>
      <w:numPr>
        <w:ilvl w:val="1"/>
        <w:numId w:val="1"/>
      </w:numPr>
      <w:tabs>
        <w:tab w:val="clear" w:pos="720"/>
      </w:tabs>
      <w:spacing w:before="0" w:after="240"/>
      <w:ind w:hanging="720" w:start="2160" w:end="0"/>
      <w:outlineLvl w:val="1"/>
    </w:pPr>
    <w:rPr/>
  </w:style>
  <w:style w:type="paragraph" w:styleId="Heading3">
    <w:name w:val="heading 3"/>
    <w:basedOn w:val="Normal"/>
    <w:next w:val="BodyText"/>
    <w:qFormat/>
    <w:pPr>
      <w:numPr>
        <w:ilvl w:val="2"/>
        <w:numId w:val="1"/>
      </w:numPr>
      <w:tabs>
        <w:tab w:val="clear" w:pos="720"/>
      </w:tabs>
      <w:spacing w:before="0" w:after="240"/>
      <w:ind w:hanging="720" w:start="2880" w:end="0"/>
      <w:outlineLvl w:val="2"/>
    </w:pPr>
    <w:rPr/>
  </w:style>
  <w:style w:type="paragraph" w:styleId="Heading4">
    <w:name w:val="heading 4"/>
    <w:basedOn w:val="Normal"/>
    <w:next w:val="BodyText"/>
    <w:qFormat/>
    <w:pPr>
      <w:numPr>
        <w:ilvl w:val="3"/>
        <w:numId w:val="1"/>
      </w:numPr>
      <w:tabs>
        <w:tab w:val="clear" w:pos="720"/>
      </w:tabs>
      <w:spacing w:before="0" w:after="240"/>
      <w:ind w:hanging="720" w:start="3600" w:end="0"/>
      <w:outlineLvl w:val="3"/>
    </w:pPr>
    <w:rPr/>
  </w:style>
  <w:style w:type="paragraph" w:styleId="Heading5">
    <w:name w:val="heading 5"/>
    <w:basedOn w:val="Normal"/>
    <w:next w:val="BodyText"/>
    <w:qFormat/>
    <w:pPr>
      <w:numPr>
        <w:ilvl w:val="4"/>
        <w:numId w:val="1"/>
      </w:numPr>
      <w:tabs>
        <w:tab w:val="clear" w:pos="720"/>
      </w:tabs>
      <w:spacing w:before="0" w:after="240"/>
      <w:ind w:hanging="720" w:start="4320" w:end="0"/>
      <w:outlineLvl w:val="4"/>
    </w:pPr>
    <w:rPr/>
  </w:style>
  <w:style w:type="paragraph" w:styleId="Heading6">
    <w:name w:val="heading 6"/>
    <w:basedOn w:val="Normal"/>
    <w:next w:val="BodyText"/>
    <w:qFormat/>
    <w:pPr>
      <w:numPr>
        <w:ilvl w:val="5"/>
        <w:numId w:val="1"/>
      </w:numPr>
      <w:tabs>
        <w:tab w:val="clear" w:pos="720"/>
      </w:tabs>
      <w:spacing w:before="0" w:after="240"/>
      <w:ind w:hanging="720" w:start="5040" w:end="0"/>
      <w:outlineLvl w:val="5"/>
    </w:pPr>
    <w:rPr/>
  </w:style>
  <w:style w:type="paragraph" w:styleId="Heading7">
    <w:name w:val="heading 7"/>
    <w:basedOn w:val="Normal"/>
    <w:next w:val="Normal"/>
    <w:qFormat/>
    <w:pPr>
      <w:numPr>
        <w:ilvl w:val="6"/>
        <w:numId w:val="1"/>
      </w:numPr>
      <w:spacing w:before="240" w:after="60"/>
      <w:ind w:hanging="0" w:start="4320" w:end="0"/>
      <w:outlineLvl w:val="6"/>
    </w:pPr>
    <w:rPr>
      <w:rFonts w:ascii="Arial" w:hAnsi="Arial" w:eastAsia="Arial" w:cs="Arial"/>
      <w:sz w:val="20"/>
      <w:szCs w:val="20"/>
    </w:rPr>
  </w:style>
  <w:style w:type="paragraph" w:styleId="Heading8">
    <w:name w:val="heading 8"/>
    <w:basedOn w:val="Normal"/>
    <w:next w:val="Normal"/>
    <w:qFormat/>
    <w:pPr>
      <w:numPr>
        <w:ilvl w:val="7"/>
        <w:numId w:val="1"/>
      </w:numPr>
      <w:spacing w:before="240" w:after="60"/>
      <w:ind w:hanging="0" w:start="4320" w:end="0"/>
      <w:outlineLvl w:val="7"/>
    </w:pPr>
    <w:rPr>
      <w:rFonts w:ascii="Arial" w:hAnsi="Arial" w:eastAsia="Arial" w:cs="Arial"/>
      <w:i/>
      <w:iCs/>
      <w:sz w:val="20"/>
      <w:szCs w:val="20"/>
    </w:rPr>
  </w:style>
  <w:style w:type="paragraph" w:styleId="Heading9">
    <w:name w:val="heading 9"/>
    <w:basedOn w:val="Normal"/>
    <w:next w:val="Normal"/>
    <w:qFormat/>
    <w:pPr>
      <w:numPr>
        <w:ilvl w:val="8"/>
        <w:numId w:val="1"/>
      </w:numPr>
      <w:spacing w:before="240" w:after="60"/>
      <w:ind w:hanging="0" w:start="4320" w:end="0"/>
      <w:outlineLvl w:val="8"/>
    </w:pPr>
    <w:rPr>
      <w:rFonts w:ascii="Arial" w:hAnsi="Arial" w:eastAsia="Arial" w:cs="Arial"/>
      <w:b/>
      <w:bCs/>
      <w:i/>
      <w:iCs/>
      <w:sz w:val="18"/>
      <w:szCs w:val="18"/>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right" w:pos="8306" w:leader="none"/>
      </w:tabs>
    </w:pPr>
    <w:rPr>
      <w:caps/>
      <w:sz w:val="20"/>
      <w:szCs w:val="20"/>
    </w:rPr>
  </w:style>
  <w:style w:type="paragraph" w:styleId="Header">
    <w:name w:val="header"/>
    <w:basedOn w:val="Normal"/>
    <w:pPr>
      <w:tabs>
        <w:tab w:val="clear" w:pos="720"/>
        <w:tab w:val="center" w:pos="4153" w:leader="none"/>
        <w:tab w:val="right" w:pos="8306" w:leader="none"/>
      </w:tabs>
    </w:pPr>
    <w:rPr/>
  </w:style>
  <w:style w:type="paragraph" w:styleId="listno">
    <w:name w:val="listno"/>
    <w:basedOn w:val="Normal"/>
    <w:qFormat/>
    <w:pPr>
      <w:numPr>
        <w:ilvl w:val="0"/>
        <w:numId w:val="2"/>
      </w:numPr>
      <w:spacing w:before="0" w:after="240"/>
      <w:ind w:hanging="720" w:start="720" w:end="0"/>
    </w:pPr>
    <w:rPr/>
  </w:style>
  <w:style w:type="paragraph" w:styleId="MessageHeaderFirst">
    <w:name w:val="Message Header First"/>
    <w:basedOn w:val="Normal"/>
    <w:next w:val="Normal"/>
    <w:qFormat/>
    <w:pPr>
      <w:keepLines/>
      <w:tabs>
        <w:tab w:val="clear" w:pos="720"/>
        <w:tab w:val="left" w:pos="1560" w:leader="none"/>
      </w:tabs>
      <w:spacing w:lineRule="atLeast" w:line="415"/>
      <w:ind w:hanging="720" w:start="1560" w:end="-360"/>
      <w:jc w:val="start"/>
    </w:pPr>
    <w:rPr>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paragraph" w:styleId="HeaderLeft">
    <w:name w:val="Header Left"/>
    <w:basedOn w:val="Header"/>
    <w:qFormat/>
    <w:pPr>
      <w:suppressLineNumbers/>
      <w:tabs>
        <w:tab w:val="clear" w:pos="4153"/>
        <w:tab w:val="clear" w:pos="8306"/>
        <w:tab w:val="center" w:pos="4768" w:leader="none"/>
        <w:tab w:val="right" w:pos="9537" w:leader="none"/>
      </w:tabs>
    </w:pPr>
    <w:rPr/>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Fax.dot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2000-07-28T13:19:00Z</dcterms:created>
  <dc:creator>WFW</dc:creator>
  <dc:description/>
  <dc:language>en-CA</dc:language>
  <cp:lastModifiedBy>WFW</cp:lastModifiedBy>
  <cp:lastPrinted>2000-07-28T23:48:00Z</cp:lastPrinted>
  <dcterms:modified xsi:type="dcterms:W3CDTF">2000-07-28T13:19:00Z</dcterms:modified>
  <cp:revision>2</cp:revision>
  <dc:subject/>
  <dc:title>Fax to Enron Capital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FWProfile">
    <vt:lpwstr>18028707 v1</vt:lpwstr>
  </property>
</Properties>
</file>