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Heading4"/>
        <w:spacing w:lineRule="auto" w:line="480"/>
        <w:ind w:hanging="0" w:start="0"/>
        <w:rPr>
          <w:b w:val="false"/>
        </w:rPr>
      </w:pPr>
      <w:r>
        <w:rPr>
          <w:b w:val="false"/>
        </w:rPr>
      </w:r>
    </w:p>
    <w:p>
      <w:pPr>
        <w:pStyle w:val="Heading4"/>
        <w:spacing w:lineRule="auto" w:line="480"/>
        <w:ind w:hanging="0" w:start="0"/>
        <w:rPr/>
      </w:pPr>
      <w:r>
        <w:rPr/>
        <w:t>Case Study: Enron</w:t>
      </w:r>
    </w:p>
    <w:p>
      <w:pPr>
        <w:pStyle w:val="Heading4"/>
        <w:ind w:hanging="0" w:start="0"/>
        <w:rPr>
          <w:b w:val="false"/>
          <w:i/>
          <w:i/>
        </w:rPr>
      </w:pPr>
      <w:r>
        <w:rPr>
          <w:b w:val="false"/>
          <w:i/>
        </w:rPr>
        <w:t>Background</w:t>
      </w:r>
    </w:p>
    <w:p>
      <w:pPr>
        <w:pStyle w:val="Normal"/>
        <w:rPr>
          <w:b/>
          <w:i/>
          <w:i/>
        </w:rPr>
      </w:pPr>
      <w:r>
        <w:rPr>
          <w:b/>
          <w:i/>
        </w:rPr>
      </w:r>
    </w:p>
    <w:p>
      <w:pPr>
        <w:pStyle w:val="Normal"/>
        <w:spacing w:lineRule="auto" w:line="480"/>
        <w:ind w:firstLine="720" w:end="0"/>
        <w:rPr/>
      </w:pPr>
      <w:r>
        <w:rPr/>
        <w:t>Enron Corp. has grown into a global energy powerhouse from its beginnings in 1985 as the result of a merger between two natural gas companies, InterNorth and Houston Natural Gas.  The Houston-based company ranks 18</w:t>
      </w:r>
      <w:r>
        <w:rPr>
          <w:vertAlign w:val="superscript"/>
        </w:rPr>
        <w:t>th</w:t>
      </w:r>
      <w:r>
        <w:rPr/>
        <w:t xml:space="preserve"> among Fortune 500 firms</w:t>
      </w:r>
      <w:r>
        <w:rPr>
          <w:i/>
        </w:rPr>
        <w:t>,</w:t>
      </w:r>
      <w:r>
        <w:rPr/>
        <w:t xml:space="preserve"> with revenues of $40 billion in 1999.  It stands today as the largest buyer and seller of natural gas in the US, with a pipeline network spanning 32,000 miles across North America. This energy giant is also the top wholesale power marketer in the US, selling over 18,000 megawatt-hours per day.  Enron markets and trades electricity, natural gas, coal, and other energy commodities in North America, Australia, Europe, and Latin America.  Enron also engages in energy project financing, energy consulting, risk management services, and engineering and construction services for energy infrastructure worldwide.  </w:t>
      </w:r>
    </w:p>
    <w:p>
      <w:pPr>
        <w:pStyle w:val="Normal"/>
        <w:spacing w:lineRule="auto" w:line="480"/>
        <w:ind w:firstLine="720" w:end="0"/>
        <w:rPr/>
      </w:pPr>
      <w:r>
        <w:rPr/>
        <w:t xml:space="preserve">In addition to activities in the energy sector, Enron recently established interests in the water business through 69%-owned Azurix in the UK and in the communications industry through the building of a national fiber-optic, Internet protocol-based network.  More recently, Enron has even launched a B2B exchange for trading bandwidth, and has moved into weather derivatives with the launch of temperature-linked bonds. </w:t>
      </w:r>
    </w:p>
    <w:p>
      <w:pPr>
        <w:pStyle w:val="Normal"/>
        <w:spacing w:lineRule="auto" w:line="480"/>
        <w:ind w:firstLine="720" w:end="0"/>
        <w:rPr/>
      </w:pPr>
      <w:r>
        <w:rPr/>
        <w:t xml:space="preserve">As Enron has expanded its global capabilities and areas of business, it has increasingly realized the vital need to actively manage its risks by measuring, monitoring, and controlling exposures across all business units.  Enron makes between $8 billion and $10 billion of capital investments each year, and its massive dominance in commodity trading means it deals with around 8,000 counterparties. This number is expected to expand given the growth of its EnronOnline internet-based trading system that enables any counterparty with credit approval to trade online with Enron on products ranging from US power and North American natural gas to crude oil and refined petroleum products. Although it was only launched in October 1999, one observer already has noted that, “when EnronOnline goes down, the industry is running blind”.  </w:t>
      </w:r>
    </w:p>
    <w:p>
      <w:pPr>
        <w:pStyle w:val="Normal"/>
        <w:spacing w:lineRule="auto" w:line="480"/>
        <w:ind w:firstLine="720" w:end="0"/>
        <w:rPr/>
      </w:pPr>
      <w:r>
        <w:rPr/>
        <w:t>Enron’s approach to handling its massive and diverse risk exposures has been to institute a consistent, enterprise-wide risk management framework, aggregating and optimizing its overall risk portfolio so that resources can be allocated as efficiently as possible.</w:t>
      </w:r>
    </w:p>
    <w:p>
      <w:pPr>
        <w:pStyle w:val="Heading4"/>
        <w:spacing w:lineRule="auto" w:line="480"/>
        <w:ind w:hanging="0" w:start="0"/>
        <w:rPr>
          <w:b w:val="false"/>
          <w:i/>
          <w:i/>
        </w:rPr>
      </w:pPr>
      <w:r>
        <w:rPr>
          <w:b w:val="false"/>
          <w:i/>
        </w:rPr>
      </w:r>
    </w:p>
    <w:p>
      <w:pPr>
        <w:pStyle w:val="Heading4"/>
        <w:spacing w:lineRule="auto" w:line="480"/>
        <w:ind w:hanging="0" w:start="0"/>
        <w:rPr>
          <w:b w:val="false"/>
          <w:i/>
          <w:i/>
        </w:rPr>
      </w:pPr>
      <w:r>
        <w:rPr>
          <w:b w:val="false"/>
          <w:i/>
        </w:rPr>
        <w:t>Risk Management Organization</w:t>
      </w:r>
    </w:p>
    <w:p>
      <w:pPr>
        <w:pStyle w:val="Normal"/>
        <w:spacing w:lineRule="auto" w:line="480"/>
        <w:ind w:firstLine="720" w:end="0"/>
        <w:rPr/>
      </w:pPr>
      <w:r>
        <w:rPr/>
        <w:t xml:space="preserve">Rick Buy, Enron’s Chief Risk Officer, says Enron’s risk management organization is made up of three key groups: the Board of Directors, the Office of the Chairman (including senior line executives), and his Risk Assessment and Control (RAC) group.  Buy added that the separation of responsibilities among these groups is designed to ensure that “each of us keeps the others honest”. Broadly speaking, the Office of the Chairman aims to ensure that Enron meets its profitability and growth targets, the Board is charged with protecting shareholder interests and the overall corporation as a going concern, and the Chief Risk Officer strives to balance these two sets of objectives. </w:t>
      </w:r>
    </w:p>
    <w:p>
      <w:pPr>
        <w:pStyle w:val="Normal"/>
        <w:spacing w:lineRule="auto" w:line="480"/>
        <w:ind w:firstLine="720" w:end="0"/>
        <w:rPr/>
      </w:pPr>
      <w:r>
        <w:rPr/>
        <w:t xml:space="preserve">At the corporate level, key risk management and oversight responsibilities reside with the Board, a Risk Committee, and the RAC group, each with specific responsibilities.  These three parties work in close cooperation to ensure that risks are identified, monitored, and analyzed and that appropriate measures are taken to keep operations within acceptable limits. </w:t>
      </w:r>
    </w:p>
    <w:p>
      <w:pPr>
        <w:pStyle w:val="Normal"/>
        <w:spacing w:lineRule="auto" w:line="480"/>
        <w:ind w:firstLine="720" w:end="0"/>
        <w:rPr/>
      </w:pPr>
      <w:r>
        <w:rPr/>
        <w:t xml:space="preserve">The Board serves as the primary vehicle for establishing Enron’s overall risk appetite and for setting control policies and procedures. The Board is also responsible for setting risk policy and limits, monitoring and evaluating risk management activity, and ensuring that the operating management team possesses the requisite technical capabilities. Additionally, the Board wants to be assured that clear and consistent communication exists between the operating management team and  risk management personnel. The Risk Committee is made up of a cross-section of senior management at Enron and is responsible for formulating risk management policy and strategies. It is the responsibility of the Committee to promote risk management across the organization. The Risk Committee manages the issues and risks that compass the various business units.  </w:t>
      </w:r>
    </w:p>
    <w:p>
      <w:pPr>
        <w:pStyle w:val="Normal"/>
        <w:spacing w:lineRule="auto" w:line="480"/>
        <w:ind w:firstLine="720" w:end="0"/>
        <w:rPr/>
      </w:pPr>
      <w:r>
        <w:rPr/>
      </w:r>
    </w:p>
    <w:p>
      <w:pPr>
        <w:pStyle w:val="Normal"/>
        <w:spacing w:lineRule="auto" w:line="480"/>
        <w:ind w:firstLine="720" w:end="0"/>
        <w:rPr/>
      </w:pPr>
      <w:r>
        <w:rPr/>
        <w:t xml:space="preserve">The RAC group, headed by Buy, is made up of 140 risk professionals worldwide with an annual budget of $30 million.  The RAC group handles day-to-day issues relating to risk management and works through its five sub-divisions to assess and mitigate risks for Enron’s traded and capital transactions.  Each of the five subdivisions—covering market risk, credit risk, underwriting, transaction evaluation and portfolio management --has specific responsibilities. Chart 1 provides the organizational chart and brief description of each of these five divisions. The underwriting group, for example, is responsible for coordinating internal resources for risk assessment and mitigation, providing a consistent analytical approach to transaction evaluation, and evaluating capital allocation. The underwriting group also works with origination groups to ensure that only structurally sound and creditworthy transactions are approved at Enron.  The credit group handles credit risk issues by measuring and assessing counterparty credit exposure to mitigate commercial and financial credit risk, and manage Enron’s credit reserve methodology.  </w:t>
      </w:r>
    </w:p>
    <w:p>
      <w:pPr>
        <w:pStyle w:val="Normal"/>
        <w:spacing w:lineRule="auto" w:line="480"/>
        <w:rPr/>
      </w:pPr>
      <w:r>
        <w:rPr/>
      </w:r>
    </w:p>
    <w:p>
      <w:pPr>
        <w:pStyle w:val="Normal"/>
        <w:spacing w:lineRule="auto" w:line="480"/>
        <w:ind w:firstLine="720" w:end="0"/>
        <w:rPr/>
      </w:pPr>
      <w:r>
        <w:rPr/>
        <w:t xml:space="preserve">The RAC group was set up in 1997 under Buy, formerly Chief Credit Officer at Enron and an ex-Bankers Trust executive. The development of Enron’s current risk management infrastructure can be traced back to 1996 when the J-Block incident happened. In that year, Enron incurred over $500 million in losses from natural gas contracts in the UK North Sea, where it ended up with significant long unhedged positions. Buy says a root cause for this incident is that these contracts were not part of “trading book” (the accounts used to track Enron’s trading activities), and as a result they were not monitored by the company’s risk management systems.  In other words, the Board and senior management were not fully aware of the risk exposure created by these contracts. This hard-earned lesson was a major factor in increasing the profile and influence of the Risk Assessment and Controls group (SEE SIDEBAR, BELOW).  As a result of J-Block, there was a general level of discontent on the part of the Board and senior management with respect to the level of risk transparency within the company. Buy says the decision to fold credit risk management into a wider group was based on the idea that RAC could monitor risk exposures across the organization, and address data issues such as how risk information is disseminated and where information resides within the IT infrastructure. </w:t>
      </w:r>
    </w:p>
    <w:p>
      <w:pPr>
        <w:pStyle w:val="Normal"/>
        <w:spacing w:lineRule="auto" w:line="480"/>
        <w:ind w:firstLine="720" w:end="0"/>
        <w:rPr/>
      </w:pPr>
      <w:r>
        <w:rPr/>
      </w:r>
    </w:p>
    <w:p>
      <w:pPr>
        <w:pStyle w:val="Heading3"/>
        <w:spacing w:lineRule="auto" w:line="480" w:before="0" w:after="0"/>
        <w:ind w:hanging="0" w:start="0"/>
        <w:rPr/>
      </w:pPr>
      <w:r>
        <w:rPr/>
        <w:t>Defining Moments</w:t>
      </w:r>
    </w:p>
    <w:p>
      <w:pPr>
        <w:pStyle w:val="Normal"/>
        <w:spacing w:lineRule="auto" w:line="480"/>
        <w:ind w:firstLine="720" w:end="0"/>
        <w:rPr/>
      </w:pPr>
      <w:r>
        <w:rPr/>
        <w:t>Between 1997 and 1998, three key events contributed to the visibility, independence, and ultimately, the effectiveness of Enron’s CRO and the RAC group. First, Buy was asked to present summary risk information to the Board of Directors in every scheduled board meeting. This brought focus and attention to risk management issues at the highest level of the organization.  Second, Jeffrey Skilling, Enron’s President and Chief Operating Officer, began to attend Buy’s weekly risk management meetings to review Enron’s risk exposures. His attendance and personal involvement showed real commitment on the part of senior management to addressing risk issues. Third, the CRO function, which originally reported to the CFO, was reorganized to report directly to the CEO and the Board. This reorganization not only elevated the CRO function to the executive management level, but it also greatly increased the independence of risk function relative to line management.</w:t>
      </w:r>
    </w:p>
    <w:p>
      <w:pPr>
        <w:pStyle w:val="Normal"/>
        <w:spacing w:lineRule="auto" w:line="480"/>
        <w:ind w:firstLine="720" w:end="0"/>
        <w:rPr/>
      </w:pPr>
      <w:r>
        <w:rPr/>
      </w:r>
    </w:p>
    <w:p>
      <w:pPr>
        <w:pStyle w:val="Heading3"/>
        <w:spacing w:lineRule="auto" w:line="480" w:before="0" w:after="0"/>
        <w:ind w:hanging="0" w:start="0"/>
        <w:rPr/>
      </w:pPr>
      <w:r>
        <w:rPr/>
        <w:t>Risk Measurement Upgrades</w:t>
      </w:r>
    </w:p>
    <w:p>
      <w:pPr>
        <w:pStyle w:val="Normal"/>
        <w:spacing w:lineRule="auto" w:line="480"/>
        <w:rPr/>
      </w:pPr>
      <w:r>
        <w:rPr/>
        <w:tab/>
        <w:t>Over the past several years, Enron has greatly improved its analytical and informational tools. The RAC group uses qualitative as well as quantitative risk measures.  The corporation clearly defines the portfolio risk hierarchy and book architecture to successfully manage individual, portfolio, and enterprise risk.  The Value-at-Risk model has become the standard measure of risk across portfolios and businesses.  Furthermore, stress testing and scenario analysis have been implemented across trading portfolios, and unique scenarios are generated to assist in understanding the impact of non-normal market moves.  When a standard VaR approach does not adequately represent the risks of a certain business or transaction, Enron looks to other measures to get a more accurate risk picture, as its objective is always to provide information which adequately describes the financial risks of various businesses.</w:t>
      </w:r>
    </w:p>
    <w:p>
      <w:pPr>
        <w:pStyle w:val="Normal"/>
        <w:spacing w:lineRule="auto" w:line="480"/>
        <w:ind w:firstLine="720" w:end="0"/>
        <w:rPr/>
      </w:pPr>
      <w:r>
        <w:rPr/>
        <w:t xml:space="preserve">Buy does not agree with those who argue that risk management techniques developed by and for financial institutions are less applicable to the energy industry, but he says they must be applied in a way that is relevant to the kind of products and positions Enron gets involved in: “Math is math, wherever you do it,” says Buy. “But you do need appropriate front-end data collection tools to use methods developed on Wall Street. Our infrastructure is based on this idea.  We front-load all our information from trading books around the world into a single engine, but the quantitative techniques are similar to those used by Wall Street.” </w:t>
      </w:r>
    </w:p>
    <w:p>
      <w:pPr>
        <w:pStyle w:val="Normal"/>
        <w:spacing w:lineRule="auto" w:line="480"/>
        <w:rPr/>
      </w:pPr>
      <w:r>
        <w:rPr/>
        <w:tab/>
        <w:t>Limits on trading positions are approved by the Board of Directors and are applied to each portfolio.  Multiple limit thresholds are often applied simultaneously: volume limits, stop loss limits, spread limits, and VaR limits.  Trading positions are monitored routinely and a detailed analysis of exposure to extreme market volatility as well as an end-of-day non-compliance notification are required.</w:t>
      </w:r>
    </w:p>
    <w:p>
      <w:pPr>
        <w:pStyle w:val="Normal"/>
        <w:spacing w:lineRule="auto" w:line="480"/>
        <w:rPr/>
      </w:pPr>
      <w:r>
        <w:rPr/>
        <w:tab/>
        <w:t>“Information is key in this business.” says Buy, “At Enron senior management is not afraid to take risks.  But we want good information on the risks we take to make sure they are prudent.  We want to know what exposures we have, what is the upside and what is the downside.” Enron’s risk positions come through one of two “pipelines” – the trading book and the investment portfolio. Risk exposures from these pipelines are aggregated by the RAC group, and reported to the Board by Buy. “When I report to the Board on our trading portfolio,” he says, “I present information on positions, Value-at-Risk (VaR), P&amp;L, and return on VaR. On the investment portfolio, I present them with information on returns to date, the credit quality of the portfolio, and whether or not the portfolio is meeting expectations”.</w:t>
      </w:r>
    </w:p>
    <w:p>
      <w:pPr>
        <w:pStyle w:val="Normal"/>
        <w:spacing w:lineRule="auto" w:line="480"/>
        <w:rPr/>
      </w:pPr>
      <w:r>
        <w:rPr/>
      </w:r>
    </w:p>
    <w:p>
      <w:pPr>
        <w:pStyle w:val="Heading3"/>
        <w:spacing w:lineRule="auto" w:line="480" w:before="0" w:after="0"/>
        <w:ind w:hanging="0" w:start="0"/>
        <w:rPr/>
      </w:pPr>
      <w:r>
        <w:rPr/>
        <w:t>Risk Culture and Process</w:t>
      </w:r>
    </w:p>
    <w:p>
      <w:pPr>
        <w:pStyle w:val="Normal"/>
        <w:spacing w:lineRule="auto" w:line="480"/>
        <w:ind w:firstLine="720" w:end="0"/>
        <w:rPr/>
      </w:pPr>
      <w:r>
        <w:rPr/>
        <w:t>Beyond improvements in risk measurement and reporting, Enron has instituted a stronger risk culture and implemented more effective risk management processes.  This required a balance between effective risk management and efficient business decision processes.  “We didn’t want to create corporate bureaucracy,” Buy says, “so we worked on streamlining risk review processes to make sure deals get done.”</w:t>
      </w:r>
    </w:p>
    <w:p>
      <w:pPr>
        <w:pStyle w:val="Normal"/>
        <w:spacing w:lineRule="auto" w:line="480"/>
        <w:ind w:firstLine="720" w:end="0"/>
        <w:rPr/>
      </w:pPr>
      <w:r>
        <w:rPr/>
        <w:t>At present, only deals worth over $500,000 come to the RAC group for approval. Below that level, a business manager can approve individual transactions. On average, the RAC will see around 270 to 280 deals a year, and each one will go through a streamlined approval process which looks at issues such as sources of funds, return relative to risk, and other key factors (Chart 2 shows the “dashboard” approval sheet used by Enron).  Buy says his group is always mindful of the need to get deals done as quickly as possible, and tries to avoid delaying approval unless necessary. On relatively small, plain vanilla transactions it is sometimes possible to get approval on the same day, while more highly structured deals can take around two weeks. Deals over $75 million in value requires Board approval. For these large transactions, the approval process has been reduced to a one-page flow chart (see Chart 3). Buy pointed out that these processes have actually improved Enron’s efficiency in transactional review and approval because business managers clearly understand the processes and who needs to “sign off” on a deal.</w:t>
      </w:r>
    </w:p>
    <w:p>
      <w:pPr>
        <w:pStyle w:val="Normal"/>
        <w:spacing w:lineRule="auto" w:line="480"/>
        <w:ind w:firstLine="720" w:end="0"/>
        <w:rPr/>
      </w:pPr>
      <w:r>
        <w:rPr/>
        <w:t xml:space="preserve">But despite their desire to make life as straightforward as possible, the RAC group do have to be capable of dealing with confrontation with other parts of the corporation. “If you are trying to slow down traders, who may see you as an obstacle to getting deals done, then you do need to have risk managers who can hold their own against extremely talented, forceful people,” says Buy. He gives the example of a large transaction originating in Enron’s London office, which would have resulted in the office hitting its earnings target for that particular quarter. The RAC group had to turn it down because Enron had already reached its credit limit with the counterparty the London office wanted to deal with. This proved controversial, but in the end the Enron’s senior management supported RAC’s decision. Despite such confrontations, Buy says that the relationship between the RAC group and the traders and originators has improved immeasurably since the group started up. “It’s not perfect, but if there is disagreement then it is about real issues rather than about whether we should be talking to each other at all,” he says. </w:t>
      </w:r>
    </w:p>
    <w:p>
      <w:pPr>
        <w:pStyle w:val="Normal"/>
        <w:spacing w:lineRule="auto" w:line="480"/>
        <w:ind w:firstLine="720" w:end="0"/>
        <w:rPr/>
      </w:pPr>
      <w:r>
        <w:rPr/>
        <w:t>A key reason for this improvement between RAC and the business units is the recognition that the risk management analytics and information developed by RAC can directly enhance business performance. Over time, the business units found that the risk/return information provided by RAC were very useful in developing and monitoring their own investment and trading strategies. Prior to getting this information, business units stayed well below their risk limits, with respect to market, credit, and country exposures. Based on the risk analytics and reports provided by RAC, one specific group moved closer to its authorized VaR limits and began to make a lot more profits. This caught the attention of the other business units and they also began to take more risks within their authorized risk limits. This is a great example on how risk management help a business in taking more risks.</w:t>
      </w:r>
    </w:p>
    <w:p>
      <w:pPr>
        <w:pStyle w:val="Normal"/>
        <w:spacing w:lineRule="auto" w:line="480"/>
        <w:ind w:firstLine="720" w:end="0"/>
        <w:rPr/>
      </w:pPr>
      <w:r>
        <w:rPr/>
        <w:t>As a key driver of business culture and behavior, the incentive system at Enron is designed with risk management firmly in mind.  All senior staff have their compensation based on three main components -- base salary, a bonus and long-term equity incentives based on the company’s performance. Buy contrasts Enron’s compensation system with Wall Street (where bonuses are paid based on trading profitability and hence might motivate excessive risk taking) as a key tenet of Enron’s risk management culture. Bonuses at Enron are capped and are driven by the achievement of Enron’s business targets, not the performance of individual books. Business units and individuals are also penalized if they violate risk management policies. A process of peer review is used semi-annually as input to performance evaluation, but there are also safeguards built in to ensure that risk managers, for example, are not afraid to voice dissenting opinions which might make them unpopular with their peers.  As Buy joked: “You can’t have the criminals determining the cops’ pay”.</w:t>
      </w:r>
    </w:p>
    <w:p>
      <w:pPr>
        <w:pStyle w:val="Normal"/>
        <w:spacing w:lineRule="auto" w:line="480"/>
        <w:rPr/>
      </w:pPr>
      <w:r>
        <w:rPr/>
      </w:r>
    </w:p>
    <w:p>
      <w:pPr>
        <w:pStyle w:val="Heading3"/>
        <w:spacing w:lineRule="auto" w:line="480" w:before="0" w:after="0"/>
        <w:ind w:hanging="0" w:start="0"/>
        <w:rPr/>
      </w:pPr>
      <w:r>
        <w:rPr/>
        <w:t>Key Challenges Ahead</w:t>
      </w:r>
    </w:p>
    <w:p>
      <w:pPr>
        <w:pStyle w:val="Normal"/>
        <w:spacing w:lineRule="auto" w:line="480"/>
        <w:ind w:firstLine="720" w:end="0"/>
        <w:rPr/>
      </w:pPr>
      <w:r>
        <w:rPr/>
        <w:t>Going forward, Buy and his RAC group is focused on five key challenges for risk management at Enron.  First, they need to deal with the significant growth and increased complexity in the business. This includes horizontal growth as the company expand into other markets such as metals, water, and bandwidth, as well as vertical growth with the adoption of EnronOnline as the company move its business activities online. To continue its effectiveness, Enron’s risk management capabilities will need to evolve with the changing business environment. Second, the company’s focus on daily valuation and risk monitoring has shifted management reporting from accrual to mark-to-marketing accounting. Buy firmly believes that mark-to-market accounting is a better indication of underlying risks and economics. He gives an example of a power plant, where Enron is basically short gas and long power. To structure and monitor the appropriate hedge, Buy believes that all of Enron’s positions, in this example gas, power, and derivative transactions (including implied positions from forward commitments) should be mark-to-market. To support this perspective, the RAC group has started to create for risk management purposes mark-to-market books for assets that are accounted for on an accrual basis.  This process is still in its infancy but is due to spread throughout the corporation. Third, beyond market and credit risks Enron needs to systematically address operational risk and integrate all of its risk management activities within an ERM framework. “The whole issue of ERM will be a big focus for us in 2001,” Buy says.</w:t>
      </w:r>
    </w:p>
    <w:p>
      <w:pPr>
        <w:pStyle w:val="Normal"/>
        <w:spacing w:lineRule="auto" w:line="480"/>
        <w:ind w:firstLine="720" w:end="0"/>
        <w:rPr/>
      </w:pPr>
      <w:r>
        <w:rPr/>
      </w:r>
    </w:p>
    <w:p>
      <w:pPr>
        <w:pStyle w:val="Normal"/>
        <w:spacing w:lineRule="auto" w:line="480"/>
        <w:ind w:firstLine="720" w:end="0"/>
        <w:rPr/>
      </w:pPr>
      <w:r>
        <w:rPr/>
        <w:t xml:space="preserve">Fourth, as one of the biggest users of IT, the RAC group needs to continue to define the role of IT and leverage the company’s technology and informational resources. The RAC is currently in the process of designing and implementing a Global Risk Monitoring System (GRMS), a comprehensive risk management system and data warehouse.  This tool will be able to evaluate and analyze the risks associated with Enron’s trading positions globally.  Specifically, the GRMS will track all risk positions taken, quantify risk exposure and portfolio effects, facilitate portfolio performance analysis, provide tools for user-defined scenario analysis, allow for built-in control processes, and have provisions for flexible aggregation, “drill down” capabilities, and portfolio definition. Finally, an ongoing challenge for Buy is to “find and retain enough quality people to man the guns.” The Houston-based company has to compete with not only the big Wall Street institutions, but also other energy firms and corporations for top-flight risk managers. </w:t>
      </w:r>
    </w:p>
    <w:p>
      <w:pPr>
        <w:pStyle w:val="Normal"/>
        <w:spacing w:lineRule="auto" w:line="480"/>
        <w:ind w:firstLine="720" w:end="0"/>
        <w:rPr/>
      </w:pPr>
      <w:r>
        <w:rPr/>
        <w:t xml:space="preserve">Beyond these five specific challenges, Buy feels that Enron, with respect to the Board, the Office of the CEO, and the CRO, must continue to strike a balance between mitigating and controlling risk on the one hand, and getting profitable deals completed on the other.  “You don’t want the pendulum to swing too far one way or another,” he says. </w:t>
      </w:r>
    </w:p>
    <w:p>
      <w:pPr>
        <w:pStyle w:val="Normal"/>
        <w:spacing w:lineRule="auto" w:line="480"/>
        <w:rPr/>
      </w:pPr>
      <w:r>
        <w:rPr/>
      </w:r>
    </w:p>
    <w:p>
      <w:pPr>
        <w:pStyle w:val="Heading4"/>
        <w:spacing w:lineRule="auto" w:line="480"/>
        <w:ind w:hanging="0" w:start="0"/>
        <w:rPr>
          <w:b w:val="false"/>
          <w:i/>
          <w:i/>
        </w:rPr>
      </w:pPr>
      <w:r>
        <w:rPr>
          <w:b w:val="false"/>
          <w:i/>
        </w:rPr>
        <w:t>Summary</w:t>
      </w:r>
    </w:p>
    <w:p>
      <w:pPr>
        <w:pStyle w:val="Normal"/>
        <w:spacing w:lineRule="auto" w:line="480"/>
        <w:rPr/>
      </w:pPr>
      <w:r>
        <w:rPr/>
        <w:tab/>
        <w:t>The J-Block incident was a difficult and expensive lesson for Enron with respect to risk management.  But the company responded in a decisive and disciplined way.  To strengthen its risk organization it expanded and elevated the corporate risk function, and appointed a senior executive as the chief risk officer who reports directly to the CEO and the Board. The company invested in hiring good people, and supported them with the necessary analytical and IT resources. To balance risk taking and risk management, the risk group worked with the Board and the business units in defining a clear risk criteria, as well as streamlining its internal risk review and approval processes. Today, Enron is a high-performance, award-winning organization.  It is viewed not only as an innovative company with respect to its business strategies, but it is widely recognized a best-practice organization in risk management.</w:t>
      </w:r>
    </w:p>
    <w:p>
      <w:pPr>
        <w:pStyle w:val="Normal"/>
        <w:spacing w:lineRule="auto" w:line="480"/>
        <w:rPr/>
      </w:pPr>
      <w:r>
        <w:rPr/>
      </w:r>
    </w:p>
    <w:p>
      <w:pPr>
        <w:pStyle w:val="Heading5"/>
        <w:ind w:hanging="0" w:start="0"/>
        <w:rPr>
          <w:b/>
        </w:rPr>
      </w:pPr>
      <w:r>
        <w:rPr>
          <w:b/>
        </w:rPr>
        <w:t>SIDEBAR – THE J-BLOCK CONTRACT</w:t>
      </w:r>
    </w:p>
    <w:p>
      <w:pPr>
        <w:pStyle w:val="Normal"/>
        <w:rPr/>
      </w:pPr>
      <w:r>
        <w:rPr/>
        <w:t xml:space="preserve">Chief Risk Officer Rick Buy describes the J-Block episode as a “disaster” which gave senior management and board members at Enron a shock and helped to kick-start the overhaul of the corporation’s risk management. </w:t>
      </w:r>
    </w:p>
    <w:p>
      <w:pPr>
        <w:pStyle w:val="Normal"/>
        <w:rPr/>
      </w:pPr>
      <w:r>
        <w:rPr/>
      </w:r>
    </w:p>
    <w:p>
      <w:pPr>
        <w:pStyle w:val="Normal"/>
        <w:rPr/>
      </w:pPr>
      <w:r>
        <w:rPr/>
        <w:t xml:space="preserve">In essence, Enron found itself dangerously exposed to falling gas prices in the UK. The dispute was about a “Take Or Pay” gas contract between the operator of the gas block, Phillips Petroleum, and Enron. This was signed in 1993 when Phillips Petroleum won development approval for the UK North Sea gas fields Judy and Joanna (known collectively as J-Block). Enron signed up for 260 million cubic feet per day of gas at around 20 pence per therm. It planned to use the gas to supply its own power station at Teesside in northern England and to sell on to other electric power plants in the UK.  But by the time Enron was due to take delivery of the gas, the spot market price was closer to 10 pence per therm, and UK gas demand was lower than had been anticipated. </w:t>
      </w:r>
    </w:p>
    <w:p>
      <w:pPr>
        <w:pStyle w:val="Normal"/>
        <w:rPr/>
      </w:pPr>
      <w:r>
        <w:rPr/>
      </w:r>
    </w:p>
    <w:p>
      <w:pPr>
        <w:pStyle w:val="Normal"/>
        <w:rPr/>
      </w:pPr>
      <w:r>
        <w:rPr/>
        <w:t xml:space="preserve">A Take Or Pay contract means just that --- the buyer of a commodity agrees to pay up even if it doesn’t want or cannot take delivery of the commodity at the specified time. When Enron entered into its contract with Phillips, the UK was moving towards deregulation of the gas market and this sort of contract was already being phased out in favour of a nascent spot market. By 1996, when the time came for Enron to take delivery of the gas, its agreement with Phillips would have obliged it to pay an estimated $1.5 billion above the market value of the gas. </w:t>
      </w:r>
    </w:p>
    <w:p>
      <w:pPr>
        <w:pStyle w:val="Normal"/>
        <w:rPr/>
      </w:pPr>
      <w:r>
        <w:rPr/>
      </w:r>
    </w:p>
    <w:p>
      <w:pPr>
        <w:pStyle w:val="Normal"/>
        <w:rPr/>
      </w:pPr>
      <w:r>
        <w:rPr/>
        <w:t xml:space="preserve">Enron finally reached a settlement with the operators and partners of J-Block in the UK North Sea, in June 1997. Under the terms of the settlement, Enron agreed to make a cash payment of $440 million to the J-Block partners; Phillips Petroleum, Italian oil and gas firm Agip and BG Exploration and Production Ltd. </w:t>
      </w:r>
    </w:p>
    <w:p>
      <w:pPr>
        <w:pStyle w:val="Normal"/>
        <w:rPr>
          <w:rFonts w:eastAsia="Palatino"/>
        </w:rPr>
      </w:pPr>
      <w:r>
        <w:rPr>
          <w:rFonts w:eastAsia="Palatino"/>
        </w:rPr>
        <w:t xml:space="preserve"> </w:t>
      </w:r>
    </w:p>
    <w:p>
      <w:pPr>
        <w:pStyle w:val="Normal"/>
        <w:rPr/>
      </w:pPr>
      <w:r>
        <w:rPr/>
        <w:t xml:space="preserve">Observers noted at the time that Enron had already experienced the impact of deregulation in North America, which had led to the abandonment of take or pay contracts there, and wondered why the company had allowed itself to be drawn into an expensive, binding agreement of this sort. Whatever the reason, the result was a financial and reputational risk management slip-up that cost the company $537 million after tax during 1997, and led to new Enron president and COO Jeffrey Skilling and chairman and CEO Kenneth Lay having their bonuses for that year slashed.  </w:t>
      </w:r>
    </w:p>
    <w:p>
      <w:pPr>
        <w:pStyle w:val="Normal"/>
        <w:rPr/>
      </w:pPr>
      <w:r>
        <w:rPr/>
      </w:r>
    </w:p>
    <w:p>
      <w:pPr>
        <w:pStyle w:val="Normal"/>
        <w:rPr/>
      </w:pPr>
      <w:r>
        <w:rPr/>
        <w:t xml:space="preserve">According to chief risk officer Rick Buy, the episode also led to serious questions being asked at Board level about the degree of control exercised over large transactions. Senior management had not been aware of the contracts, which were agreed by the corporation’s asset development business, Enron International Group. “They wound up with a long, unhedged position and we had to take the hit,” recalls Buy. Skilling – who had been chairman and CEO of the Enron Capital and Trade Resources subsidiary – was appointed president and COO of Enron with effect from January 1997, and was determined to ensure there would be no repeat of the J-Block debacle.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Palatino" w:hAnsi="Palatino" w:eastAsia="Times New Roman" w:cs="Palatino"/>
      <w:color w:val="auto"/>
      <w:sz w:val="22"/>
      <w:szCs w:val="20"/>
      <w:lang w:val="en-US" w:bidi="ar-SA" w:eastAsia="zh-CN"/>
    </w:rPr>
  </w:style>
  <w:style w:type="paragraph" w:styleId="Heading1">
    <w:name w:val="heading 1"/>
    <w:basedOn w:val="Normal"/>
    <w:next w:val="Normal"/>
    <w:qFormat/>
    <w:pPr>
      <w:keepNext w:val="true"/>
      <w:numPr>
        <w:ilvl w:val="0"/>
        <w:numId w:val="1"/>
      </w:numPr>
      <w:spacing w:before="0" w:after="240"/>
      <w:outlineLvl w:val="0"/>
    </w:pPr>
    <w:rPr>
      <w:b/>
      <w:i/>
      <w:caps/>
    </w:rPr>
  </w:style>
  <w:style w:type="paragraph" w:styleId="Heading2">
    <w:name w:val="heading 2"/>
    <w:basedOn w:val="Normal"/>
    <w:next w:val="Normal"/>
    <w:qFormat/>
    <w:pPr>
      <w:keepNext w:val="true"/>
      <w:numPr>
        <w:ilvl w:val="1"/>
        <w:numId w:val="1"/>
      </w:numPr>
      <w:spacing w:before="0" w:after="240"/>
      <w:outlineLvl w:val="1"/>
    </w:pPr>
    <w:rPr>
      <w:b/>
      <w:i/>
    </w:rPr>
  </w:style>
  <w:style w:type="paragraph" w:styleId="Heading3">
    <w:name w:val="heading 3"/>
    <w:basedOn w:val="Normal"/>
    <w:next w:val="Normal"/>
    <w:qFormat/>
    <w:pPr>
      <w:keepNext w:val="true"/>
      <w:numPr>
        <w:ilvl w:val="2"/>
        <w:numId w:val="1"/>
      </w:numPr>
      <w:spacing w:before="0" w:after="240"/>
      <w:outlineLvl w:val="2"/>
    </w:pPr>
    <w:rPr>
      <w:i/>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spacing w:lineRule="auto" w:line="480"/>
      <w:outlineLvl w:val="4"/>
    </w:pPr>
    <w:rPr>
      <w:u w:val="single"/>
    </w:rPr>
  </w:style>
  <w:style w:type="paragraph" w:styleId="Heading6">
    <w:name w:val="heading 6"/>
    <w:basedOn w:val="Normal"/>
    <w:next w:val="Normal"/>
    <w:qFormat/>
    <w:pPr>
      <w:keepNext w:val="true"/>
      <w:numPr>
        <w:ilvl w:val="5"/>
        <w:numId w:val="1"/>
      </w:numPr>
      <w:ind w:hanging="360" w:start="360" w:end="0"/>
      <w:outlineLvl w:val="5"/>
    </w:pPr>
    <w:rPr>
      <w:u w:val="single"/>
    </w:rPr>
  </w:style>
  <w:style w:type="character" w:styleId="WW8Num2z0">
    <w:name w:val="WW8Num2z0"/>
    <w:qFormat/>
    <w:rPr>
      <w:rFonts w:ascii="Symbol" w:hAnsi="Symbol" w:cs="Symbol"/>
    </w:rPr>
  </w:style>
  <w:style w:type="character" w:styleId="WW8Num3z0">
    <w:name w:val="WW8Num3z0"/>
    <w:qFormat/>
    <w:rPr>
      <w:rFonts w:ascii="Symbol" w:hAnsi="Symbol" w:cs="Symbol"/>
      <w:color w:val="auto"/>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spacing w:lineRule="auto" w:line="480"/>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2"/>
      </w:numPr>
      <w:ind w:hanging="360" w:start="360" w:end="0"/>
    </w:pPr>
    <w:rPr/>
  </w:style>
  <w:style w:type="paragraph" w:styleId="DOT">
    <w:name w:val="DOT"/>
    <w:basedOn w:val="ListBullet"/>
    <w:qFormat/>
    <w:pPr/>
    <w:rPr/>
  </w:style>
  <w:style w:type="paragraph" w:styleId="DASH">
    <w:name w:val="DASH"/>
    <w:basedOn w:val="DOT"/>
    <w:qFormat/>
    <w:pPr>
      <w:numPr>
        <w:ilvl w:val="0"/>
        <w:numId w:val="3"/>
      </w:numPr>
      <w:ind w:hanging="360" w:start="720" w:end="0"/>
    </w:pPr>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firstLine="720" w:start="0" w:end="0"/>
    </w:pPr>
    <w:rPr/>
  </w:style>
  <w:style w:type="paragraph" w:styleId="BodyTextIndent2">
    <w:name w:val="Body Text Indent 2"/>
    <w:basedOn w:val="Normal"/>
    <w:qFormat/>
    <w:pPr>
      <w:spacing w:lineRule="auto" w:line="480"/>
      <w:ind w:firstLine="720" w:start="0" w:end="0"/>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2000-08-31T18:00:00Z</dcterms:created>
  <dc:creator>Tom Yu</dc:creator>
  <dc:description/>
  <dc:language>en-CA</dc:language>
  <cp:lastModifiedBy>James Lam</cp:lastModifiedBy>
  <cp:lastPrinted>2000-09-01T15:10:00Z</cp:lastPrinted>
  <dcterms:modified xsi:type="dcterms:W3CDTF">2000-09-01T17:49:00Z</dcterms:modified>
  <cp:revision>30</cp:revision>
  <dc:subject/>
  <dc:title>Edited by Tom Yu, 6/8/99 10:12 AM</dc:title>
</cp:coreProperties>
</file>