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E PRIME ENERGY MARKETING, INC.</w:t>
      </w:r>
    </w:p>
    <w:p>
      <w:pPr>
        <w:pStyle w:val="Normal"/>
        <w:jc w:val="center"/>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$50,000,000 with respect to Counterparty, $50,000,000 with respect to Counterparty’s Credit Support Provider,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Xcel Energy Inc.,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its Credit Support Provider’s Credit Rating is below “BBB-” by S&amp;P or its Credit Support Provider fails to have a Credit Rating from S&amp;P; or (b) with respect to Counterparty, its Credit Support Provider’s Credit Rating is below “BBB-” by S&amp;P or its Credit Support Provider fails to have a Credit Rating from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xml:space="preserve">.  Within two (2) Business Days of the date of this Confirmation, Counterparty shall deliver to ENA a duly executed guaranty in the form attached as Annex B-2 of Counterparty's Credit Support Provider in favor of ENA.  ENA has previously delivered to Counterparty a duly executed guaranty dated June 18, 2001 of ENA's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 fiscal year a copy of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 annual consolidated financial statements are not available on “EDGAR” or its Credit Support Provider’s home page on the World Wide Web at www.enron.com;  (ii) as soon as available and in any event within sixty (60) days after the end of each of its Credit Support Provider’s first three fiscal quarters of its fiscal year, copies of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r>
        <w:br w:type="page"/>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spacing w:lineRule="exact" w:line="240"/>
        <w:ind w:end="720"/>
        <w:jc w:val="center"/>
        <w:rPr>
          <w:rFonts w:ascii="Arial Narrow" w:hAnsi="Arial Narrow" w:cs="Arial Narrow"/>
          <w:b/>
          <w:bCs/>
          <w:sz w:val="18"/>
          <w:szCs w:val="22"/>
        </w:rPr>
      </w:pPr>
      <w:r>
        <w:rPr>
          <w:rFonts w:cs="Arial Narrow" w:ascii="Arial Narrow" w:hAnsi="Arial Narrow"/>
          <w:b/>
          <w:bCs/>
          <w:sz w:val="18"/>
          <w:szCs w:val="22"/>
          <w:u w:val="single"/>
        </w:rPr>
        <w:t>ANNEX B-2</w:t>
      </w:r>
    </w:p>
    <w:p>
      <w:pPr>
        <w:pStyle w:val="Normal"/>
        <w:spacing w:lineRule="exact" w:line="240"/>
        <w:ind w:end="720"/>
        <w:jc w:val="center"/>
        <w:rPr>
          <w:rFonts w:ascii="Arial Narrow" w:hAnsi="Arial Narrow" w:cs="Arial Narrow"/>
          <w:b/>
          <w:bCs/>
          <w:sz w:val="18"/>
          <w:szCs w:val="22"/>
        </w:rPr>
      </w:pPr>
      <w:r>
        <w:rPr>
          <w:rFonts w:cs="Arial Narrow" w:ascii="Arial Narrow" w:hAnsi="Arial Narrow"/>
          <w:b/>
          <w:bCs/>
          <w:sz w:val="18"/>
          <w:szCs w:val="22"/>
        </w:rPr>
      </w:r>
    </w:p>
    <w:p>
      <w:pPr>
        <w:pStyle w:val="Normal"/>
        <w:spacing w:lineRule="exact" w:line="240"/>
        <w:ind w:end="720"/>
        <w:jc w:val="center"/>
        <w:rPr>
          <w:rFonts w:ascii="Arial Narrow" w:hAnsi="Arial Narrow" w:cs="Arial Narrow"/>
          <w:b/>
          <w:bCs/>
          <w:sz w:val="18"/>
          <w:szCs w:val="22"/>
        </w:rPr>
      </w:pPr>
      <w:r>
        <w:rPr>
          <w:rFonts w:cs="Arial Narrow" w:ascii="Arial Narrow" w:hAnsi="Arial Narrow"/>
          <w:b/>
          <w:bCs/>
          <w:sz w:val="18"/>
          <w:szCs w:val="22"/>
        </w:rPr>
        <w:t>XCEL ENERGY INC.</w:t>
      </w:r>
    </w:p>
    <w:p>
      <w:pPr>
        <w:pStyle w:val="Normal"/>
        <w:ind w:end="720"/>
        <w:jc w:val="center"/>
        <w:rPr>
          <w:rFonts w:ascii="Arial Narrow" w:hAnsi="Arial Narrow" w:cs="Arial Narrow"/>
          <w:b/>
          <w:bCs/>
          <w:sz w:val="18"/>
          <w:szCs w:val="22"/>
        </w:rPr>
      </w:pPr>
      <w:r>
        <w:rPr>
          <w:rFonts w:cs="Arial Narrow" w:ascii="Arial Narrow" w:hAnsi="Arial Narrow"/>
          <w:b/>
          <w:bCs/>
          <w:sz w:val="18"/>
          <w:szCs w:val="22"/>
        </w:rPr>
      </w:r>
    </w:p>
    <w:p>
      <w:pPr>
        <w:pStyle w:val="Normal"/>
        <w:spacing w:lineRule="exact" w:line="240"/>
        <w:ind w:end="720"/>
        <w:jc w:val="center"/>
        <w:rPr>
          <w:rFonts w:ascii="Arial Narrow" w:hAnsi="Arial Narrow" w:cs="Arial Narrow"/>
          <w:sz w:val="18"/>
          <w:szCs w:val="22"/>
        </w:rPr>
      </w:pPr>
      <w:r>
        <w:rPr>
          <w:rFonts w:cs="Arial Narrow" w:ascii="Arial Narrow" w:hAnsi="Arial Narrow"/>
          <w:sz w:val="18"/>
          <w:szCs w:val="22"/>
          <w:u w:val="single"/>
        </w:rPr>
        <w:t>Guaranty</w:t>
      </w:r>
    </w:p>
    <w:p>
      <w:pPr>
        <w:pStyle w:val="Normal"/>
        <w:ind w:end="720"/>
        <w:jc w:val="both"/>
        <w:rPr>
          <w:rFonts w:ascii="Arial Narrow" w:hAnsi="Arial Narrow" w:cs="Arial Narrow"/>
          <w:sz w:val="18"/>
          <w:szCs w:val="22"/>
        </w:rPr>
      </w:pPr>
      <w:r>
        <w:rPr>
          <w:rFonts w:cs="Arial Narrow" w:ascii="Arial Narrow" w:hAnsi="Arial Narrow"/>
          <w:sz w:val="18"/>
          <w:szCs w:val="22"/>
        </w:rPr>
      </w:r>
    </w:p>
    <w:p>
      <w:pPr>
        <w:pStyle w:val="Normal"/>
        <w:ind w:end="72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w:t>
      </w:r>
      <w:r>
        <w:rPr>
          <w:rFonts w:cs="Arial Narrow" w:ascii="Arial Narrow" w:hAnsi="Arial Narrow"/>
          <w:sz w:val="18"/>
          <w:szCs w:val="22"/>
          <w:u w:val="single"/>
        </w:rPr>
        <w:tab/>
        <w:tab/>
        <w:tab/>
      </w:r>
      <w:r>
        <w:rPr>
          <w:rFonts w:cs="Arial Narrow" w:ascii="Arial Narrow" w:hAnsi="Arial Narrow"/>
          <w:sz w:val="18"/>
          <w:szCs w:val="22"/>
        </w:rPr>
        <w:t xml:space="preserve">, 2001 (the “Effective Date”), is made and entered into by </w:t>
      </w:r>
      <w:r>
        <w:rPr>
          <w:rFonts w:cs="Arial Narrow" w:ascii="Arial Narrow" w:hAnsi="Arial Narrow"/>
          <w:b/>
          <w:bCs/>
          <w:sz w:val="18"/>
          <w:szCs w:val="22"/>
        </w:rPr>
        <w:t>XCEL ENERGY INC.</w:t>
      </w:r>
      <w:r>
        <w:rPr>
          <w:rFonts w:cs="Arial Narrow" w:ascii="Arial Narrow" w:hAnsi="Arial Narrow"/>
          <w:sz w:val="18"/>
          <w:szCs w:val="22"/>
        </w:rPr>
        <w:t>, a Minnesota corporation (“Guarantor”).</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pPr>
      <w:r>
        <w:rPr>
          <w:rFonts w:cs="Arial Narrow" w:ascii="Arial Narrow" w:hAnsi="Arial Narrow"/>
          <w:sz w:val="18"/>
          <w:szCs w:val="22"/>
        </w:rPr>
        <w:t xml:space="preserve">WHEREAS, E PRIME ENERGY MARKETING, INC., a wholly owned subsidiary of Guarantor (“Counterparty”), and </w:t>
      </w:r>
      <w:r>
        <w:rPr>
          <w:rFonts w:cs="Arial Narrow" w:ascii="Arial Narrow" w:hAnsi="Arial Narrow"/>
          <w:caps/>
          <w:sz w:val="18"/>
          <w:szCs w:val="22"/>
        </w:rPr>
        <w:t>Enron NORTH AMERICA Corp.</w:t>
      </w:r>
      <w:r>
        <w:rPr>
          <w:rFonts w:cs="Arial Narrow" w:ascii="Arial Narrow" w:hAnsi="Arial Narrow"/>
          <w:sz w:val="18"/>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Enron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Counterparty (the “Obligations”) to Enron under the Contract.  This Guaranty shall constitute a continuing guarantee and a guarantee of payment and not of collection.  The liability of Guarantor under this Guaranty shall be subject to the following:</w:t>
      </w:r>
    </w:p>
    <w:p>
      <w:pPr>
        <w:pStyle w:val="Normal"/>
        <w:spacing w:lineRule="exact" w:line="240" w:before="240" w:after="0"/>
        <w:ind w:firstLine="360" w:start="720" w:end="0"/>
        <w:jc w:val="both"/>
        <w:rPr>
          <w:rFonts w:ascii="Arial Narrow" w:hAnsi="Arial Narrow" w:cs="Arial Narrow"/>
          <w:sz w:val="18"/>
          <w:szCs w:val="22"/>
        </w:rPr>
      </w:pPr>
      <w:r>
        <w:rPr>
          <w:rFonts w:cs="Arial Narrow" w:ascii="Arial Narrow" w:hAnsi="Arial Narrow"/>
          <w:sz w:val="18"/>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hanging="0" w:end="0"/>
        <w:rPr/>
      </w:pPr>
      <w:r>
        <w:rPr/>
        <w:t>(b)  The aggregate amount covered by this Guaranty shall not exceed U.S. $10,000,000 (the “Guaranty Cap”).</w:t>
      </w:r>
    </w:p>
    <w:p>
      <w:pPr>
        <w:pStyle w:val="BodyTextIndent3"/>
        <w:spacing w:lineRule="exact" w:line="240" w:before="240" w:after="0"/>
        <w:ind w:hanging="0" w:start="0" w:end="0"/>
        <w:rPr/>
      </w:pPr>
      <w:r>
        <w:rPr/>
        <w:t>The Guaranty Cap shall not be affected by the holding or application of any collateral or other credit support by Enron.</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spacing w:lineRule="exact" w:line="240" w:before="240" w:after="0"/>
        <w:ind w:firstLine="360" w:start="72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360" w:start="72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360" w:start="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rFonts w:ascii="Arial Narrow" w:hAnsi="Arial Narrow" w:cs="Arial Narrow"/>
          <w:sz w:val="18"/>
          <w:szCs w:val="22"/>
        </w:rPr>
      </w:pPr>
      <w:r>
        <w:rPr>
          <w:rFonts w:cs="Arial Narrow" w:ascii="Arial Narrow" w:hAnsi="Arial Narrow"/>
          <w:sz w:val="18"/>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To Enron:</w:t>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Enron North America Corp.</w:t>
            </w:r>
          </w:p>
        </w:tc>
        <w:tc>
          <w:tcPr>
            <w:tcW w:w="162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To Guarantor:</w:t>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rPr>
              <w:t>Xcel Energy Inc.</w:t>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1400 Smith Street</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rFonts w:ascii="Arial Narrow" w:hAnsi="Arial Narrow" w:cs="Arial Narrow"/>
                <w:sz w:val="18"/>
                <w:szCs w:val="22"/>
              </w:rPr>
            </w:pPr>
            <w:r>
              <w:rPr>
                <w:rFonts w:cs="Arial Narrow" w:ascii="Arial Narrow" w:hAnsi="Arial Narrow"/>
                <w:sz w:val="18"/>
                <w:szCs w:val="22"/>
              </w:rPr>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Houston, Texas 77002</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napToGrid w:val="false"/>
              <w:spacing w:lineRule="atLeast" w:line="240"/>
              <w:rPr>
                <w:rFonts w:ascii="Arial Narrow" w:hAnsi="Arial Narrow" w:cs="Arial Narrow"/>
                <w:sz w:val="18"/>
                <w:szCs w:val="22"/>
              </w:rPr>
            </w:pPr>
            <w:r>
              <w:rPr>
                <w:rFonts w:cs="Arial Narrow" w:ascii="Arial Narrow" w:hAnsi="Arial Narrow"/>
                <w:sz w:val="18"/>
                <w:szCs w:val="22"/>
              </w:rPr>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Attn.:  Director, Documentation Department</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rPr>
              <w:t>Attn.:</w:t>
            </w:r>
            <w:r>
              <w:rPr>
                <w:rFonts w:cs="Arial Narrow" w:ascii="Arial Narrow" w:hAnsi="Arial Narrow"/>
                <w:sz w:val="18"/>
                <w:szCs w:val="22"/>
                <w:u w:val="single"/>
              </w:rPr>
              <w:tab/>
            </w:r>
          </w:p>
        </w:tc>
      </w:tr>
      <w:tr>
        <w:trPr/>
        <w:tc>
          <w:tcPr>
            <w:tcW w:w="1098"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4230" w:type="dxa"/>
            <w:tcBorders/>
          </w:tcPr>
          <w:p>
            <w:pPr>
              <w:pStyle w:val="Normal"/>
              <w:keepNext w:val="true"/>
              <w:keepLines/>
              <w:spacing w:lineRule="atLeast" w:line="240"/>
              <w:rPr>
                <w:rFonts w:ascii="Arial Narrow" w:hAnsi="Arial Narrow" w:cs="Arial Narrow"/>
                <w:sz w:val="18"/>
                <w:szCs w:val="22"/>
              </w:rPr>
            </w:pPr>
            <w:r>
              <w:rPr>
                <w:rFonts w:cs="Arial Narrow" w:ascii="Arial Narrow" w:hAnsi="Arial Narrow"/>
                <w:sz w:val="18"/>
                <w:szCs w:val="22"/>
              </w:rPr>
              <w:t>Fax No.:  (713) 646-4816</w:t>
            </w:r>
          </w:p>
        </w:tc>
        <w:tc>
          <w:tcPr>
            <w:tcW w:w="1620" w:type="dxa"/>
            <w:tcBorders/>
          </w:tcPr>
          <w:p>
            <w:pPr>
              <w:pStyle w:val="Normal"/>
              <w:keepNext w:val="true"/>
              <w:keepLines/>
              <w:snapToGrid w:val="false"/>
              <w:spacing w:lineRule="atLeast" w:line="240"/>
              <w:rPr>
                <w:rFonts w:ascii="Arial Narrow" w:hAnsi="Arial Narrow" w:cs="Arial Narrow"/>
                <w:sz w:val="18"/>
                <w:szCs w:val="22"/>
              </w:rPr>
            </w:pPr>
            <w:r>
              <w:rPr>
                <w:rFonts w:cs="Arial Narrow" w:ascii="Arial Narrow" w:hAnsi="Arial Narrow"/>
                <w:sz w:val="18"/>
                <w:szCs w:val="22"/>
              </w:rPr>
            </w:r>
          </w:p>
        </w:tc>
        <w:tc>
          <w:tcPr>
            <w:tcW w:w="3150" w:type="dxa"/>
            <w:tcBorders/>
          </w:tcPr>
          <w:p>
            <w:pPr>
              <w:pStyle w:val="Normal"/>
              <w:keepNext w:val="true"/>
              <w:keepLines/>
              <w:tabs>
                <w:tab w:val="clear" w:pos="720"/>
                <w:tab w:val="right" w:pos="2988" w:leader="none"/>
              </w:tabs>
              <w:spacing w:lineRule="atLeast" w:line="240"/>
              <w:rPr>
                <w:rFonts w:ascii="Arial Narrow" w:hAnsi="Arial Narrow" w:cs="Arial Narrow"/>
                <w:sz w:val="18"/>
                <w:szCs w:val="22"/>
              </w:rPr>
            </w:pPr>
            <w:r>
              <w:rPr>
                <w:rFonts w:cs="Arial Narrow" w:ascii="Arial Narrow" w:hAnsi="Arial Narrow"/>
                <w:sz w:val="18"/>
                <w:szCs w:val="22"/>
              </w:rPr>
              <w:t>Fax No.:</w:t>
            </w:r>
            <w:r>
              <w:rPr>
                <w:rFonts w:cs="Arial Narrow" w:ascii="Arial Narrow" w:hAnsi="Arial Narrow"/>
                <w:sz w:val="18"/>
                <w:szCs w:val="22"/>
                <w:u w:val="single"/>
              </w:rPr>
              <w:tab/>
            </w:r>
          </w:p>
        </w:tc>
      </w:tr>
    </w:tbl>
    <w:p>
      <w:pPr>
        <w:pStyle w:val="Normal"/>
        <w:tabs>
          <w:tab w:val="clear" w:pos="720"/>
          <w:tab w:val="left" w:pos="6480" w:leader="none"/>
        </w:tabs>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tabs>
          <w:tab w:val="clear" w:pos="720"/>
          <w:tab w:val="left" w:pos="6480" w:leader="none"/>
        </w:tabs>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IN WITNESS WHEREOF, the Guarantor has executed this Guaranty on </w:t>
      </w:r>
      <w:r>
        <w:rPr>
          <w:rFonts w:cs="Arial Narrow" w:ascii="Arial Narrow" w:hAnsi="Arial Narrow"/>
          <w:sz w:val="18"/>
          <w:szCs w:val="22"/>
          <w:u w:val="single"/>
        </w:rPr>
        <w:tab/>
        <w:tab/>
      </w:r>
      <w:r>
        <w:rPr>
          <w:rFonts w:cs="Arial Narrow" w:ascii="Arial Narrow" w:hAnsi="Arial Narrow"/>
          <w:sz w:val="18"/>
          <w:szCs w:val="22"/>
        </w:rPr>
        <w:t>, 2001 but it is effective as of the Effective Date.</w:t>
      </w:r>
    </w:p>
    <w:p>
      <w:pPr>
        <w:pStyle w:val="Normal"/>
        <w:spacing w:lineRule="atLeast" w:line="24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exact" w:line="240"/>
        <w:ind w:start="5040" w:end="0"/>
        <w:jc w:val="both"/>
        <w:rPr>
          <w:rFonts w:ascii="Arial Narrow" w:hAnsi="Arial Narrow" w:cs="Arial Narrow"/>
          <w:sz w:val="18"/>
          <w:szCs w:val="22"/>
        </w:rPr>
      </w:pPr>
      <w:r>
        <w:rPr>
          <w:rFonts w:cs="Arial Narrow" w:ascii="Arial Narrow" w:hAnsi="Arial Narrow"/>
          <w:b/>
          <w:bCs/>
          <w:sz w:val="18"/>
          <w:szCs w:val="22"/>
        </w:rPr>
        <w:t>XCEL ENERGY INC.</w:t>
      </w:r>
    </w:p>
    <w:p>
      <w:pPr>
        <w:pStyle w:val="Normal"/>
        <w:spacing w:lineRule="exact" w:line="240"/>
        <w:ind w:start="504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sectPr>
          <w:footerReference w:type="default" r:id="rId7"/>
          <w:footerReference w:type="first" r:id="rId8"/>
          <w:type w:val="nextPage"/>
          <w:pgSz w:w="12240" w:h="15840"/>
          <w:pgMar w:left="1080" w:right="1080" w:gutter="0" w:header="0" w:top="1080" w:footer="720" w:bottom="1080"/>
          <w:pgNumType w:start="1" w:fmt="decimal"/>
          <w:formProt w:val="false"/>
          <w:textDirection w:val="lrTb"/>
          <w:docGrid w:type="default" w:linePitch="360" w:charSpace="0"/>
        </w:sectPr>
        <w:pStyle w:val="Normal"/>
        <w:rPr>
          <w:rFonts w:ascii="Arial Narrow" w:hAnsi="Arial Narrow" w:cs="Arial Narrow"/>
          <w:sz w:val="18"/>
          <w:szCs w:val="22"/>
          <w:u w:val="single"/>
        </w:rPr>
      </w:pPr>
      <w:r>
        <w:rPr>
          <w:rFonts w:cs="Arial Narrow" w:ascii="Arial Narrow" w:hAnsi="Arial Narrow"/>
          <w:sz w:val="18"/>
          <w:szCs w:val="22"/>
          <w:u w:val="single"/>
        </w:rPr>
      </w:r>
    </w:p>
    <w:p>
      <w:pPr>
        <w:pStyle w:val="Heading1"/>
        <w:ind w:hanging="0" w:start="0"/>
        <w:rPr/>
      </w:pPr>
      <w:r>
        <w:rPr/>
        <w:t>ANNEX B-3</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center"/>
        <w:rPr>
          <w:rFonts w:ascii="Arial Narrow" w:hAnsi="Arial Narrow" w:cs="Arial Narrow"/>
          <w:b/>
          <w:bCs/>
          <w:sz w:val="18"/>
        </w:rPr>
      </w:pPr>
      <w:r>
        <w:rPr>
          <w:rFonts w:cs="Arial Narrow" w:ascii="Arial Narrow" w:hAnsi="Arial Narrow"/>
          <w:b/>
          <w:bCs/>
          <w:sz w:val="18"/>
        </w:rPr>
        <w:t>ENRON CORP. GUARANTY dated June 18, 2001</w:t>
      </w:r>
    </w:p>
    <w:p>
      <w:pPr>
        <w:pStyle w:val="Normal"/>
        <w:jc w:val="center"/>
        <w:rPr>
          <w:rFonts w:ascii="Arial Narrow" w:hAnsi="Arial Narrow" w:cs="Arial Narrow"/>
          <w:b/>
          <w:bCs/>
          <w:sz w:val="18"/>
        </w:rPr>
      </w:pPr>
      <w:r>
        <w:rPr>
          <w:rFonts w:cs="Arial Narrow" w:ascii="Arial Narrow" w:hAnsi="Arial Narrow"/>
          <w:b/>
          <w:bCs/>
          <w:sz w:val="18"/>
        </w:rPr>
        <w:t>(previously delivered)</w:t>
      </w:r>
    </w:p>
    <w:sectPr>
      <w:footerReference w:type="default" r:id="rId9"/>
      <w:footerReference w:type="first" r:id="rId10"/>
      <w:type w:val="nextPage"/>
      <w:pgSz w:w="12240" w:h="15840"/>
      <w:pgMar w:left="1080" w:right="1080" w:gutter="0" w:header="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/mnt/main-storage/datasets/enron-docs/doc/170conf_e_prime_.doc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2"/>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/mnt/main-storage/datasets/enron-docs/doc/170conf_e_prime_.doc</w:t>
    </w:r>
    <w:r>
      <w:rPr>
        <w:rStyle w:val="PageNumber"/>
        <w:sz w:val="12"/>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/mnt/main-storage/datasets/enron-docs/doc/170conf_e_prime_.doc</w:t>
    </w:r>
    <w:r>
      <w:rPr>
        <w:rStyle w:val="PageNumber"/>
        <w:sz w:val="12"/>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/mnt/main-storage/datasets/enron-docs/doc/170conf_e_prime_.doc</w:t>
    </w:r>
    <w:r>
      <w:rPr>
        <w:rStyle w:val="PageNumber"/>
        <w:sz w:val="12"/>
      </w:rPr>
      <w:fldChar w:fldCharType="end"/>
    </w:r>
  </w:p>
  <w:p>
    <w:pPr>
      <w:pStyle w:val="Footer"/>
      <w:tabs>
        <w:tab w:val="clear" w:pos="4320"/>
        <w:tab w:val="right" w:pos="8640" w:leader="none"/>
      </w:tabs>
      <w:ind w:end="36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/mnt/main-storage/datasets/enron-docs/doc/170conf_e_prime_.doc</w:t>
    </w:r>
    <w:r>
      <w:rPr>
        <w:rStyle w:val="PageNumber"/>
        <w:sz w:val="12"/>
      </w:rPr>
      <w:fldChar w:fldCharType="end"/>
    </w:r>
  </w:p>
  <w:p>
    <w:pPr>
      <w:pStyle w:val="Footer"/>
      <w:tabs>
        <w:tab w:val="clear" w:pos="4320"/>
        <w:tab w:val="right" w:pos="8640" w:leader="none"/>
      </w:tabs>
      <w:ind w:end="36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2001-11-26T14:43:00Z</dcterms:created>
  <dc:creator>mheard</dc:creator>
  <dc:description/>
  <dc:language>en-CA</dc:language>
  <cp:lastModifiedBy>spanus</cp:lastModifiedBy>
  <cp:lastPrinted>2001-11-26T15:01:00Z</cp:lastPrinted>
  <dcterms:modified xsi:type="dcterms:W3CDTF">2001-11-26T18:31:00Z</dcterms:modified>
  <cp:revision>6</cp:revision>
  <dc:subject/>
  <dc:title>DRAFT OF 10/15/99</dc:title>
</cp:coreProperties>
</file>