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6"/>
        <w:ind w:hanging="0" w:start="0"/>
        <w:rPr/>
      </w:pPr>
      <w:r>
        <w:rPr/>
        <w:t>Management Discussions and Analysis</w:t>
      </w:r>
    </w:p>
    <w:p>
      <w:pPr>
        <w:pStyle w:val="Normal"/>
        <w:rPr>
          <w:b/>
          <w:i/>
          <w:i/>
        </w:rPr>
      </w:pPr>
      <w:r>
        <w:rPr>
          <w:b/>
          <w:i/>
        </w:rPr>
      </w:r>
    </w:p>
    <w:p>
      <w:pPr>
        <w:pStyle w:val="Normal"/>
        <w:rPr>
          <w:b/>
          <w:u w:val="single"/>
        </w:rPr>
      </w:pPr>
      <w:r>
        <w:rPr>
          <w:b/>
          <w:u w:val="single"/>
        </w:rPr>
        <w:t>Revenue -Tariffs and Volumes</w:t>
      </w:r>
    </w:p>
    <w:p>
      <w:pPr>
        <w:pStyle w:val="Normal"/>
        <w:rPr>
          <w:b/>
          <w:u w:val="single"/>
        </w:rPr>
      </w:pPr>
      <w:r>
        <w:rPr>
          <w:b/>
          <w:u w:val="single"/>
        </w:rPr>
      </w:r>
    </w:p>
    <w:p>
      <w:pPr>
        <w:pStyle w:val="Normal"/>
        <w:rPr/>
      </w:pPr>
      <w:r>
        <w:rPr/>
        <w:t>Gross revenues are denominated in [Bolivian Bolivanos]  The pipeline did not officially enter commercial operations until the beginning of 2000, therefore there are no historical operating results.</w:t>
      </w:r>
    </w:p>
    <w:p>
      <w:pPr>
        <w:pStyle w:val="Normal"/>
        <w:rPr/>
      </w:pPr>
      <w:r>
        <w:rPr/>
      </w:r>
    </w:p>
    <w:p>
      <w:pPr>
        <w:pStyle w:val="Normal"/>
        <w:rPr/>
      </w:pPr>
      <w:r>
        <w:rPr/>
        <w:t>Gross revenues are projected to increase from $22.9 million in 2000 to $90.1 million in 2004, a compounded annual growth rate of [   ]%.  This increase in gross revenues will be driven primarily by an increase in volumes. Volumes are projected to increase from 5,706 Mm</w:t>
      </w:r>
      <w:r>
        <w:rPr>
          <w:vertAlign w:val="superscript"/>
        </w:rPr>
        <w:t>3</w:t>
      </w:r>
      <w:r>
        <w:rPr/>
        <w:t>/day in 2000 to 21,462 Mm</w:t>
      </w:r>
      <w:r>
        <w:rPr>
          <w:vertAlign w:val="superscript"/>
        </w:rPr>
        <w:t>3</w:t>
      </w:r>
      <w:r>
        <w:rPr/>
        <w:t>/day in 2004, a compounded annual growth rate of [   ]%.  The volume increases correspond to the increase in the take or pay volumes per the contract with Petrobras and increased volumes for the spur to the Cuiaba IPP project.  There is a deferred revenue component of the revenues, which is comprised of a $81 million prepay from Petrobras amortized over 40 years.</w:t>
      </w:r>
    </w:p>
    <w:p>
      <w:pPr>
        <w:pStyle w:val="Normal"/>
        <w:rPr/>
      </w:pPr>
      <w:r>
        <w:rPr/>
      </w:r>
    </w:p>
    <w:p>
      <w:pPr>
        <w:pStyle w:val="Normal"/>
        <w:rPr/>
      </w:pPr>
      <w:r>
        <w:rPr/>
        <w:t>Tariffs are contractually increased 0.5% annually regardless of Bolivian inflation. [There is [is not] a provision to adjust rates based on FX changes]</w:t>
      </w:r>
    </w:p>
    <w:p>
      <w:pPr>
        <w:pStyle w:val="Normal"/>
        <w:rPr/>
      </w:pPr>
      <w:r>
        <w:rPr/>
      </w:r>
    </w:p>
    <w:p>
      <w:pPr>
        <w:pStyle w:val="Normal"/>
        <w:rPr/>
      </w:pPr>
      <w:r>
        <w:rPr/>
        <w:t>Revenue taxes included in the projected information are a 3% transaction tax a a 1% SIRESE fee.  VAT taxes have been excluded from gross revenues.</w:t>
      </w:r>
    </w:p>
    <w:p>
      <w:pPr>
        <w:pStyle w:val="Normal"/>
        <w:rPr/>
      </w:pPr>
      <w:r>
        <w:rPr/>
      </w:r>
    </w:p>
    <w:p>
      <w:pPr>
        <w:pStyle w:val="Normal"/>
        <w:rPr/>
      </w:pPr>
      <w:r>
        <w:rPr/>
      </w:r>
    </w:p>
    <w:p>
      <w:pPr>
        <w:pStyle w:val="Normal"/>
        <w:rPr/>
      </w:pPr>
      <w:r>
        <w:rPr/>
        <w:t>*****</w:t>
        <w:tab/>
        <w:tab/>
        <w:t>*****</w:t>
        <w:tab/>
        <w:tab/>
        <w:t>*****</w:t>
        <w:tab/>
        <w:tab/>
        <w:t>*****</w:t>
        <w:tab/>
        <w:tab/>
        <w:t>*****</w:t>
        <w:tab/>
        <w:tab/>
        <w:t>*****</w:t>
        <w:tab/>
        <w:tab/>
        <w:t>*****</w:t>
      </w:r>
    </w:p>
    <w:p>
      <w:pPr>
        <w:pStyle w:val="Bmed1st1"/>
        <w:numPr>
          <w:ilvl w:val="0"/>
          <w:numId w:val="2"/>
        </w:numPr>
        <w:tabs>
          <w:tab w:val="clear" w:pos="720"/>
        </w:tabs>
        <w:spacing w:before="0" w:after="110"/>
        <w:ind w:hanging="360" w:start="2160" w:end="0"/>
        <w:rPr/>
      </w:pPr>
      <w:r>
        <w:rPr>
          <w:i/>
        </w:rPr>
        <w:t xml:space="preserve">Telecom Opportunities </w:t>
      </w:r>
      <w:r>
        <w:rPr/>
        <w:t>–</w:t>
      </w:r>
      <w:r>
        <w:rPr>
          <w:i/>
        </w:rPr>
        <w:t xml:space="preserve"> </w:t>
      </w:r>
      <w:r>
        <w:rPr/>
        <w:t>TGS’s pipeline network offers the opportunity to participate in the telecom industry.  TGS has already established a 99.9% owned subsidiary, TELCOSUR, which will enter into agreements with large telecommunication companies and clients in order to commercialize non-used capacity.</w:t>
      </w:r>
    </w:p>
    <w:p>
      <w:pPr>
        <w:pStyle w:val="Bmed1st1"/>
        <w:numPr>
          <w:ilvl w:val="0"/>
          <w:numId w:val="2"/>
        </w:numPr>
        <w:tabs>
          <w:tab w:val="clear" w:pos="720"/>
        </w:tabs>
        <w:spacing w:before="0" w:after="110"/>
        <w:ind w:hanging="360" w:start="2160" w:end="0"/>
        <w:rPr/>
      </w:pPr>
      <w:r>
        <w:rPr>
          <w:i/>
        </w:rPr>
        <w:t>Attractive Regulatory and Rate-Making Process</w:t>
      </w:r>
      <w:r>
        <w:rPr/>
        <w:t xml:space="preserve"> </w:t>
      </w:r>
      <w:r>
        <w:rPr/>
        <w:t>–</w:t>
      </w:r>
      <w:r>
        <w:rPr/>
        <w:t xml:space="preserve"> Management believes that Enargas currently allows an ROA of approximately 12% (in real terms). As such, management does not anticipate a material reduction in gas transportation tariffs resulting from the next tariff review in 2002. Given that most or all of TGS’s inefficiencies were eliminated in 1992-1995, management does not anticipate a material rate reduction in 2002 in order to account for efficiency to be realized during the next rate period, as occurred at the last review in 1997. [Is this what we are saying: TGS substantially improved efficiency during the period from 1992 to 1995, and the regulator took into account these improvements during the tariff review in 1997 and materially reduced TGS’s rates. However, management does not anticipate a material reduction in 2002]</w:t>
      </w:r>
    </w:p>
    <w:p>
      <w:pPr>
        <w:pStyle w:val="Bmed1st1"/>
        <w:numPr>
          <w:ilvl w:val="0"/>
          <w:numId w:val="2"/>
        </w:numPr>
        <w:tabs>
          <w:tab w:val="clear" w:pos="720"/>
        </w:tabs>
        <w:spacing w:before="0" w:after="110"/>
        <w:ind w:hanging="360" w:start="2160" w:end="0"/>
        <w:rPr/>
      </w:pPr>
      <w:r>
        <w:rPr>
          <w:i/>
        </w:rPr>
        <w:t>Limited Currency Risk</w:t>
      </w:r>
      <w:r>
        <w:rPr/>
        <w:t xml:space="preserve"> – TGS is allowed to charge both in Argentine Pesos and US$. Under the concession contract, TGS has the right to state its charges to pipeline users in both currencies and to collect US$ equivalents even after a bill has been sent to a customer.</w:t>
      </w:r>
    </w:p>
    <w:p>
      <w:pPr>
        <w:pStyle w:val="Bmed1st1"/>
        <w:numPr>
          <w:ilvl w:val="0"/>
          <w:numId w:val="2"/>
        </w:numPr>
        <w:tabs>
          <w:tab w:val="clear" w:pos="720"/>
        </w:tabs>
        <w:spacing w:before="0" w:after="110"/>
        <w:ind w:hanging="360" w:start="2160" w:end="0"/>
        <w:rPr/>
      </w:pPr>
      <w:r>
        <w:rPr>
          <w:i/>
        </w:rPr>
        <w:t>Other Development Opportunities</w:t>
      </w:r>
      <w:r>
        <w:rPr/>
        <w:t xml:space="preserve"> – TGS is well positioned to expand its pipeline network to the north of Buenos Aires and thereby physically connect to industrial and IPP customers and gas LDCs in the North of Argentina and eventually in Uruguay and Brazil.  TGS transports gas from two of Argentina’s largest basins, Austral and Neuquén, neither of which currently have access to key markets in Brazil.  TGS therefore represents a logical and economic conduit for the export of gas from these basins to Southern Brazil. [What about TGM?]</w:t>
      </w:r>
    </w:p>
    <w:p>
      <w:pPr>
        <w:pStyle w:val="Bmed1st1"/>
        <w:numPr>
          <w:ilvl w:val="0"/>
          <w:numId w:val="2"/>
        </w:numPr>
        <w:tabs>
          <w:tab w:val="clear" w:pos="720"/>
        </w:tabs>
        <w:spacing w:before="0" w:after="360"/>
        <w:ind w:hanging="360" w:start="2160" w:end="0"/>
        <w:rPr/>
      </w:pPr>
      <w:r>
        <w:rPr>
          <w:i/>
        </w:rPr>
        <w:t>Commercial Synergies with Southern Brazil</w:t>
      </w:r>
      <w:r>
        <w:rPr/>
        <w:t xml:space="preserve"> –TGS is likely to have limited capacity available to ship gas to Brazil during the Argentine winter, which is the rainy season in Southern Brazil. The majority of the hydroelectric capacity in the region is run-of-river and therefore effectively has must-run status.  As a result, there could be strong commercial synergies between the peak loads of TGS’s gas transmission system and of gas-fired generators in Southern Brazil.</w:t>
      </w:r>
    </w:p>
    <w:p>
      <w:pPr>
        <w:pStyle w:val="Bmed1st1"/>
        <w:numPr>
          <w:ilvl w:val="0"/>
          <w:numId w:val="0"/>
        </w:numPr>
        <w:spacing w:before="0" w:after="360"/>
        <w:ind w:hanging="360" w:start="2160" w:end="0"/>
        <w:rPr/>
      </w:pPr>
      <w:r>
        <w:rPr/>
        <w:t>*****</w:t>
        <w:tab/>
        <w:tab/>
        <w:t>*****</w:t>
        <w:tab/>
        <w:tab/>
        <w:t>*****</w:t>
        <w:tab/>
        <w:tab/>
        <w:t>*****</w:t>
        <w:tab/>
        <w:tab/>
        <w:t>*****</w:t>
        <w:tab/>
      </w:r>
    </w:p>
    <w:p>
      <w:pPr>
        <w:pStyle w:val="BLKmed1st1"/>
        <w:ind w:start="2160" w:end="0"/>
        <w:rPr/>
      </w:pPr>
      <w:r>
        <w:rPr>
          <w:b/>
          <w:u w:val="single"/>
        </w:rPr>
        <w:t>Gas Transmission</w:t>
      </w:r>
      <w:r>
        <w:rPr/>
        <w:br/>
        <w:t xml:space="preserve">The gas transportation rates established under each transportation company’s license are based in U.S. dollars and converted into pesos at the time of billing pursuant to the terms of such license at the rate of exchange as provided in the Convertibility Law, as amended at the time of billing. The current rates are fixed for the five-year period ending December 31, 2002 and are subject to adjustment as described below. </w:t>
      </w:r>
      <w:r>
        <mc:AlternateContent>
          <mc:Choice Requires="wps">
            <w:drawing>
              <wp:anchor behindDoc="0" distT="0" distB="0" distL="0" distR="0" simplePos="0" locked="0" layoutInCell="0" allowOverlap="1" relativeHeight="2">
                <wp:simplePos x="0" y="0"/>
                <wp:positionH relativeFrom="page">
                  <wp:posOffset>937895</wp:posOffset>
                </wp:positionH>
                <wp:positionV relativeFrom="paragraph">
                  <wp:posOffset>7620</wp:posOffset>
                </wp:positionV>
                <wp:extent cx="1600200"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600200" cy="160655"/>
                        </a:xfrm>
                        <a:prstGeom prst="rect"/>
                        <a:solidFill>
                          <a:srgbClr val="FFFFFF">
                            <a:alpha val="0"/>
                          </a:srgbClr>
                        </a:solidFill>
                      </wps:spPr>
                      <wps:txbx>
                        <w:txbxContent>
                          <w:p>
                            <w:pPr>
                              <w:pStyle w:val="zSideBar"/>
                              <w:rPr/>
                            </w:pPr>
                            <w:r>
                              <w:rPr/>
                              <w:t>Tariff Regulations</w:t>
                            </w:r>
                          </w:p>
                        </w:txbxContent>
                      </wps:txbx>
                      <wps:bodyPr anchor="t" lIns="0" tIns="0" rIns="0" bIns="0">
                        <a:noAutofit/>
                      </wps:bodyPr>
                    </wps:wsp>
                  </a:graphicData>
                </a:graphic>
              </wp:anchor>
            </w:drawing>
          </mc:Choice>
          <mc:Fallback>
            <w:pict>
              <v:rect fillcolor="#FFFFFF" style="position:absolute;rotation:-0;width:126pt;height:12.65pt;mso-wrap-distance-left:0pt;mso-wrap-distance-right:0pt;mso-wrap-distance-top:0pt;mso-wrap-distance-bottom:0pt;margin-top:0.6pt;mso-position-vertical-relative:text;margin-left:73.85pt;mso-position-horizontal-relative:page">
                <v:fill opacity="0f"/>
                <v:textbox inset="0in,0in,0in,0in">
                  <w:txbxContent>
                    <w:p>
                      <w:pPr>
                        <w:pStyle w:val="zSideBar"/>
                        <w:rPr/>
                      </w:pPr>
                      <w:r>
                        <w:rPr/>
                        <w:t>Tariff Regulations</w:t>
                      </w:r>
                    </w:p>
                  </w:txbxContent>
                </v:textbox>
                <w10:wrap type="square"/>
              </v:rect>
            </w:pict>
          </mc:Fallback>
        </mc:AlternateContent>
      </w:r>
    </w:p>
    <w:p>
      <w:pPr>
        <w:pStyle w:val="BLKmed1st1"/>
        <w:ind w:start="2160" w:end="0"/>
        <w:rPr/>
      </w:pPr>
      <w:r>
        <w:rPr/>
        <w:t>Under the license, TGS is permitted to adjust rates (i) semi-annually to reflect changes in the U.S. PPI, and (ii) every five years in accordance with efficiency and investment factors to be determined by ENARGAS. In addition, subject to ENARGAS’s approval, rates may be adjusted from time to time to reflect cost variations resulting from changes in the tax regulations (other than income tax) applicable to TGS, and for objective, justifiable and non-recurring circumstances.</w:t>
      </w:r>
    </w:p>
    <w:p>
      <w:pPr>
        <w:pStyle w:val="BLKmed1st1"/>
        <w:ind w:start="2160" w:end="0"/>
        <w:rPr/>
      </w:pPr>
      <w:r>
        <w:rPr/>
        <w:t xml:space="preserve">The Natural Gas Act requires that in formulating the rules that apply to the setting of future rates, ENARGAS must provide the transportation companies with (i) an opportunity to collect revenues sufficient to recover all proper operating costs reasonably applicable to service, taxes and depreciation, and (ii) a reasonable rate of return, determined in relation to the rate of return of businesses having comparable risk, and shall take into account the degree of efficiency achieved and the performance of the company in providing the service. </w:t>
      </w:r>
    </w:p>
    <w:p>
      <w:pPr>
        <w:pStyle w:val="BLKmed1st1"/>
        <w:ind w:start="2160" w:end="0"/>
        <w:rPr/>
      </w:pPr>
      <w:r>
        <w:rPr/>
        <w:t>The adjustment to account for efficiencies is proposed by ENARGAS based on specific plans for efficiency improvements, taking into account both the expected cost savings and the investments required for the implementation of such plans.</w:t>
      </w:r>
    </w:p>
    <w:p>
      <w:pPr>
        <w:pStyle w:val="BLKmed1st1"/>
        <w:ind w:start="2160" w:end="0"/>
        <w:rPr/>
      </w:pPr>
      <w:r>
        <w:rPr/>
        <w:t>The transportation rate for firm transportation services consists of a capacity reservation charge and is expressed as a maximum monthly charge based on the cubic meters per day of reserved transportation capacity.  The rate for interruptible transportation service, which is expressed as a minimum (from which no discounts are permitted) and a maximum rate per 1,000 m</w:t>
      </w:r>
      <w:r>
        <w:rPr>
          <w:vertAlign w:val="superscript"/>
        </w:rPr>
        <w:t>3</w:t>
      </w:r>
      <w:r>
        <w:rPr/>
        <w:t xml:space="preserve"> of natural gas transported, is equivalent to the unit rate of the reservation charge for the firm service based on a load factor of 100%.  For both firm and interruptible transportation services, customers are obligated to provide a natural gas in-kind allowance, expressed as a maximum percentage of gas received, equivalent to the gas consumed or lost in rendering the transportation service.  The rates for all services reflect the rate zone(s) traversed from the point of receipt to the point of delivery.</w:t>
      </w:r>
    </w:p>
    <w:p>
      <w:pPr>
        <w:pStyle w:val="BLKmed1st1"/>
        <w:ind w:start="2160" w:end="0"/>
        <w:rPr/>
      </w:pPr>
      <w:r>
        <w:rPr/>
        <w:t>The table below sets out TGS’s firm and interruptible rates by pipeline and zones, in effect since January 1, 2000:</w:t>
      </w:r>
    </w:p>
    <w:tbl>
      <w:tblPr>
        <w:tblW w:w="6759" w:type="dxa"/>
        <w:jc w:val="center"/>
        <w:tblInd w:w="0" w:type="dxa"/>
        <w:tblLayout w:type="fixed"/>
        <w:tblCellMar>
          <w:top w:w="0" w:type="dxa"/>
          <w:start w:w="43" w:type="dxa"/>
          <w:bottom w:w="0" w:type="dxa"/>
          <w:end w:w="43" w:type="dxa"/>
        </w:tblCellMar>
      </w:tblPr>
      <w:tblGrid>
        <w:gridCol w:w="1850"/>
        <w:gridCol w:w="1530"/>
        <w:gridCol w:w="1080"/>
        <w:gridCol w:w="1224"/>
        <w:gridCol w:w="1075"/>
      </w:tblGrid>
      <w:tr>
        <w:trPr>
          <w:tblHeader w:val="true"/>
        </w:trPr>
        <w:tc>
          <w:tcPr>
            <w:tcW w:w="3380" w:type="dxa"/>
            <w:gridSpan w:val="2"/>
            <w:vMerge w:val="restart"/>
            <w:tcBorders>
              <w:top w:val="single" w:sz="4" w:space="0" w:color="000000"/>
              <w:start w:val="single" w:sz="4" w:space="0" w:color="000000"/>
            </w:tcBorders>
            <w:shd w:fill="FFFF00" w:val="clear"/>
            <w:vAlign w:val="center"/>
          </w:tcPr>
          <w:p>
            <w:pPr>
              <w:pStyle w:val="TableHead"/>
              <w:pBdr>
                <w:bottom w:val="nil"/>
              </w:pBdr>
              <w:rPr/>
            </w:pPr>
            <w:r>
              <w:rPr/>
              <w:br/>
              <w:br/>
              <w:br/>
              <w:t>Rate Zone</w:t>
            </w:r>
          </w:p>
        </w:tc>
        <w:tc>
          <w:tcPr>
            <w:tcW w:w="1080" w:type="dxa"/>
            <w:tcBorders>
              <w:top w:val="single" w:sz="4" w:space="0" w:color="000000"/>
            </w:tcBorders>
            <w:shd w:fill="FFFF00" w:val="clear"/>
            <w:vAlign w:val="bottom"/>
          </w:tcPr>
          <w:p>
            <w:pPr>
              <w:pStyle w:val="TableHead"/>
              <w:pBdr>
                <w:bottom w:val="nil"/>
              </w:pBdr>
              <w:rPr/>
            </w:pPr>
            <w:r>
              <w:rPr/>
              <w:t>Firm</w:t>
            </w:r>
          </w:p>
        </w:tc>
        <w:tc>
          <w:tcPr>
            <w:tcW w:w="1224" w:type="dxa"/>
            <w:tcBorders>
              <w:top w:val="single" w:sz="4" w:space="0" w:color="000000"/>
            </w:tcBorders>
            <w:shd w:fill="FFFF00" w:val="clear"/>
            <w:vAlign w:val="bottom"/>
          </w:tcPr>
          <w:p>
            <w:pPr>
              <w:pStyle w:val="TableHead"/>
              <w:pBdr>
                <w:bottom w:val="nil"/>
              </w:pBdr>
              <w:rPr/>
            </w:pPr>
            <w:r>
              <w:rPr/>
              <w:t>Interruptible</w:t>
            </w:r>
          </w:p>
        </w:tc>
        <w:tc>
          <w:tcPr>
            <w:tcW w:w="1075" w:type="dxa"/>
            <w:tcBorders>
              <w:top w:val="single" w:sz="4" w:space="0" w:color="000000"/>
              <w:end w:val="single" w:sz="4" w:space="0" w:color="000000"/>
            </w:tcBorders>
            <w:shd w:fill="FFFF00" w:val="clear"/>
            <w:vAlign w:val="bottom"/>
          </w:tcPr>
          <w:p>
            <w:pPr>
              <w:pStyle w:val="TableHead"/>
              <w:pBdr>
                <w:bottom w:val="nil"/>
              </w:pBdr>
              <w:snapToGrid w:val="false"/>
              <w:rPr/>
            </w:pPr>
            <w:r>
              <w:rPr/>
            </w:r>
          </w:p>
        </w:tc>
      </w:tr>
      <w:tr>
        <w:trPr>
          <w:tblHeader w:val="true"/>
        </w:trPr>
        <w:tc>
          <w:tcPr>
            <w:tcW w:w="3380" w:type="dxa"/>
            <w:gridSpan w:val="2"/>
            <w:vMerge w:val="continue"/>
            <w:tcBorders>
              <w:top w:val="single" w:sz="4" w:space="0" w:color="000000"/>
              <w:start w:val="single" w:sz="4" w:space="0" w:color="000000"/>
            </w:tcBorders>
            <w:shd w:fill="FFFF00" w:val="clear"/>
            <w:vAlign w:val="center"/>
          </w:tcPr>
          <w:p>
            <w:pPr>
              <w:pStyle w:val="TableHead"/>
              <w:pBdr>
                <w:bottom w:val="nil"/>
              </w:pBdr>
              <w:snapToGrid w:val="false"/>
              <w:rPr>
                <w:b/>
              </w:rPr>
            </w:pPr>
            <w:r>
              <w:rPr>
                <w:b/>
              </w:rPr>
            </w:r>
          </w:p>
        </w:tc>
        <w:tc>
          <w:tcPr>
            <w:tcW w:w="1080" w:type="dxa"/>
            <w:tcBorders/>
            <w:shd w:fill="FFFF00" w:val="clear"/>
          </w:tcPr>
          <w:p>
            <w:pPr>
              <w:pStyle w:val="TableHead"/>
              <w:pBdr>
                <w:bottom w:val="nil"/>
              </w:pBdr>
              <w:rPr/>
            </w:pPr>
            <w:r>
              <w:rPr/>
              <w:t>Reservation</w:t>
              <w:br/>
              <w:t>Charge</w:t>
            </w:r>
            <w:r>
              <w:rPr>
                <w:vertAlign w:val="superscript"/>
              </w:rPr>
              <w:t>(1)</w:t>
            </w:r>
            <w:r>
              <w:rPr/>
              <w:br/>
              <w:t>(US$/m</w:t>
            </w:r>
            <w:r>
              <w:rPr>
                <w:vertAlign w:val="superscript"/>
              </w:rPr>
              <w:t>3</w:t>
            </w:r>
            <w:r>
              <w:rPr/>
              <w:t>/d)</w:t>
            </w:r>
          </w:p>
        </w:tc>
        <w:tc>
          <w:tcPr>
            <w:tcW w:w="1224" w:type="dxa"/>
            <w:tcBorders/>
            <w:shd w:fill="FFFF00" w:val="clear"/>
          </w:tcPr>
          <w:p>
            <w:pPr>
              <w:pStyle w:val="TableHead"/>
              <w:pBdr>
                <w:bottom w:val="nil"/>
              </w:pBdr>
              <w:rPr/>
            </w:pPr>
            <w:r>
              <w:rPr/>
              <w:t>Minimum Charge</w:t>
            </w:r>
            <w:r>
              <w:rPr>
                <w:vertAlign w:val="superscript"/>
              </w:rPr>
              <w:t>(2)</w:t>
            </w:r>
            <w:r>
              <w:rPr/>
              <w:br/>
              <w:t>(US$/1000m</w:t>
            </w:r>
            <w:r>
              <w:rPr>
                <w:vertAlign w:val="superscript"/>
              </w:rPr>
              <w:t>3</w:t>
            </w:r>
            <w:r>
              <w:rPr/>
              <w:t>/d)</w:t>
            </w:r>
          </w:p>
        </w:tc>
        <w:tc>
          <w:tcPr>
            <w:tcW w:w="1075" w:type="dxa"/>
            <w:tcBorders>
              <w:end w:val="single" w:sz="4" w:space="0" w:color="000000"/>
            </w:tcBorders>
            <w:shd w:fill="FFFF00" w:val="clear"/>
            <w:vAlign w:val="bottom"/>
          </w:tcPr>
          <w:p>
            <w:pPr>
              <w:pStyle w:val="TableHead"/>
              <w:pBdr>
                <w:bottom w:val="nil"/>
              </w:pBdr>
              <w:rPr/>
            </w:pPr>
            <w:r>
              <w:rPr/>
              <w:t>Compression</w:t>
              <w:br/>
              <w:t>Fuel and Losses</w:t>
            </w:r>
            <w:r>
              <w:rPr>
                <w:vertAlign w:val="superscript"/>
              </w:rPr>
              <w:t xml:space="preserve">(3) </w:t>
            </w:r>
            <w:r>
              <w:rPr/>
              <w:t>(%)</w:t>
            </w:r>
          </w:p>
        </w:tc>
      </w:tr>
      <w:tr>
        <w:trPr>
          <w:tblHeader w:val="true"/>
        </w:trPr>
        <w:tc>
          <w:tcPr>
            <w:tcW w:w="1850" w:type="dxa"/>
            <w:tcBorders>
              <w:start w:val="single" w:sz="4" w:space="0" w:color="000000"/>
              <w:bottom w:val="single" w:sz="4" w:space="0" w:color="000000"/>
            </w:tcBorders>
            <w:shd w:fill="FFFF00" w:val="clear"/>
            <w:vAlign w:val="bottom"/>
          </w:tcPr>
          <w:p>
            <w:pPr>
              <w:pStyle w:val="TableHead"/>
              <w:pBdr>
                <w:bottom w:val="nil"/>
              </w:pBdr>
              <w:rPr>
                <w:sz w:val="18"/>
              </w:rPr>
            </w:pPr>
            <w:r>
              <w:rPr>
                <w:sz w:val="18"/>
              </w:rPr>
              <w:t>Receipt</w:t>
            </w:r>
          </w:p>
        </w:tc>
        <w:tc>
          <w:tcPr>
            <w:tcW w:w="1530" w:type="dxa"/>
            <w:tcBorders>
              <w:bottom w:val="single" w:sz="4" w:space="0" w:color="000000"/>
            </w:tcBorders>
            <w:shd w:fill="FFFF00" w:val="clear"/>
            <w:vAlign w:val="bottom"/>
          </w:tcPr>
          <w:p>
            <w:pPr>
              <w:pStyle w:val="TableHead"/>
              <w:pBdr>
                <w:bottom w:val="nil"/>
              </w:pBdr>
              <w:rPr>
                <w:sz w:val="18"/>
              </w:rPr>
            </w:pPr>
            <w:r>
              <w:rPr>
                <w:sz w:val="18"/>
              </w:rPr>
              <w:t>Delivery</w:t>
            </w:r>
          </w:p>
        </w:tc>
        <w:tc>
          <w:tcPr>
            <w:tcW w:w="1080" w:type="dxa"/>
            <w:tcBorders>
              <w:bottom w:val="single" w:sz="4" w:space="0" w:color="000000"/>
            </w:tcBorders>
            <w:shd w:fill="FFFF00" w:val="clear"/>
          </w:tcPr>
          <w:p>
            <w:pPr>
              <w:pStyle w:val="TableHead"/>
              <w:pBdr>
                <w:bottom w:val="nil"/>
              </w:pBdr>
              <w:snapToGrid w:val="false"/>
              <w:rPr>
                <w:sz w:val="18"/>
              </w:rPr>
            </w:pPr>
            <w:r>
              <w:rPr>
                <w:sz w:val="18"/>
              </w:rPr>
            </w:r>
          </w:p>
        </w:tc>
        <w:tc>
          <w:tcPr>
            <w:tcW w:w="1224" w:type="dxa"/>
            <w:tcBorders>
              <w:bottom w:val="single" w:sz="4" w:space="0" w:color="000000"/>
            </w:tcBorders>
            <w:shd w:fill="FFFF00" w:val="clear"/>
          </w:tcPr>
          <w:p>
            <w:pPr>
              <w:pStyle w:val="TableHead"/>
              <w:pBdr>
                <w:bottom w:val="nil"/>
              </w:pBdr>
              <w:snapToGrid w:val="false"/>
              <w:rPr>
                <w:sz w:val="18"/>
              </w:rPr>
            </w:pPr>
            <w:r>
              <w:rPr>
                <w:sz w:val="18"/>
              </w:rPr>
            </w:r>
          </w:p>
        </w:tc>
        <w:tc>
          <w:tcPr>
            <w:tcW w:w="1075" w:type="dxa"/>
            <w:tcBorders>
              <w:bottom w:val="single" w:sz="4" w:space="0" w:color="000000"/>
              <w:end w:val="single" w:sz="4" w:space="0" w:color="000000"/>
            </w:tcBorders>
            <w:shd w:fill="FFFF00" w:val="clear"/>
            <w:vAlign w:val="bottom"/>
          </w:tcPr>
          <w:p>
            <w:pPr>
              <w:pStyle w:val="TableHead"/>
              <w:pBdr>
                <w:bottom w:val="nil"/>
              </w:pBdr>
              <w:snapToGrid w:val="false"/>
              <w:rPr>
                <w:sz w:val="18"/>
              </w:rPr>
            </w:pPr>
            <w:r>
              <w:rPr>
                <w:sz w:val="18"/>
              </w:rPr>
            </w:r>
          </w:p>
        </w:tc>
      </w:tr>
      <w:tr>
        <w:trPr>
          <w:tblHeader w:val="true"/>
        </w:trPr>
        <w:tc>
          <w:tcPr>
            <w:tcW w:w="1850" w:type="dxa"/>
            <w:tcBorders>
              <w:start w:val="single" w:sz="4" w:space="0" w:color="000000"/>
            </w:tcBorders>
          </w:tcPr>
          <w:p>
            <w:pPr>
              <w:pStyle w:val="TableHeadSpace"/>
              <w:rPr/>
            </w:pPr>
            <w:r>
              <w:rPr>
                <w:rStyle w:val="hidden"/>
              </w:rPr>
              <w:t>DO NOT DELETE</w:t>
            </w:r>
          </w:p>
        </w:tc>
        <w:tc>
          <w:tcPr>
            <w:tcW w:w="1530" w:type="dxa"/>
            <w:tcBorders/>
          </w:tcPr>
          <w:p>
            <w:pPr>
              <w:pStyle w:val="TableHeadSpace"/>
              <w:snapToGrid w:val="false"/>
              <w:rPr>
                <w:rStyle w:val="hidden"/>
              </w:rPr>
            </w:pPr>
            <w:r>
              <w:rPr/>
            </w:r>
          </w:p>
        </w:tc>
        <w:tc>
          <w:tcPr>
            <w:tcW w:w="1080" w:type="dxa"/>
            <w:tcBorders/>
          </w:tcPr>
          <w:p>
            <w:pPr>
              <w:pStyle w:val="TableHeadSpace"/>
              <w:snapToGrid w:val="false"/>
              <w:rPr/>
            </w:pPr>
            <w:r>
              <w:rPr/>
            </w:r>
          </w:p>
        </w:tc>
        <w:tc>
          <w:tcPr>
            <w:tcW w:w="1224" w:type="dxa"/>
            <w:tcBorders/>
          </w:tcPr>
          <w:p>
            <w:pPr>
              <w:pStyle w:val="TableHeadSpace"/>
              <w:snapToGrid w:val="false"/>
              <w:rPr/>
            </w:pPr>
            <w:r>
              <w:rPr/>
            </w:r>
          </w:p>
        </w:tc>
        <w:tc>
          <w:tcPr>
            <w:tcW w:w="1075" w:type="dxa"/>
            <w:tcBorders>
              <w:end w:val="single" w:sz="4" w:space="0" w:color="000000"/>
            </w:tcBorders>
          </w:tcPr>
          <w:p>
            <w:pPr>
              <w:pStyle w:val="TableHeadSpace"/>
              <w:snapToGrid w:val="false"/>
              <w:rPr/>
            </w:pPr>
            <w:r>
              <w:rPr/>
            </w:r>
          </w:p>
        </w:tc>
      </w:tr>
      <w:tr>
        <w:trPr/>
        <w:tc>
          <w:tcPr>
            <w:tcW w:w="1850" w:type="dxa"/>
            <w:tcBorders>
              <w:start w:val="single" w:sz="4" w:space="0" w:color="000000"/>
            </w:tcBorders>
          </w:tcPr>
          <w:p>
            <w:pPr>
              <w:pStyle w:val="TableBody"/>
              <w:keepNext w:val="true"/>
              <w:rPr>
                <w:sz w:val="18"/>
              </w:rPr>
            </w:pPr>
            <w:r>
              <w:rPr>
                <w:sz w:val="18"/>
              </w:rPr>
              <w:t>From Tierra del Fuego to:</w:t>
            </w:r>
          </w:p>
        </w:tc>
        <w:tc>
          <w:tcPr>
            <w:tcW w:w="1530" w:type="dxa"/>
            <w:tcBorders/>
          </w:tcPr>
          <w:p>
            <w:pPr>
              <w:pStyle w:val="TableBody"/>
              <w:keepNext w:val="true"/>
              <w:tabs>
                <w:tab w:val="clear" w:pos="720"/>
                <w:tab w:val="decimal" w:pos="648" w:leader="none"/>
              </w:tabs>
              <w:rPr>
                <w:sz w:val="18"/>
              </w:rPr>
            </w:pPr>
            <w:r>
              <w:rPr>
                <w:sz w:val="18"/>
              </w:rPr>
              <w:t>Tierra del Fuego</w:t>
            </w:r>
          </w:p>
        </w:tc>
        <w:tc>
          <w:tcPr>
            <w:tcW w:w="1080" w:type="dxa"/>
            <w:tcBorders/>
            <w:vAlign w:val="bottom"/>
          </w:tcPr>
          <w:p>
            <w:pPr>
              <w:pStyle w:val="TableBody"/>
              <w:keepNext w:val="true"/>
              <w:tabs>
                <w:tab w:val="clear" w:pos="720"/>
                <w:tab w:val="decimal" w:pos="342" w:leader="none"/>
              </w:tabs>
              <w:ind w:end="-18"/>
              <w:rPr>
                <w:sz w:val="18"/>
              </w:rPr>
            </w:pPr>
            <w:r>
              <w:rPr>
                <w:sz w:val="18"/>
              </w:rPr>
              <w:t>0.076</w:t>
            </w:r>
          </w:p>
        </w:tc>
        <w:tc>
          <w:tcPr>
            <w:tcW w:w="1224" w:type="dxa"/>
            <w:tcBorders/>
            <w:vAlign w:val="bottom"/>
          </w:tcPr>
          <w:p>
            <w:pPr>
              <w:pStyle w:val="TableBody"/>
              <w:keepNext w:val="true"/>
              <w:tabs>
                <w:tab w:val="clear" w:pos="720"/>
                <w:tab w:val="decimal" w:pos="519" w:leader="none"/>
              </w:tabs>
              <w:rPr>
                <w:sz w:val="18"/>
              </w:rPr>
            </w:pPr>
            <w:r>
              <w:rPr>
                <w:sz w:val="18"/>
              </w:rPr>
              <w:t>2.541</w:t>
            </w:r>
          </w:p>
        </w:tc>
        <w:tc>
          <w:tcPr>
            <w:tcW w:w="1075" w:type="dxa"/>
            <w:tcBorders>
              <w:end w:val="single" w:sz="4" w:space="0" w:color="000000"/>
            </w:tcBorders>
            <w:vAlign w:val="bottom"/>
          </w:tcPr>
          <w:p>
            <w:pPr>
              <w:pStyle w:val="TableBody"/>
              <w:keepNext w:val="true"/>
              <w:tabs>
                <w:tab w:val="clear" w:pos="720"/>
                <w:tab w:val="decimal" w:pos="426" w:leader="none"/>
              </w:tabs>
              <w:rPr>
                <w:sz w:val="18"/>
              </w:rPr>
            </w:pPr>
            <w:r>
              <w:rPr>
                <w:sz w:val="18"/>
              </w:rPr>
              <w:t>0.49</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Santa Cruz Sur</w:t>
            </w:r>
          </w:p>
        </w:tc>
        <w:tc>
          <w:tcPr>
            <w:tcW w:w="1080" w:type="dxa"/>
            <w:tcBorders/>
            <w:vAlign w:val="bottom"/>
          </w:tcPr>
          <w:p>
            <w:pPr>
              <w:pStyle w:val="TableBody"/>
              <w:keepNext w:val="true"/>
              <w:tabs>
                <w:tab w:val="clear" w:pos="720"/>
                <w:tab w:val="decimal" w:pos="342" w:leader="none"/>
              </w:tabs>
              <w:rPr>
                <w:sz w:val="18"/>
              </w:rPr>
            </w:pPr>
            <w:r>
              <w:rPr>
                <w:sz w:val="18"/>
              </w:rPr>
              <w:t>0.154</w:t>
            </w:r>
          </w:p>
        </w:tc>
        <w:tc>
          <w:tcPr>
            <w:tcW w:w="1224" w:type="dxa"/>
            <w:tcBorders/>
            <w:vAlign w:val="bottom"/>
          </w:tcPr>
          <w:p>
            <w:pPr>
              <w:pStyle w:val="TableBody"/>
              <w:keepNext w:val="true"/>
              <w:tabs>
                <w:tab w:val="clear" w:pos="720"/>
                <w:tab w:val="decimal" w:pos="519" w:leader="none"/>
              </w:tabs>
              <w:rPr>
                <w:sz w:val="18"/>
              </w:rPr>
            </w:pPr>
            <w:r>
              <w:rPr>
                <w:sz w:val="18"/>
              </w:rPr>
              <w:t>5.123</w:t>
            </w:r>
          </w:p>
        </w:tc>
        <w:tc>
          <w:tcPr>
            <w:tcW w:w="1075" w:type="dxa"/>
            <w:tcBorders>
              <w:end w:val="single" w:sz="4" w:space="0" w:color="000000"/>
            </w:tcBorders>
            <w:vAlign w:val="bottom"/>
          </w:tcPr>
          <w:p>
            <w:pPr>
              <w:pStyle w:val="TableBody"/>
              <w:keepNext w:val="true"/>
              <w:tabs>
                <w:tab w:val="clear" w:pos="720"/>
                <w:tab w:val="decimal" w:pos="426" w:leader="none"/>
              </w:tabs>
              <w:rPr>
                <w:sz w:val="18"/>
              </w:rPr>
            </w:pPr>
            <w:r>
              <w:rPr>
                <w:sz w:val="18"/>
              </w:rPr>
              <w:t>0.98</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Chubut Sur</w:t>
            </w:r>
          </w:p>
        </w:tc>
        <w:tc>
          <w:tcPr>
            <w:tcW w:w="1080" w:type="dxa"/>
            <w:tcBorders/>
            <w:vAlign w:val="bottom"/>
          </w:tcPr>
          <w:p>
            <w:pPr>
              <w:pStyle w:val="TableBody"/>
              <w:keepNext w:val="true"/>
              <w:tabs>
                <w:tab w:val="clear" w:pos="720"/>
                <w:tab w:val="decimal" w:pos="342" w:leader="none"/>
              </w:tabs>
              <w:rPr>
                <w:sz w:val="18"/>
              </w:rPr>
            </w:pPr>
            <w:r>
              <w:rPr>
                <w:sz w:val="18"/>
              </w:rPr>
              <w:t>0.392</w:t>
            </w:r>
          </w:p>
        </w:tc>
        <w:tc>
          <w:tcPr>
            <w:tcW w:w="1224" w:type="dxa"/>
            <w:tcBorders/>
            <w:vAlign w:val="bottom"/>
          </w:tcPr>
          <w:p>
            <w:pPr>
              <w:pStyle w:val="TableBody"/>
              <w:keepNext w:val="true"/>
              <w:tabs>
                <w:tab w:val="clear" w:pos="720"/>
                <w:tab w:val="decimal" w:pos="519" w:leader="none"/>
              </w:tabs>
              <w:rPr>
                <w:sz w:val="18"/>
              </w:rPr>
            </w:pPr>
            <w:r>
              <w:rPr>
                <w:sz w:val="18"/>
              </w:rPr>
              <w:t>13.068</w:t>
            </w:r>
          </w:p>
        </w:tc>
        <w:tc>
          <w:tcPr>
            <w:tcW w:w="1075" w:type="dxa"/>
            <w:tcBorders>
              <w:end w:val="single" w:sz="4" w:space="0" w:color="000000"/>
            </w:tcBorders>
            <w:vAlign w:val="bottom"/>
          </w:tcPr>
          <w:p>
            <w:pPr>
              <w:pStyle w:val="TableBody"/>
              <w:keepNext w:val="true"/>
              <w:tabs>
                <w:tab w:val="clear" w:pos="720"/>
                <w:tab w:val="decimal" w:pos="426" w:leader="none"/>
              </w:tabs>
              <w:rPr>
                <w:sz w:val="18"/>
              </w:rPr>
            </w:pPr>
            <w:r>
              <w:rPr>
                <w:sz w:val="18"/>
              </w:rPr>
              <w:t>3.38</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Buenos Aires Sur</w:t>
            </w:r>
          </w:p>
        </w:tc>
        <w:tc>
          <w:tcPr>
            <w:tcW w:w="1080" w:type="dxa"/>
            <w:tcBorders/>
            <w:vAlign w:val="bottom"/>
          </w:tcPr>
          <w:p>
            <w:pPr>
              <w:pStyle w:val="TableBody"/>
              <w:keepNext w:val="true"/>
              <w:tabs>
                <w:tab w:val="clear" w:pos="720"/>
                <w:tab w:val="decimal" w:pos="342" w:leader="none"/>
              </w:tabs>
              <w:rPr>
                <w:sz w:val="18"/>
              </w:rPr>
            </w:pPr>
            <w:r>
              <w:rPr>
                <w:sz w:val="18"/>
              </w:rPr>
              <w:t>0.462</w:t>
            </w:r>
          </w:p>
        </w:tc>
        <w:tc>
          <w:tcPr>
            <w:tcW w:w="1224" w:type="dxa"/>
            <w:tcBorders/>
            <w:vAlign w:val="bottom"/>
          </w:tcPr>
          <w:p>
            <w:pPr>
              <w:pStyle w:val="TableBody"/>
              <w:keepNext w:val="true"/>
              <w:tabs>
                <w:tab w:val="clear" w:pos="720"/>
                <w:tab w:val="decimal" w:pos="519" w:leader="none"/>
              </w:tabs>
              <w:rPr>
                <w:sz w:val="18"/>
              </w:rPr>
            </w:pPr>
            <w:r>
              <w:rPr>
                <w:sz w:val="18"/>
              </w:rPr>
              <w:t>15.396</w:t>
            </w:r>
          </w:p>
        </w:tc>
        <w:tc>
          <w:tcPr>
            <w:tcW w:w="1075" w:type="dxa"/>
            <w:tcBorders>
              <w:end w:val="single" w:sz="4" w:space="0" w:color="000000"/>
            </w:tcBorders>
            <w:vAlign w:val="bottom"/>
          </w:tcPr>
          <w:p>
            <w:pPr>
              <w:pStyle w:val="TableBody"/>
              <w:keepNext w:val="true"/>
              <w:tabs>
                <w:tab w:val="clear" w:pos="720"/>
                <w:tab w:val="decimal" w:pos="426" w:leader="none"/>
              </w:tabs>
              <w:rPr>
                <w:sz w:val="18"/>
              </w:rPr>
            </w:pPr>
            <w:r>
              <w:rPr>
                <w:sz w:val="18"/>
              </w:rPr>
              <w:t>5.60</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Bahía Blanca</w:t>
            </w:r>
          </w:p>
        </w:tc>
        <w:tc>
          <w:tcPr>
            <w:tcW w:w="1080" w:type="dxa"/>
            <w:tcBorders/>
            <w:vAlign w:val="bottom"/>
          </w:tcPr>
          <w:p>
            <w:pPr>
              <w:pStyle w:val="TableBody"/>
              <w:keepNext w:val="true"/>
              <w:tabs>
                <w:tab w:val="clear" w:pos="720"/>
                <w:tab w:val="decimal" w:pos="342" w:leader="none"/>
              </w:tabs>
              <w:rPr>
                <w:sz w:val="18"/>
              </w:rPr>
            </w:pPr>
            <w:r>
              <w:rPr>
                <w:sz w:val="18"/>
              </w:rPr>
              <w:t>0.707</w:t>
            </w:r>
          </w:p>
        </w:tc>
        <w:tc>
          <w:tcPr>
            <w:tcW w:w="1224" w:type="dxa"/>
            <w:tcBorders/>
            <w:vAlign w:val="bottom"/>
          </w:tcPr>
          <w:p>
            <w:pPr>
              <w:pStyle w:val="TableBody"/>
              <w:keepNext w:val="true"/>
              <w:tabs>
                <w:tab w:val="clear" w:pos="720"/>
                <w:tab w:val="decimal" w:pos="519" w:leader="none"/>
              </w:tabs>
              <w:rPr>
                <w:sz w:val="18"/>
              </w:rPr>
            </w:pPr>
            <w:r>
              <w:rPr>
                <w:sz w:val="18"/>
              </w:rPr>
              <w:t>23.583</w:t>
            </w:r>
          </w:p>
        </w:tc>
        <w:tc>
          <w:tcPr>
            <w:tcW w:w="1075" w:type="dxa"/>
            <w:tcBorders>
              <w:end w:val="single" w:sz="4" w:space="0" w:color="000000"/>
            </w:tcBorders>
            <w:vAlign w:val="bottom"/>
          </w:tcPr>
          <w:p>
            <w:pPr>
              <w:pStyle w:val="TableBody"/>
              <w:keepNext w:val="true"/>
              <w:tabs>
                <w:tab w:val="clear" w:pos="720"/>
                <w:tab w:val="decimal" w:pos="426" w:leader="none"/>
              </w:tabs>
              <w:rPr>
                <w:sz w:val="18"/>
              </w:rPr>
            </w:pPr>
            <w:r>
              <w:rPr>
                <w:sz w:val="18"/>
              </w:rPr>
              <w:t>8.40</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La Pampa Norte</w:t>
            </w:r>
          </w:p>
        </w:tc>
        <w:tc>
          <w:tcPr>
            <w:tcW w:w="1080" w:type="dxa"/>
            <w:tcBorders/>
            <w:vAlign w:val="bottom"/>
          </w:tcPr>
          <w:p>
            <w:pPr>
              <w:pStyle w:val="TableBody"/>
              <w:keepNext w:val="true"/>
              <w:tabs>
                <w:tab w:val="clear" w:pos="720"/>
                <w:tab w:val="decimal" w:pos="342" w:leader="none"/>
              </w:tabs>
              <w:rPr>
                <w:sz w:val="18"/>
              </w:rPr>
            </w:pPr>
            <w:r>
              <w:rPr>
                <w:sz w:val="18"/>
              </w:rPr>
              <w:t>0.705</w:t>
            </w:r>
          </w:p>
        </w:tc>
        <w:tc>
          <w:tcPr>
            <w:tcW w:w="1224" w:type="dxa"/>
            <w:tcBorders/>
            <w:vAlign w:val="bottom"/>
          </w:tcPr>
          <w:p>
            <w:pPr>
              <w:pStyle w:val="TableBody"/>
              <w:keepNext w:val="true"/>
              <w:tabs>
                <w:tab w:val="clear" w:pos="720"/>
                <w:tab w:val="decimal" w:pos="519" w:leader="none"/>
              </w:tabs>
              <w:rPr>
                <w:sz w:val="18"/>
              </w:rPr>
            </w:pPr>
            <w:r>
              <w:rPr>
                <w:sz w:val="18"/>
              </w:rPr>
              <w:t>23.500</w:t>
            </w:r>
          </w:p>
        </w:tc>
        <w:tc>
          <w:tcPr>
            <w:tcW w:w="1075" w:type="dxa"/>
            <w:tcBorders>
              <w:end w:val="single" w:sz="4" w:space="0" w:color="000000"/>
            </w:tcBorders>
            <w:vAlign w:val="bottom"/>
          </w:tcPr>
          <w:p>
            <w:pPr>
              <w:pStyle w:val="TableBody"/>
              <w:keepNext w:val="true"/>
              <w:tabs>
                <w:tab w:val="clear" w:pos="720"/>
                <w:tab w:val="decimal" w:pos="426" w:leader="none"/>
              </w:tabs>
              <w:rPr>
                <w:sz w:val="18"/>
              </w:rPr>
            </w:pPr>
            <w:r>
              <w:rPr>
                <w:sz w:val="18"/>
              </w:rPr>
              <w:t>8.60</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Buenos Aires</w:t>
            </w:r>
          </w:p>
        </w:tc>
        <w:tc>
          <w:tcPr>
            <w:tcW w:w="1080" w:type="dxa"/>
            <w:tcBorders/>
          </w:tcPr>
          <w:p>
            <w:pPr>
              <w:pStyle w:val="TableBody"/>
              <w:keepNext w:val="true"/>
              <w:tabs>
                <w:tab w:val="clear" w:pos="720"/>
                <w:tab w:val="decimal" w:pos="342" w:leader="none"/>
              </w:tabs>
              <w:rPr>
                <w:sz w:val="18"/>
              </w:rPr>
            </w:pPr>
            <w:r>
              <w:rPr>
                <w:sz w:val="18"/>
              </w:rPr>
              <w:t>0.828</w:t>
            </w:r>
          </w:p>
        </w:tc>
        <w:tc>
          <w:tcPr>
            <w:tcW w:w="1224" w:type="dxa"/>
            <w:tcBorders/>
          </w:tcPr>
          <w:p>
            <w:pPr>
              <w:pStyle w:val="TableBody"/>
              <w:keepNext w:val="true"/>
              <w:tabs>
                <w:tab w:val="clear" w:pos="720"/>
                <w:tab w:val="decimal" w:pos="519" w:leader="none"/>
              </w:tabs>
              <w:rPr>
                <w:sz w:val="18"/>
              </w:rPr>
            </w:pPr>
            <w:r>
              <w:rPr>
                <w:sz w:val="18"/>
              </w:rPr>
              <w:t>27.593</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10.35</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Greater Buenos Aires</w:t>
            </w:r>
          </w:p>
        </w:tc>
        <w:tc>
          <w:tcPr>
            <w:tcW w:w="1080" w:type="dxa"/>
            <w:tcBorders/>
          </w:tcPr>
          <w:p>
            <w:pPr>
              <w:pStyle w:val="TableBody"/>
              <w:keepNext w:val="true"/>
              <w:tabs>
                <w:tab w:val="clear" w:pos="720"/>
                <w:tab w:val="decimal" w:pos="342" w:leader="none"/>
              </w:tabs>
              <w:rPr>
                <w:sz w:val="18"/>
              </w:rPr>
            </w:pPr>
            <w:r>
              <w:rPr>
                <w:sz w:val="18"/>
              </w:rPr>
              <w:t>0.929</w:t>
            </w:r>
          </w:p>
        </w:tc>
        <w:tc>
          <w:tcPr>
            <w:tcW w:w="1224" w:type="dxa"/>
            <w:tcBorders/>
          </w:tcPr>
          <w:p>
            <w:pPr>
              <w:pStyle w:val="TableBody"/>
              <w:keepNext w:val="true"/>
              <w:tabs>
                <w:tab w:val="clear" w:pos="720"/>
                <w:tab w:val="decimal" w:pos="519" w:leader="none"/>
              </w:tabs>
              <w:rPr>
                <w:sz w:val="18"/>
              </w:rPr>
            </w:pPr>
            <w:r>
              <w:rPr>
                <w:sz w:val="18"/>
              </w:rPr>
              <w:t>30.959</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11.27</w:t>
            </w:r>
          </w:p>
        </w:tc>
      </w:tr>
      <w:tr>
        <w:trPr/>
        <w:tc>
          <w:tcPr>
            <w:tcW w:w="1850" w:type="dxa"/>
            <w:tcBorders>
              <w:start w:val="single" w:sz="4" w:space="0" w:color="000000"/>
            </w:tcBorders>
          </w:tcPr>
          <w:p>
            <w:pPr>
              <w:pStyle w:val="TableSpacer"/>
              <w:keepNext w:val="true"/>
              <w:snapToGrid w:val="false"/>
              <w:spacing w:lineRule="exact" w:line="80"/>
              <w:rPr>
                <w:sz w:val="18"/>
              </w:rPr>
            </w:pPr>
            <w:r>
              <w:rPr>
                <w:sz w:val="18"/>
              </w:rPr>
            </w:r>
          </w:p>
        </w:tc>
        <w:tc>
          <w:tcPr>
            <w:tcW w:w="1530" w:type="dxa"/>
            <w:tcBorders/>
          </w:tcPr>
          <w:p>
            <w:pPr>
              <w:pStyle w:val="TableSpacer"/>
              <w:keepNext w:val="true"/>
              <w:snapToGrid w:val="false"/>
              <w:spacing w:lineRule="exact" w:line="80"/>
              <w:rPr/>
            </w:pPr>
            <w:r>
              <w:rPr/>
            </w:r>
          </w:p>
        </w:tc>
        <w:tc>
          <w:tcPr>
            <w:tcW w:w="1080" w:type="dxa"/>
            <w:tcBorders/>
          </w:tcPr>
          <w:p>
            <w:pPr>
              <w:pStyle w:val="TableSpacer"/>
              <w:keepNext w:val="true"/>
              <w:snapToGrid w:val="false"/>
              <w:spacing w:lineRule="exact" w:line="80"/>
              <w:rPr/>
            </w:pPr>
            <w:r>
              <w:rPr/>
            </w:r>
          </w:p>
        </w:tc>
        <w:tc>
          <w:tcPr>
            <w:tcW w:w="1224" w:type="dxa"/>
            <w:tcBorders/>
          </w:tcPr>
          <w:p>
            <w:pPr>
              <w:pStyle w:val="TableSpacer"/>
              <w:keepNext w:val="true"/>
              <w:snapToGrid w:val="false"/>
              <w:spacing w:lineRule="exact" w:line="80"/>
              <w:rPr/>
            </w:pPr>
            <w:r>
              <w:rPr/>
            </w:r>
          </w:p>
        </w:tc>
        <w:tc>
          <w:tcPr>
            <w:tcW w:w="1075" w:type="dxa"/>
            <w:tcBorders>
              <w:end w:val="single" w:sz="4" w:space="0" w:color="000000"/>
            </w:tcBorders>
          </w:tcPr>
          <w:p>
            <w:pPr>
              <w:pStyle w:val="TableSpacer"/>
              <w:keepNext w:val="true"/>
              <w:snapToGrid w:val="false"/>
              <w:spacing w:lineRule="exact" w:line="80"/>
              <w:rPr/>
            </w:pPr>
            <w:r>
              <w:rPr/>
            </w:r>
          </w:p>
        </w:tc>
      </w:tr>
      <w:tr>
        <w:trPr/>
        <w:tc>
          <w:tcPr>
            <w:tcW w:w="1850" w:type="dxa"/>
            <w:tcBorders>
              <w:start w:val="single" w:sz="4" w:space="0" w:color="000000"/>
            </w:tcBorders>
          </w:tcPr>
          <w:p>
            <w:pPr>
              <w:pStyle w:val="TableBody"/>
              <w:keepNext w:val="true"/>
              <w:rPr>
                <w:sz w:val="18"/>
              </w:rPr>
            </w:pPr>
            <w:r>
              <w:rPr>
                <w:sz w:val="18"/>
              </w:rPr>
              <w:t>From Santa Cruz Sur to:</w:t>
            </w:r>
          </w:p>
        </w:tc>
        <w:tc>
          <w:tcPr>
            <w:tcW w:w="1530" w:type="dxa"/>
            <w:tcBorders/>
          </w:tcPr>
          <w:p>
            <w:pPr>
              <w:pStyle w:val="TableBody"/>
              <w:keepNext w:val="true"/>
              <w:rPr>
                <w:sz w:val="18"/>
              </w:rPr>
            </w:pPr>
            <w:r>
              <w:rPr>
                <w:sz w:val="18"/>
              </w:rPr>
              <w:t>Santa Cruz Sur</w:t>
            </w:r>
          </w:p>
        </w:tc>
        <w:tc>
          <w:tcPr>
            <w:tcW w:w="1080" w:type="dxa"/>
            <w:tcBorders/>
          </w:tcPr>
          <w:p>
            <w:pPr>
              <w:pStyle w:val="TableBody"/>
              <w:keepNext w:val="true"/>
              <w:tabs>
                <w:tab w:val="clear" w:pos="720"/>
                <w:tab w:val="decimal" w:pos="342" w:leader="none"/>
              </w:tabs>
              <w:rPr>
                <w:sz w:val="18"/>
              </w:rPr>
            </w:pPr>
            <w:r>
              <w:rPr>
                <w:sz w:val="18"/>
              </w:rPr>
              <w:t>0.077</w:t>
            </w:r>
          </w:p>
        </w:tc>
        <w:tc>
          <w:tcPr>
            <w:tcW w:w="1224" w:type="dxa"/>
            <w:tcBorders/>
          </w:tcPr>
          <w:p>
            <w:pPr>
              <w:pStyle w:val="TableBody"/>
              <w:keepNext w:val="true"/>
              <w:tabs>
                <w:tab w:val="clear" w:pos="720"/>
                <w:tab w:val="decimal" w:pos="519" w:leader="none"/>
              </w:tabs>
              <w:rPr>
                <w:sz w:val="18"/>
              </w:rPr>
            </w:pPr>
            <w:r>
              <w:rPr>
                <w:sz w:val="18"/>
              </w:rPr>
              <w:t>2.575</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0.49</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Chubut Sur</w:t>
            </w:r>
          </w:p>
        </w:tc>
        <w:tc>
          <w:tcPr>
            <w:tcW w:w="1080" w:type="dxa"/>
            <w:tcBorders/>
          </w:tcPr>
          <w:p>
            <w:pPr>
              <w:pStyle w:val="TableBody"/>
              <w:keepNext w:val="true"/>
              <w:tabs>
                <w:tab w:val="clear" w:pos="720"/>
                <w:tab w:val="decimal" w:pos="342" w:leader="none"/>
              </w:tabs>
              <w:rPr>
                <w:sz w:val="18"/>
              </w:rPr>
            </w:pPr>
            <w:r>
              <w:rPr>
                <w:sz w:val="18"/>
              </w:rPr>
              <w:t>0.315</w:t>
            </w:r>
          </w:p>
        </w:tc>
        <w:tc>
          <w:tcPr>
            <w:tcW w:w="1224" w:type="dxa"/>
            <w:tcBorders/>
          </w:tcPr>
          <w:p>
            <w:pPr>
              <w:pStyle w:val="TableBody"/>
              <w:keepNext w:val="true"/>
              <w:tabs>
                <w:tab w:val="clear" w:pos="720"/>
                <w:tab w:val="decimal" w:pos="519" w:leader="none"/>
              </w:tabs>
              <w:rPr>
                <w:sz w:val="18"/>
              </w:rPr>
            </w:pPr>
            <w:r>
              <w:rPr>
                <w:sz w:val="18"/>
              </w:rPr>
              <w:t>10.508</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2.89</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Buenos Aires Sur</w:t>
            </w:r>
          </w:p>
        </w:tc>
        <w:tc>
          <w:tcPr>
            <w:tcW w:w="1080" w:type="dxa"/>
            <w:tcBorders/>
          </w:tcPr>
          <w:p>
            <w:pPr>
              <w:pStyle w:val="TableBody"/>
              <w:keepNext w:val="true"/>
              <w:tabs>
                <w:tab w:val="clear" w:pos="720"/>
                <w:tab w:val="decimal" w:pos="342" w:leader="none"/>
              </w:tabs>
              <w:rPr>
                <w:sz w:val="18"/>
              </w:rPr>
            </w:pPr>
            <w:r>
              <w:rPr>
                <w:sz w:val="18"/>
              </w:rPr>
              <w:t>0.385</w:t>
            </w:r>
          </w:p>
        </w:tc>
        <w:tc>
          <w:tcPr>
            <w:tcW w:w="1224" w:type="dxa"/>
            <w:tcBorders/>
          </w:tcPr>
          <w:p>
            <w:pPr>
              <w:pStyle w:val="TableBody"/>
              <w:keepNext w:val="true"/>
              <w:tabs>
                <w:tab w:val="clear" w:pos="720"/>
                <w:tab w:val="decimal" w:pos="519" w:leader="none"/>
              </w:tabs>
              <w:rPr>
                <w:sz w:val="18"/>
              </w:rPr>
            </w:pPr>
            <w:r>
              <w:rPr>
                <w:sz w:val="18"/>
              </w:rPr>
              <w:t>12.841</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5.11</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Bahía Blanca</w:t>
            </w:r>
          </w:p>
        </w:tc>
        <w:tc>
          <w:tcPr>
            <w:tcW w:w="1080" w:type="dxa"/>
            <w:tcBorders/>
          </w:tcPr>
          <w:p>
            <w:pPr>
              <w:pStyle w:val="TableBody"/>
              <w:keepNext w:val="true"/>
              <w:tabs>
                <w:tab w:val="clear" w:pos="720"/>
                <w:tab w:val="decimal" w:pos="342" w:leader="none"/>
              </w:tabs>
              <w:rPr>
                <w:sz w:val="18"/>
              </w:rPr>
            </w:pPr>
            <w:r>
              <w:rPr>
                <w:sz w:val="18"/>
              </w:rPr>
              <w:t>0.632</w:t>
            </w:r>
          </w:p>
        </w:tc>
        <w:tc>
          <w:tcPr>
            <w:tcW w:w="1224" w:type="dxa"/>
            <w:tcBorders/>
          </w:tcPr>
          <w:p>
            <w:pPr>
              <w:pStyle w:val="TableBody"/>
              <w:keepNext w:val="true"/>
              <w:tabs>
                <w:tab w:val="clear" w:pos="720"/>
                <w:tab w:val="decimal" w:pos="519" w:leader="none"/>
              </w:tabs>
              <w:rPr>
                <w:sz w:val="18"/>
              </w:rPr>
            </w:pPr>
            <w:r>
              <w:rPr>
                <w:sz w:val="18"/>
              </w:rPr>
              <w:t>21.071</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7.91</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La Pampa Norte</w:t>
            </w:r>
          </w:p>
        </w:tc>
        <w:tc>
          <w:tcPr>
            <w:tcW w:w="1080" w:type="dxa"/>
            <w:tcBorders/>
          </w:tcPr>
          <w:p>
            <w:pPr>
              <w:pStyle w:val="TableBody"/>
              <w:keepNext w:val="true"/>
              <w:tabs>
                <w:tab w:val="clear" w:pos="720"/>
                <w:tab w:val="decimal" w:pos="342" w:leader="none"/>
              </w:tabs>
              <w:rPr>
                <w:sz w:val="18"/>
              </w:rPr>
            </w:pPr>
            <w:r>
              <w:rPr>
                <w:sz w:val="18"/>
              </w:rPr>
              <w:t>0.632</w:t>
            </w:r>
          </w:p>
        </w:tc>
        <w:tc>
          <w:tcPr>
            <w:tcW w:w="1224" w:type="dxa"/>
            <w:tcBorders/>
          </w:tcPr>
          <w:p>
            <w:pPr>
              <w:pStyle w:val="TableBody"/>
              <w:keepNext w:val="true"/>
              <w:tabs>
                <w:tab w:val="clear" w:pos="720"/>
                <w:tab w:val="decimal" w:pos="519" w:leader="none"/>
              </w:tabs>
              <w:rPr>
                <w:sz w:val="18"/>
              </w:rPr>
            </w:pPr>
            <w:r>
              <w:rPr>
                <w:sz w:val="18"/>
              </w:rPr>
              <w:t>21.067</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8.11</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Buenos Aires</w:t>
            </w:r>
          </w:p>
        </w:tc>
        <w:tc>
          <w:tcPr>
            <w:tcW w:w="1080" w:type="dxa"/>
            <w:tcBorders/>
          </w:tcPr>
          <w:p>
            <w:pPr>
              <w:pStyle w:val="TableBody"/>
              <w:keepNext w:val="true"/>
              <w:tabs>
                <w:tab w:val="clear" w:pos="720"/>
                <w:tab w:val="decimal" w:pos="342" w:leader="none"/>
              </w:tabs>
              <w:rPr>
                <w:sz w:val="18"/>
              </w:rPr>
            </w:pPr>
            <w:r>
              <w:rPr>
                <w:sz w:val="18"/>
              </w:rPr>
              <w:t>0.753</w:t>
            </w:r>
          </w:p>
        </w:tc>
        <w:tc>
          <w:tcPr>
            <w:tcW w:w="1224" w:type="dxa"/>
            <w:tcBorders/>
          </w:tcPr>
          <w:p>
            <w:pPr>
              <w:pStyle w:val="TableBody"/>
              <w:keepNext w:val="true"/>
              <w:tabs>
                <w:tab w:val="clear" w:pos="720"/>
                <w:tab w:val="decimal" w:pos="519" w:leader="none"/>
              </w:tabs>
              <w:rPr>
                <w:sz w:val="18"/>
              </w:rPr>
            </w:pPr>
            <w:r>
              <w:rPr>
                <w:sz w:val="18"/>
              </w:rPr>
              <w:t>25.093</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9.86</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Greater Buenos Aires</w:t>
            </w:r>
          </w:p>
        </w:tc>
        <w:tc>
          <w:tcPr>
            <w:tcW w:w="1080" w:type="dxa"/>
            <w:tcBorders/>
          </w:tcPr>
          <w:p>
            <w:pPr>
              <w:pStyle w:val="TableBody"/>
              <w:keepNext w:val="true"/>
              <w:tabs>
                <w:tab w:val="clear" w:pos="720"/>
                <w:tab w:val="decimal" w:pos="342" w:leader="none"/>
              </w:tabs>
              <w:rPr>
                <w:sz w:val="18"/>
              </w:rPr>
            </w:pPr>
            <w:r>
              <w:rPr>
                <w:sz w:val="18"/>
              </w:rPr>
              <w:t>0.854</w:t>
            </w:r>
          </w:p>
        </w:tc>
        <w:tc>
          <w:tcPr>
            <w:tcW w:w="1224" w:type="dxa"/>
            <w:tcBorders/>
          </w:tcPr>
          <w:p>
            <w:pPr>
              <w:pStyle w:val="TableBody"/>
              <w:keepNext w:val="true"/>
              <w:tabs>
                <w:tab w:val="clear" w:pos="720"/>
                <w:tab w:val="decimal" w:pos="519" w:leader="none"/>
              </w:tabs>
              <w:rPr>
                <w:sz w:val="18"/>
              </w:rPr>
            </w:pPr>
            <w:r>
              <w:rPr>
                <w:sz w:val="18"/>
              </w:rPr>
              <w:t>28.470</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10.78</w:t>
            </w:r>
          </w:p>
        </w:tc>
      </w:tr>
      <w:tr>
        <w:trPr/>
        <w:tc>
          <w:tcPr>
            <w:tcW w:w="1850" w:type="dxa"/>
            <w:tcBorders>
              <w:start w:val="single" w:sz="4" w:space="0" w:color="000000"/>
            </w:tcBorders>
          </w:tcPr>
          <w:p>
            <w:pPr>
              <w:pStyle w:val="TableSpacer"/>
              <w:keepNext w:val="true"/>
              <w:snapToGrid w:val="false"/>
              <w:spacing w:lineRule="exact" w:line="80"/>
              <w:rPr>
                <w:sz w:val="18"/>
              </w:rPr>
            </w:pPr>
            <w:r>
              <w:rPr>
                <w:sz w:val="18"/>
              </w:rPr>
            </w:r>
          </w:p>
        </w:tc>
        <w:tc>
          <w:tcPr>
            <w:tcW w:w="1530" w:type="dxa"/>
            <w:tcBorders/>
          </w:tcPr>
          <w:p>
            <w:pPr>
              <w:pStyle w:val="TableSpacer"/>
              <w:keepNext w:val="true"/>
              <w:snapToGrid w:val="false"/>
              <w:spacing w:lineRule="exact" w:line="80"/>
              <w:rPr/>
            </w:pPr>
            <w:r>
              <w:rPr/>
            </w:r>
          </w:p>
        </w:tc>
        <w:tc>
          <w:tcPr>
            <w:tcW w:w="1080" w:type="dxa"/>
            <w:tcBorders/>
          </w:tcPr>
          <w:p>
            <w:pPr>
              <w:pStyle w:val="TableSpacer"/>
              <w:keepNext w:val="true"/>
              <w:snapToGrid w:val="false"/>
              <w:spacing w:lineRule="exact" w:line="80"/>
              <w:rPr/>
            </w:pPr>
            <w:r>
              <w:rPr/>
            </w:r>
          </w:p>
        </w:tc>
        <w:tc>
          <w:tcPr>
            <w:tcW w:w="1224" w:type="dxa"/>
            <w:tcBorders/>
          </w:tcPr>
          <w:p>
            <w:pPr>
              <w:pStyle w:val="TableSpacer"/>
              <w:keepNext w:val="true"/>
              <w:snapToGrid w:val="false"/>
              <w:spacing w:lineRule="exact" w:line="80"/>
              <w:rPr/>
            </w:pPr>
            <w:r>
              <w:rPr/>
            </w:r>
          </w:p>
        </w:tc>
        <w:tc>
          <w:tcPr>
            <w:tcW w:w="1075" w:type="dxa"/>
            <w:tcBorders>
              <w:end w:val="single" w:sz="4" w:space="0" w:color="000000"/>
            </w:tcBorders>
          </w:tcPr>
          <w:p>
            <w:pPr>
              <w:pStyle w:val="TableSpacer"/>
              <w:keepNext w:val="true"/>
              <w:snapToGrid w:val="false"/>
              <w:spacing w:lineRule="exact" w:line="80"/>
              <w:rPr/>
            </w:pPr>
            <w:r>
              <w:rPr/>
            </w:r>
          </w:p>
        </w:tc>
      </w:tr>
      <w:tr>
        <w:trPr/>
        <w:tc>
          <w:tcPr>
            <w:tcW w:w="1850" w:type="dxa"/>
            <w:tcBorders>
              <w:start w:val="single" w:sz="4" w:space="0" w:color="000000"/>
            </w:tcBorders>
          </w:tcPr>
          <w:p>
            <w:pPr>
              <w:pStyle w:val="TableBody"/>
              <w:keepNext w:val="true"/>
              <w:rPr>
                <w:sz w:val="18"/>
              </w:rPr>
            </w:pPr>
            <w:r>
              <w:rPr>
                <w:sz w:val="18"/>
              </w:rPr>
              <w:t>From Chubut to:</w:t>
            </w:r>
          </w:p>
        </w:tc>
        <w:tc>
          <w:tcPr>
            <w:tcW w:w="1530" w:type="dxa"/>
            <w:tcBorders/>
          </w:tcPr>
          <w:p>
            <w:pPr>
              <w:pStyle w:val="TableBody"/>
              <w:keepNext w:val="true"/>
              <w:rPr>
                <w:sz w:val="18"/>
              </w:rPr>
            </w:pPr>
            <w:r>
              <w:rPr>
                <w:sz w:val="18"/>
              </w:rPr>
              <w:t>Chubut Sir</w:t>
            </w:r>
          </w:p>
        </w:tc>
        <w:tc>
          <w:tcPr>
            <w:tcW w:w="1080" w:type="dxa"/>
            <w:tcBorders/>
          </w:tcPr>
          <w:p>
            <w:pPr>
              <w:pStyle w:val="TableBody"/>
              <w:keepNext w:val="true"/>
              <w:tabs>
                <w:tab w:val="clear" w:pos="720"/>
                <w:tab w:val="decimal" w:pos="342" w:leader="none"/>
              </w:tabs>
              <w:rPr>
                <w:sz w:val="18"/>
              </w:rPr>
            </w:pPr>
            <w:r>
              <w:rPr>
                <w:sz w:val="18"/>
              </w:rPr>
              <w:t>0.077</w:t>
            </w:r>
          </w:p>
        </w:tc>
        <w:tc>
          <w:tcPr>
            <w:tcW w:w="1224" w:type="dxa"/>
            <w:tcBorders/>
          </w:tcPr>
          <w:p>
            <w:pPr>
              <w:pStyle w:val="TableBody"/>
              <w:keepNext w:val="true"/>
              <w:tabs>
                <w:tab w:val="clear" w:pos="720"/>
                <w:tab w:val="decimal" w:pos="519" w:leader="none"/>
              </w:tabs>
              <w:rPr>
                <w:sz w:val="18"/>
              </w:rPr>
            </w:pPr>
            <w:r>
              <w:rPr>
                <w:sz w:val="18"/>
              </w:rPr>
              <w:t>2.554</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0.49</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Buenos Aires Sur</w:t>
            </w:r>
          </w:p>
        </w:tc>
        <w:tc>
          <w:tcPr>
            <w:tcW w:w="1080" w:type="dxa"/>
            <w:tcBorders/>
          </w:tcPr>
          <w:p>
            <w:pPr>
              <w:pStyle w:val="TableBody"/>
              <w:keepNext w:val="true"/>
              <w:tabs>
                <w:tab w:val="clear" w:pos="720"/>
                <w:tab w:val="decimal" w:pos="342" w:leader="none"/>
              </w:tabs>
              <w:rPr>
                <w:sz w:val="18"/>
              </w:rPr>
            </w:pPr>
            <w:r>
              <w:rPr>
                <w:sz w:val="18"/>
              </w:rPr>
              <w:t>0.144</w:t>
            </w:r>
          </w:p>
        </w:tc>
        <w:tc>
          <w:tcPr>
            <w:tcW w:w="1224" w:type="dxa"/>
            <w:tcBorders/>
          </w:tcPr>
          <w:p>
            <w:pPr>
              <w:pStyle w:val="TableBody"/>
              <w:keepNext w:val="true"/>
              <w:tabs>
                <w:tab w:val="clear" w:pos="720"/>
                <w:tab w:val="decimal" w:pos="519" w:leader="none"/>
              </w:tabs>
              <w:rPr>
                <w:sz w:val="18"/>
              </w:rPr>
            </w:pPr>
            <w:r>
              <w:rPr>
                <w:sz w:val="18"/>
              </w:rPr>
              <w:t>4.788</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2.71</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Bahía Blanca</w:t>
            </w:r>
          </w:p>
        </w:tc>
        <w:tc>
          <w:tcPr>
            <w:tcW w:w="1080" w:type="dxa"/>
            <w:tcBorders/>
          </w:tcPr>
          <w:p>
            <w:pPr>
              <w:pStyle w:val="TableBody"/>
              <w:keepNext w:val="true"/>
              <w:tabs>
                <w:tab w:val="clear" w:pos="720"/>
                <w:tab w:val="decimal" w:pos="342" w:leader="none"/>
              </w:tabs>
              <w:rPr>
                <w:sz w:val="18"/>
              </w:rPr>
            </w:pPr>
            <w:r>
              <w:rPr>
                <w:sz w:val="18"/>
              </w:rPr>
              <w:t>0.383</w:t>
            </w:r>
          </w:p>
        </w:tc>
        <w:tc>
          <w:tcPr>
            <w:tcW w:w="1224" w:type="dxa"/>
            <w:tcBorders/>
          </w:tcPr>
          <w:p>
            <w:pPr>
              <w:pStyle w:val="TableBody"/>
              <w:keepNext w:val="true"/>
              <w:tabs>
                <w:tab w:val="clear" w:pos="720"/>
                <w:tab w:val="decimal" w:pos="519" w:leader="none"/>
              </w:tabs>
              <w:rPr>
                <w:sz w:val="18"/>
              </w:rPr>
            </w:pPr>
            <w:r>
              <w:rPr>
                <w:sz w:val="18"/>
              </w:rPr>
              <w:t>12.768</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5.51</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La Pampa Norte</w:t>
            </w:r>
          </w:p>
        </w:tc>
        <w:tc>
          <w:tcPr>
            <w:tcW w:w="1080" w:type="dxa"/>
            <w:tcBorders/>
          </w:tcPr>
          <w:p>
            <w:pPr>
              <w:pStyle w:val="TableBody"/>
              <w:keepNext w:val="true"/>
              <w:tabs>
                <w:tab w:val="clear" w:pos="720"/>
                <w:tab w:val="decimal" w:pos="342" w:leader="none"/>
              </w:tabs>
              <w:rPr>
                <w:sz w:val="18"/>
              </w:rPr>
            </w:pPr>
            <w:r>
              <w:rPr>
                <w:sz w:val="18"/>
              </w:rPr>
              <w:t>0.402</w:t>
            </w:r>
          </w:p>
        </w:tc>
        <w:tc>
          <w:tcPr>
            <w:tcW w:w="1224" w:type="dxa"/>
            <w:tcBorders/>
          </w:tcPr>
          <w:p>
            <w:pPr>
              <w:pStyle w:val="TableBody"/>
              <w:keepNext w:val="true"/>
              <w:tabs>
                <w:tab w:val="clear" w:pos="720"/>
                <w:tab w:val="decimal" w:pos="519" w:leader="none"/>
              </w:tabs>
              <w:rPr>
                <w:sz w:val="18"/>
              </w:rPr>
            </w:pPr>
            <w:r>
              <w:rPr>
                <w:sz w:val="18"/>
              </w:rPr>
              <w:t>13.406</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5.71</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Buenos Aires</w:t>
            </w:r>
          </w:p>
        </w:tc>
        <w:tc>
          <w:tcPr>
            <w:tcW w:w="1080" w:type="dxa"/>
            <w:tcBorders/>
          </w:tcPr>
          <w:p>
            <w:pPr>
              <w:pStyle w:val="TableBody"/>
              <w:keepNext w:val="true"/>
              <w:tabs>
                <w:tab w:val="clear" w:pos="720"/>
                <w:tab w:val="decimal" w:pos="342" w:leader="none"/>
              </w:tabs>
              <w:rPr>
                <w:sz w:val="18"/>
              </w:rPr>
            </w:pPr>
            <w:r>
              <w:rPr>
                <w:sz w:val="18"/>
              </w:rPr>
              <w:t>0.498</w:t>
            </w:r>
          </w:p>
        </w:tc>
        <w:tc>
          <w:tcPr>
            <w:tcW w:w="1224" w:type="dxa"/>
            <w:tcBorders/>
          </w:tcPr>
          <w:p>
            <w:pPr>
              <w:pStyle w:val="TableBody"/>
              <w:keepNext w:val="true"/>
              <w:tabs>
                <w:tab w:val="clear" w:pos="720"/>
                <w:tab w:val="decimal" w:pos="519" w:leader="none"/>
              </w:tabs>
              <w:rPr>
                <w:sz w:val="18"/>
              </w:rPr>
            </w:pPr>
            <w:r>
              <w:rPr>
                <w:sz w:val="18"/>
              </w:rPr>
              <w:t>16.598</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7.46</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Greater Buenos Aires</w:t>
            </w:r>
          </w:p>
        </w:tc>
        <w:tc>
          <w:tcPr>
            <w:tcW w:w="1080" w:type="dxa"/>
            <w:tcBorders/>
          </w:tcPr>
          <w:p>
            <w:pPr>
              <w:pStyle w:val="TableBody"/>
              <w:keepNext w:val="true"/>
              <w:tabs>
                <w:tab w:val="clear" w:pos="720"/>
                <w:tab w:val="decimal" w:pos="342" w:leader="none"/>
              </w:tabs>
              <w:rPr>
                <w:sz w:val="18"/>
              </w:rPr>
            </w:pPr>
            <w:r>
              <w:rPr>
                <w:sz w:val="18"/>
              </w:rPr>
              <w:t>0.594</w:t>
            </w:r>
          </w:p>
        </w:tc>
        <w:tc>
          <w:tcPr>
            <w:tcW w:w="1224" w:type="dxa"/>
            <w:tcBorders/>
          </w:tcPr>
          <w:p>
            <w:pPr>
              <w:pStyle w:val="TableBody"/>
              <w:keepNext w:val="true"/>
              <w:tabs>
                <w:tab w:val="clear" w:pos="720"/>
                <w:tab w:val="decimal" w:pos="519" w:leader="none"/>
              </w:tabs>
              <w:rPr>
                <w:sz w:val="18"/>
              </w:rPr>
            </w:pPr>
            <w:r>
              <w:rPr>
                <w:sz w:val="18"/>
              </w:rPr>
              <w:t>19.790</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8.38</w:t>
            </w:r>
          </w:p>
        </w:tc>
      </w:tr>
      <w:tr>
        <w:trPr/>
        <w:tc>
          <w:tcPr>
            <w:tcW w:w="1850" w:type="dxa"/>
            <w:tcBorders>
              <w:start w:val="single" w:sz="4" w:space="0" w:color="000000"/>
            </w:tcBorders>
          </w:tcPr>
          <w:p>
            <w:pPr>
              <w:pStyle w:val="TableSpacer"/>
              <w:keepNext w:val="true"/>
              <w:snapToGrid w:val="false"/>
              <w:spacing w:lineRule="exact" w:line="80"/>
              <w:rPr>
                <w:sz w:val="18"/>
              </w:rPr>
            </w:pPr>
            <w:r>
              <w:rPr>
                <w:sz w:val="18"/>
              </w:rPr>
            </w:r>
          </w:p>
        </w:tc>
        <w:tc>
          <w:tcPr>
            <w:tcW w:w="1530" w:type="dxa"/>
            <w:tcBorders/>
          </w:tcPr>
          <w:p>
            <w:pPr>
              <w:pStyle w:val="TableSpacer"/>
              <w:keepNext w:val="true"/>
              <w:snapToGrid w:val="false"/>
              <w:spacing w:lineRule="exact" w:line="80"/>
              <w:rPr/>
            </w:pPr>
            <w:r>
              <w:rPr/>
            </w:r>
          </w:p>
        </w:tc>
        <w:tc>
          <w:tcPr>
            <w:tcW w:w="1080" w:type="dxa"/>
            <w:tcBorders/>
          </w:tcPr>
          <w:p>
            <w:pPr>
              <w:pStyle w:val="TableSpacer"/>
              <w:keepNext w:val="true"/>
              <w:snapToGrid w:val="false"/>
              <w:spacing w:lineRule="exact" w:line="80"/>
              <w:rPr/>
            </w:pPr>
            <w:r>
              <w:rPr/>
            </w:r>
          </w:p>
        </w:tc>
        <w:tc>
          <w:tcPr>
            <w:tcW w:w="1224" w:type="dxa"/>
            <w:tcBorders/>
          </w:tcPr>
          <w:p>
            <w:pPr>
              <w:pStyle w:val="TableSpacer"/>
              <w:keepNext w:val="true"/>
              <w:snapToGrid w:val="false"/>
              <w:spacing w:lineRule="exact" w:line="80"/>
              <w:rPr/>
            </w:pPr>
            <w:r>
              <w:rPr/>
            </w:r>
          </w:p>
        </w:tc>
        <w:tc>
          <w:tcPr>
            <w:tcW w:w="1075" w:type="dxa"/>
            <w:tcBorders>
              <w:end w:val="single" w:sz="4" w:space="0" w:color="000000"/>
            </w:tcBorders>
          </w:tcPr>
          <w:p>
            <w:pPr>
              <w:pStyle w:val="TableSpacer"/>
              <w:keepNext w:val="true"/>
              <w:snapToGrid w:val="false"/>
              <w:spacing w:lineRule="exact" w:line="80"/>
              <w:rPr/>
            </w:pPr>
            <w:r>
              <w:rPr/>
            </w:r>
          </w:p>
        </w:tc>
      </w:tr>
      <w:tr>
        <w:trPr/>
        <w:tc>
          <w:tcPr>
            <w:tcW w:w="1850" w:type="dxa"/>
            <w:tcBorders>
              <w:start w:val="single" w:sz="4" w:space="0" w:color="000000"/>
            </w:tcBorders>
          </w:tcPr>
          <w:p>
            <w:pPr>
              <w:pStyle w:val="TableBody"/>
              <w:keepNext w:val="true"/>
              <w:rPr>
                <w:sz w:val="18"/>
              </w:rPr>
            </w:pPr>
            <w:r>
              <w:rPr>
                <w:sz w:val="18"/>
              </w:rPr>
              <w:t>From Neuquén to:</w:t>
            </w:r>
          </w:p>
        </w:tc>
        <w:tc>
          <w:tcPr>
            <w:tcW w:w="1530" w:type="dxa"/>
            <w:tcBorders/>
          </w:tcPr>
          <w:p>
            <w:pPr>
              <w:pStyle w:val="TableBody"/>
              <w:keepNext w:val="true"/>
              <w:rPr>
                <w:sz w:val="18"/>
              </w:rPr>
            </w:pPr>
            <w:r>
              <w:rPr>
                <w:sz w:val="18"/>
              </w:rPr>
              <w:t>Neuquén</w:t>
            </w:r>
          </w:p>
        </w:tc>
        <w:tc>
          <w:tcPr>
            <w:tcW w:w="1080" w:type="dxa"/>
            <w:tcBorders/>
          </w:tcPr>
          <w:p>
            <w:pPr>
              <w:pStyle w:val="TableBody"/>
              <w:keepNext w:val="true"/>
              <w:tabs>
                <w:tab w:val="clear" w:pos="720"/>
                <w:tab w:val="decimal" w:pos="342" w:leader="none"/>
              </w:tabs>
              <w:rPr>
                <w:sz w:val="18"/>
              </w:rPr>
            </w:pPr>
            <w:r>
              <w:rPr>
                <w:sz w:val="18"/>
              </w:rPr>
              <w:t>0.068</w:t>
            </w:r>
          </w:p>
        </w:tc>
        <w:tc>
          <w:tcPr>
            <w:tcW w:w="1224" w:type="dxa"/>
            <w:tcBorders/>
          </w:tcPr>
          <w:p>
            <w:pPr>
              <w:pStyle w:val="TableBody"/>
              <w:keepNext w:val="true"/>
              <w:tabs>
                <w:tab w:val="clear" w:pos="720"/>
                <w:tab w:val="decimal" w:pos="519" w:leader="none"/>
              </w:tabs>
              <w:rPr>
                <w:sz w:val="18"/>
              </w:rPr>
            </w:pPr>
            <w:r>
              <w:rPr>
                <w:sz w:val="18"/>
              </w:rPr>
              <w:t>2.334</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0.49</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Bahía Blanca</w:t>
            </w:r>
          </w:p>
        </w:tc>
        <w:tc>
          <w:tcPr>
            <w:tcW w:w="1080" w:type="dxa"/>
            <w:tcBorders/>
          </w:tcPr>
          <w:p>
            <w:pPr>
              <w:pStyle w:val="TableBody"/>
              <w:keepNext w:val="true"/>
              <w:tabs>
                <w:tab w:val="clear" w:pos="720"/>
                <w:tab w:val="decimal" w:pos="342" w:leader="none"/>
              </w:tabs>
              <w:rPr>
                <w:sz w:val="18"/>
              </w:rPr>
            </w:pPr>
            <w:r>
              <w:rPr>
                <w:sz w:val="18"/>
              </w:rPr>
              <w:t>0.331</w:t>
            </w:r>
          </w:p>
        </w:tc>
        <w:tc>
          <w:tcPr>
            <w:tcW w:w="1224" w:type="dxa"/>
            <w:tcBorders/>
          </w:tcPr>
          <w:p>
            <w:pPr>
              <w:pStyle w:val="TableBody"/>
              <w:keepNext w:val="true"/>
              <w:tabs>
                <w:tab w:val="clear" w:pos="720"/>
                <w:tab w:val="decimal" w:pos="519" w:leader="none"/>
              </w:tabs>
              <w:rPr>
                <w:sz w:val="18"/>
              </w:rPr>
            </w:pPr>
            <w:r>
              <w:rPr>
                <w:sz w:val="18"/>
              </w:rPr>
              <w:t>11.018</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2.80</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La Pampa Norte</w:t>
            </w:r>
          </w:p>
        </w:tc>
        <w:tc>
          <w:tcPr>
            <w:tcW w:w="1080" w:type="dxa"/>
            <w:tcBorders/>
          </w:tcPr>
          <w:p>
            <w:pPr>
              <w:pStyle w:val="TableBody"/>
              <w:keepNext w:val="true"/>
              <w:tabs>
                <w:tab w:val="clear" w:pos="720"/>
                <w:tab w:val="decimal" w:pos="342" w:leader="none"/>
              </w:tabs>
              <w:rPr>
                <w:sz w:val="18"/>
              </w:rPr>
            </w:pPr>
            <w:r>
              <w:rPr>
                <w:sz w:val="18"/>
              </w:rPr>
              <w:t>0.356</w:t>
            </w:r>
          </w:p>
        </w:tc>
        <w:tc>
          <w:tcPr>
            <w:tcW w:w="1224" w:type="dxa"/>
            <w:tcBorders/>
          </w:tcPr>
          <w:p>
            <w:pPr>
              <w:pStyle w:val="TableBody"/>
              <w:keepNext w:val="true"/>
              <w:tabs>
                <w:tab w:val="clear" w:pos="720"/>
                <w:tab w:val="decimal" w:pos="519" w:leader="none"/>
              </w:tabs>
              <w:rPr>
                <w:sz w:val="18"/>
              </w:rPr>
            </w:pPr>
            <w:r>
              <w:rPr>
                <w:sz w:val="18"/>
              </w:rPr>
              <w:t>11.868</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3.15</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Buenos Aires</w:t>
            </w:r>
          </w:p>
        </w:tc>
        <w:tc>
          <w:tcPr>
            <w:tcW w:w="1080" w:type="dxa"/>
            <w:tcBorders/>
          </w:tcPr>
          <w:p>
            <w:pPr>
              <w:pStyle w:val="TableBody"/>
              <w:keepNext w:val="true"/>
              <w:tabs>
                <w:tab w:val="clear" w:pos="720"/>
                <w:tab w:val="decimal" w:pos="342" w:leader="none"/>
              </w:tabs>
              <w:rPr>
                <w:sz w:val="18"/>
              </w:rPr>
            </w:pPr>
            <w:r>
              <w:rPr>
                <w:sz w:val="18"/>
              </w:rPr>
              <w:t>0.448</w:t>
            </w:r>
          </w:p>
        </w:tc>
        <w:tc>
          <w:tcPr>
            <w:tcW w:w="1224" w:type="dxa"/>
            <w:tcBorders/>
          </w:tcPr>
          <w:p>
            <w:pPr>
              <w:pStyle w:val="TableBody"/>
              <w:keepNext w:val="true"/>
              <w:tabs>
                <w:tab w:val="clear" w:pos="720"/>
                <w:tab w:val="decimal" w:pos="519" w:leader="none"/>
              </w:tabs>
              <w:rPr>
                <w:sz w:val="18"/>
              </w:rPr>
            </w:pPr>
            <w:r>
              <w:rPr>
                <w:sz w:val="18"/>
              </w:rPr>
              <w:t>14.923</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3.91</w:t>
            </w:r>
          </w:p>
        </w:tc>
      </w:tr>
      <w:tr>
        <w:trPr/>
        <w:tc>
          <w:tcPr>
            <w:tcW w:w="1850" w:type="dxa"/>
            <w:tcBorders>
              <w:start w:val="single" w:sz="4" w:space="0" w:color="000000"/>
            </w:tcBorders>
          </w:tcPr>
          <w:p>
            <w:pPr>
              <w:pStyle w:val="TableBody"/>
              <w:keepNext w:val="true"/>
              <w:snapToGrid w:val="false"/>
              <w:rPr>
                <w:sz w:val="18"/>
              </w:rPr>
            </w:pPr>
            <w:r>
              <w:rPr>
                <w:sz w:val="18"/>
              </w:rPr>
            </w:r>
          </w:p>
        </w:tc>
        <w:tc>
          <w:tcPr>
            <w:tcW w:w="1530" w:type="dxa"/>
            <w:tcBorders/>
          </w:tcPr>
          <w:p>
            <w:pPr>
              <w:pStyle w:val="TableBody"/>
              <w:keepNext w:val="true"/>
              <w:rPr>
                <w:sz w:val="18"/>
              </w:rPr>
            </w:pPr>
            <w:r>
              <w:rPr>
                <w:sz w:val="18"/>
              </w:rPr>
              <w:t>Greater Buenos Aires</w:t>
            </w:r>
          </w:p>
        </w:tc>
        <w:tc>
          <w:tcPr>
            <w:tcW w:w="1080" w:type="dxa"/>
            <w:tcBorders/>
          </w:tcPr>
          <w:p>
            <w:pPr>
              <w:pStyle w:val="TableBody"/>
              <w:keepNext w:val="true"/>
              <w:tabs>
                <w:tab w:val="clear" w:pos="720"/>
                <w:tab w:val="decimal" w:pos="342" w:leader="none"/>
              </w:tabs>
              <w:rPr>
                <w:sz w:val="18"/>
              </w:rPr>
            </w:pPr>
            <w:r>
              <w:rPr>
                <w:sz w:val="18"/>
              </w:rPr>
              <w:t>0.548</w:t>
            </w:r>
          </w:p>
        </w:tc>
        <w:tc>
          <w:tcPr>
            <w:tcW w:w="1224" w:type="dxa"/>
            <w:tcBorders/>
          </w:tcPr>
          <w:p>
            <w:pPr>
              <w:pStyle w:val="TableBody"/>
              <w:keepNext w:val="true"/>
              <w:tabs>
                <w:tab w:val="clear" w:pos="720"/>
                <w:tab w:val="decimal" w:pos="519" w:leader="none"/>
              </w:tabs>
              <w:rPr>
                <w:sz w:val="18"/>
              </w:rPr>
            </w:pPr>
            <w:r>
              <w:rPr>
                <w:sz w:val="18"/>
              </w:rPr>
              <w:t>18.315</w:t>
            </w:r>
          </w:p>
        </w:tc>
        <w:tc>
          <w:tcPr>
            <w:tcW w:w="1075" w:type="dxa"/>
            <w:tcBorders>
              <w:end w:val="single" w:sz="4" w:space="0" w:color="000000"/>
            </w:tcBorders>
          </w:tcPr>
          <w:p>
            <w:pPr>
              <w:pStyle w:val="TableBody"/>
              <w:keepNext w:val="true"/>
              <w:tabs>
                <w:tab w:val="clear" w:pos="720"/>
                <w:tab w:val="decimal" w:pos="426" w:leader="none"/>
              </w:tabs>
              <w:rPr>
                <w:sz w:val="18"/>
              </w:rPr>
            </w:pPr>
            <w:r>
              <w:rPr>
                <w:sz w:val="18"/>
              </w:rPr>
              <w:t>4.86</w:t>
            </w:r>
          </w:p>
        </w:tc>
      </w:tr>
      <w:tr>
        <w:trPr/>
        <w:tc>
          <w:tcPr>
            <w:tcW w:w="1850" w:type="dxa"/>
            <w:tcBorders>
              <w:start w:val="single" w:sz="4" w:space="0" w:color="000000"/>
              <w:bottom w:val="single" w:sz="4" w:space="0" w:color="000000"/>
            </w:tcBorders>
          </w:tcPr>
          <w:p>
            <w:pPr>
              <w:pStyle w:val="TableSpacer"/>
              <w:keepNext w:val="true"/>
              <w:snapToGrid w:val="false"/>
              <w:spacing w:lineRule="exact" w:line="80"/>
              <w:rPr>
                <w:sz w:val="18"/>
              </w:rPr>
            </w:pPr>
            <w:r>
              <w:rPr>
                <w:sz w:val="18"/>
              </w:rPr>
            </w:r>
          </w:p>
        </w:tc>
        <w:tc>
          <w:tcPr>
            <w:tcW w:w="1530" w:type="dxa"/>
            <w:tcBorders>
              <w:bottom w:val="single" w:sz="4" w:space="0" w:color="000000"/>
            </w:tcBorders>
          </w:tcPr>
          <w:p>
            <w:pPr>
              <w:pStyle w:val="TableSpacer"/>
              <w:keepNext w:val="true"/>
              <w:snapToGrid w:val="false"/>
              <w:spacing w:lineRule="exact" w:line="80"/>
              <w:rPr/>
            </w:pPr>
            <w:r>
              <w:rPr/>
            </w:r>
          </w:p>
        </w:tc>
        <w:tc>
          <w:tcPr>
            <w:tcW w:w="1080" w:type="dxa"/>
            <w:tcBorders>
              <w:bottom w:val="single" w:sz="4" w:space="0" w:color="000000"/>
            </w:tcBorders>
          </w:tcPr>
          <w:p>
            <w:pPr>
              <w:pStyle w:val="TableSpacer"/>
              <w:keepNext w:val="true"/>
              <w:snapToGrid w:val="false"/>
              <w:spacing w:lineRule="exact" w:line="80"/>
              <w:rPr/>
            </w:pPr>
            <w:r>
              <w:rPr/>
            </w:r>
          </w:p>
        </w:tc>
        <w:tc>
          <w:tcPr>
            <w:tcW w:w="1224" w:type="dxa"/>
            <w:tcBorders>
              <w:bottom w:val="single" w:sz="4" w:space="0" w:color="000000"/>
            </w:tcBorders>
          </w:tcPr>
          <w:p>
            <w:pPr>
              <w:pStyle w:val="TableSpacer"/>
              <w:keepNext w:val="true"/>
              <w:snapToGrid w:val="false"/>
              <w:spacing w:lineRule="exact" w:line="80"/>
              <w:rPr/>
            </w:pPr>
            <w:r>
              <w:rPr/>
            </w:r>
          </w:p>
        </w:tc>
        <w:tc>
          <w:tcPr>
            <w:tcW w:w="1075" w:type="dxa"/>
            <w:tcBorders>
              <w:bottom w:val="single" w:sz="4" w:space="0" w:color="000000"/>
              <w:end w:val="single" w:sz="4" w:space="0" w:color="000000"/>
            </w:tcBorders>
          </w:tcPr>
          <w:p>
            <w:pPr>
              <w:pStyle w:val="TableSpacer"/>
              <w:keepNext w:val="true"/>
              <w:snapToGrid w:val="false"/>
              <w:spacing w:lineRule="exact" w:line="80"/>
              <w:rPr/>
            </w:pPr>
            <w:r>
              <w:rPr/>
            </w:r>
          </w:p>
        </w:tc>
      </w:tr>
      <w:tr>
        <w:trPr/>
        <w:tc>
          <w:tcPr>
            <w:tcW w:w="6759" w:type="dxa"/>
            <w:gridSpan w:val="5"/>
            <w:tcBorders/>
          </w:tcPr>
          <w:p>
            <w:pPr>
              <w:pStyle w:val="zTableNotes"/>
              <w:keepNext w:val="true"/>
              <w:tabs>
                <w:tab w:val="clear" w:pos="360"/>
                <w:tab w:val="left" w:pos="477" w:leader="none"/>
              </w:tabs>
              <w:ind w:hanging="675" w:start="702" w:end="0"/>
              <w:jc w:val="both"/>
              <w:rPr/>
            </w:pPr>
            <w:r>
              <w:rPr/>
              <w:t>Notes:</w:t>
              <w:tab/>
              <w:t>(1)</w:t>
              <w:tab/>
              <w:t>Monthly charge for every cubic meter per day of reserved transportation capacity.</w:t>
            </w:r>
          </w:p>
          <w:p>
            <w:pPr>
              <w:pStyle w:val="zTableNotes"/>
              <w:keepNext w:val="true"/>
              <w:tabs>
                <w:tab w:val="left" w:pos="360" w:leader="none"/>
                <w:tab w:val="left" w:pos="477" w:leader="none"/>
              </w:tabs>
              <w:ind w:hanging="675" w:start="702" w:end="0"/>
              <w:jc w:val="both"/>
              <w:rPr/>
            </w:pPr>
            <w:r>
              <w:rPr/>
              <w:tab/>
              <w:tab/>
              <w:t>(2)</w:t>
              <w:tab/>
              <w:t>Minimum charge equal to the unit rate of the firm reservation charge at a 100% load factor.</w:t>
            </w:r>
          </w:p>
          <w:p>
            <w:pPr>
              <w:pStyle w:val="zTableNotes"/>
              <w:keepNext w:val="true"/>
              <w:tabs>
                <w:tab w:val="left" w:pos="360" w:leader="none"/>
                <w:tab w:val="left" w:pos="477" w:leader="none"/>
              </w:tabs>
              <w:ind w:hanging="677" w:start="706" w:end="0"/>
              <w:rPr/>
            </w:pPr>
            <w:r>
              <w:rPr/>
              <w:tab/>
              <w:tab/>
              <w:t>(3)</w:t>
              <w:tab/>
              <w:t>Maximum percentage of total transported gas which customers are required to replace in-kind to make up for gas used by TGS for compressor fuel or losses in rendering transportation services.</w:t>
            </w:r>
          </w:p>
          <w:p>
            <w:pPr>
              <w:pStyle w:val="zTableNotes"/>
              <w:keepNext w:val="true"/>
              <w:spacing w:before="60" w:after="0"/>
              <w:rPr>
                <w:i/>
                <w:i/>
              </w:rPr>
            </w:pPr>
            <w:r>
              <w:rPr>
                <w:i/>
              </w:rPr>
              <w:t>Source:  ENARGAS Resolution No. 1470/00 (gross receipts tax is not included in such transportation rates)</w:t>
            </w:r>
          </w:p>
        </w:tc>
      </w:tr>
    </w:tbl>
    <w:p>
      <w:pPr>
        <w:pStyle w:val="BLKmed1st1"/>
        <w:spacing w:before="0" w:after="0"/>
        <w:rPr>
          <w:sz w:val="16"/>
        </w:rPr>
      </w:pPr>
      <w:r>
        <w:rPr>
          <w:sz w:val="16"/>
        </w:rPr>
      </w:r>
    </w:p>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4</w:t>
    </w:r>
    <w:r>
      <w:rPr>
        <w:rStyle w:val="PageNumber"/>
        <w:sz w:val="16"/>
      </w:rPr>
      <w:fldChar w:fldCharType="end"/>
    </w:r>
  </w:p>
  <w:p>
    <w:pPr>
      <w:pStyle w:val="Footer"/>
      <w:rPr/>
    </w:pPr>
    <w:r>
      <w:rPr>
        <w:sz w:val="16"/>
      </w:rPr>
      <w:t>Houston:167111 v 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TGS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6">
    <w:name w:val="heading 6"/>
    <w:basedOn w:val="Normal"/>
    <w:next w:val="Normal"/>
    <w:qFormat/>
    <w:pPr>
      <w:keepNext w:val="true"/>
      <w:numPr>
        <w:ilvl w:val="5"/>
        <w:numId w:val="1"/>
      </w:numPr>
      <w:outlineLvl w:val="5"/>
    </w:pPr>
    <w:rPr>
      <w:b/>
      <w:i/>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idden">
    <w:name w:val="hidden"/>
    <w:basedOn w:val="DefaultParagraphFont"/>
    <w:qFormat/>
    <w:rPr>
      <w:vanish/>
      <w:color w:val="FF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med1st1">
    <w:name w:val="B/med/1st/1"/>
    <w:basedOn w:val="Normal"/>
    <w:qFormat/>
    <w:pPr>
      <w:numPr>
        <w:ilvl w:val="0"/>
        <w:numId w:val="2"/>
      </w:numPr>
      <w:spacing w:before="0" w:after="220"/>
      <w:jc w:val="both"/>
    </w:pPr>
    <w:rPr>
      <w:sz w:val="22"/>
    </w:rPr>
  </w:style>
  <w:style w:type="paragraph" w:styleId="BLKmed1st1">
    <w:name w:val="BLK/med/1st/1"/>
    <w:basedOn w:val="Normal"/>
    <w:qFormat/>
    <w:pPr>
      <w:spacing w:lineRule="auto" w:line="300" w:before="0" w:after="220"/>
      <w:jc w:val="both"/>
    </w:pPr>
    <w:rPr>
      <w:sz w:val="22"/>
    </w:rPr>
  </w:style>
  <w:style w:type="paragraph" w:styleId="zSideBar">
    <w:name w:val="z SideBar"/>
    <w:basedOn w:val="Normal"/>
    <w:qFormat/>
    <w:pPr>
      <w:keepNext w:val="true"/>
    </w:pPr>
    <w:rPr>
      <w:b/>
      <w:i/>
      <w:sz w:val="22"/>
    </w:rPr>
  </w:style>
  <w:style w:type="paragraph" w:styleId="TableBody">
    <w:name w:val="Table Body"/>
    <w:basedOn w:val="Normal"/>
    <w:qFormat/>
    <w:pPr/>
    <w:rPr>
      <w:rFonts w:ascii="Arial Narrow" w:hAnsi="Arial Narrow" w:cs="Arial Narrow"/>
      <w:sz w:val="16"/>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TableSpacer">
    <w:name w:val="Table Spacer"/>
    <w:basedOn w:val="TableBody"/>
    <w:qFormat/>
    <w:pPr>
      <w:spacing w:lineRule="exact" w:line="120"/>
    </w:pPr>
    <w:rPr/>
  </w:style>
  <w:style w:type="paragraph" w:styleId="zTableNotes">
    <w:name w:val="z TableNotes"/>
    <w:basedOn w:val="Normal"/>
    <w:qFormat/>
    <w:pPr>
      <w:tabs>
        <w:tab w:val="clear" w:pos="720"/>
        <w:tab w:val="left" w:pos="360" w:leader="none"/>
      </w:tabs>
    </w:pPr>
    <w:rPr>
      <w:rFonts w:ascii="Arial Narrow" w:hAnsi="Arial Narrow" w:cs="Arial Narrow"/>
      <w:sz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2000-03-22T20:41:00Z</dcterms:created>
  <dc:creator>Linda S. DiFeo</dc:creator>
  <dc:description/>
  <dc:language>en-CA</dc:language>
  <cp:lastModifiedBy>Vinson &amp; Elkins L.L.P.</cp:lastModifiedBy>
  <cp:lastPrinted>2000-03-22T17:10:00Z</cp:lastPrinted>
  <dcterms:modified xsi:type="dcterms:W3CDTF">2000-03-22T21:17:00Z</dcterms:modified>
  <cp:revision>3</cp:revision>
  <dc:subject/>
  <dc:title>Management Discussions and Analysis</dc:title>
</cp:coreProperties>
</file>