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EXECUTION COPY</w:t>
      </w:r>
    </w:p>
    <w:p>
      <w:pPr>
        <w:pStyle w:val="Normal"/>
        <w:jc w:val="end"/>
        <w:rPr>
          <w:b/>
          <w:bCs/>
          <w:sz w:val="22"/>
          <w:szCs w:val="22"/>
        </w:rPr>
      </w:pPr>
      <w:r>
        <w:rPr>
          <w:b/>
          <w:bCs/>
          <w:sz w:val="22"/>
          <w:szCs w:val="22"/>
        </w:rPr>
      </w:r>
    </w:p>
    <w:p>
      <w:pPr>
        <w:pStyle w:val="Normal"/>
        <w:spacing w:before="0" w:after="120"/>
        <w:jc w:val="center"/>
        <w:rPr>
          <w:b/>
          <w:bCs/>
          <w:sz w:val="22"/>
          <w:szCs w:val="22"/>
        </w:rPr>
      </w:pPr>
      <w:r>
        <w:rPr>
          <w:b/>
          <w:bCs/>
          <w:sz w:val="22"/>
          <w:szCs w:val="22"/>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December 10, 1996</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dashed" w:sz="6" w:space="0" w:color="auto"/>
              <w:start w:val="dashed" w:sz="6" w:space="0" w:color="auto"/>
              <w:bottom w:val="dashed" w:sz="6" w:space="0" w:color="auto"/>
              <w:end w:val="dashed" w:sz="6" w:space="0" w:color="auto"/>
            </w:tcBorders>
          </w:tcPr>
          <w:p>
            <w:pPr>
              <w:pStyle w:val="Normal"/>
              <w:tabs>
                <w:tab w:val="clear" w:pos="720"/>
                <w:tab w:val="center" w:pos="5760" w:leader="none"/>
              </w:tabs>
              <w:spacing w:before="240" w:after="0"/>
              <w:jc w:val="center"/>
              <w:rPr>
                <w:b/>
                <w:bCs/>
                <w:sz w:val="22"/>
                <w:szCs w:val="22"/>
              </w:rPr>
            </w:pPr>
            <w:r>
              <w:rPr>
                <w:b/>
                <w:bCs/>
                <w:sz w:val="22"/>
                <w:szCs w:val="22"/>
              </w:rPr>
              <w:t>ENRON CANADA CORP., a corporation organized under the law of the Province of Alberta</w:t>
            </w:r>
          </w:p>
          <w:p>
            <w:pPr>
              <w:pStyle w:val="Normal"/>
              <w:tabs>
                <w:tab w:val="clear" w:pos="720"/>
                <w:tab w:val="center" w:pos="5760" w:leader="none"/>
              </w:tabs>
              <w:jc w:val="center"/>
              <w:rPr>
                <w:b/>
                <w:bCs/>
                <w:sz w:val="22"/>
                <w:szCs w:val="22"/>
              </w:rPr>
            </w:pPr>
            <w:r>
              <w:rPr>
                <w:b/>
                <w:bCs/>
                <w:sz w:val="22"/>
                <w:szCs w:val="22"/>
              </w:rPr>
              <w:t>(“Party A”), and</w:t>
            </w:r>
          </w:p>
        </w:tc>
        <w:tc>
          <w:tcPr>
            <w:tcW w:w="4788" w:type="dxa"/>
            <w:tcBorders>
              <w:top w:val="dashed" w:sz="6" w:space="0" w:color="auto"/>
              <w:start w:val="dashed" w:sz="6" w:space="0" w:color="auto"/>
              <w:bottom w:val="dashed" w:sz="6" w:space="0" w:color="auto"/>
              <w:end w:val="dashed" w:sz="6" w:space="0" w:color="auto"/>
            </w:tcBorders>
          </w:tcPr>
          <w:p>
            <w:pPr>
              <w:pStyle w:val="Normal"/>
              <w:tabs>
                <w:tab w:val="clear" w:pos="720"/>
                <w:tab w:val="center" w:pos="5760" w:leader="none"/>
              </w:tabs>
              <w:spacing w:before="240" w:after="0"/>
              <w:jc w:val="center"/>
              <w:rPr>
                <w:b/>
                <w:bCs/>
                <w:sz w:val="22"/>
                <w:szCs w:val="22"/>
              </w:rPr>
            </w:pPr>
            <w:r>
              <w:rPr>
                <w:b/>
                <w:bCs/>
                <w:sz w:val="22"/>
                <w:szCs w:val="22"/>
              </w:rPr>
              <w:t>DUKE ENERGY MARKETING LIMITED PARTNERSHIP, a limited partnership organized under the law of the Province of Alberta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sz w:val="22"/>
          <w:szCs w:val="22"/>
        </w:rPr>
      </w:pPr>
      <w:r>
        <w:rPr>
          <w:sz w:val="22"/>
          <w:szCs w:val="22"/>
        </w:rPr>
        <w:t>Section 5(a)(v), None;</w:t>
      </w:r>
    </w:p>
    <w:p>
      <w:pPr>
        <w:pStyle w:val="Normal"/>
        <w:tabs>
          <w:tab w:val="clear" w:pos="720"/>
          <w:tab w:val="left" w:pos="5760" w:leader="none"/>
        </w:tabs>
        <w:ind w:start="1440" w:end="0"/>
        <w:jc w:val="both"/>
        <w:rPr>
          <w:sz w:val="22"/>
          <w:szCs w:val="22"/>
        </w:rPr>
      </w:pPr>
      <w:r>
        <w:rPr>
          <w:sz w:val="22"/>
          <w:szCs w:val="22"/>
        </w:rPr>
        <w:t>Section 5(a)(vi), None;</w:t>
      </w:r>
    </w:p>
    <w:p>
      <w:pPr>
        <w:pStyle w:val="Normal"/>
        <w:tabs>
          <w:tab w:val="clear" w:pos="720"/>
          <w:tab w:val="left" w:pos="5760" w:leader="none"/>
        </w:tabs>
        <w:ind w:start="1440" w:end="0"/>
        <w:jc w:val="both"/>
        <w:rPr>
          <w:sz w:val="22"/>
          <w:szCs w:val="22"/>
        </w:rPr>
      </w:pPr>
      <w:r>
        <w:rPr>
          <w:sz w:val="22"/>
          <w:szCs w:val="22"/>
        </w:rPr>
        <w:t>Section 5(a)(vii), None;</w:t>
      </w:r>
    </w:p>
    <w:p>
      <w:pPr>
        <w:pStyle w:val="Normal"/>
        <w:tabs>
          <w:tab w:val="clear" w:pos="720"/>
          <w:tab w:val="left" w:pos="5760" w:leader="none"/>
        </w:tabs>
        <w:ind w:start="1440" w:end="0"/>
        <w:jc w:val="both"/>
        <w:rPr>
          <w:sz w:val="22"/>
          <w:szCs w:val="22"/>
        </w:rPr>
      </w:pPr>
      <w:r>
        <w:rPr>
          <w:sz w:val="22"/>
          <w:szCs w:val="22"/>
        </w:rPr>
        <w:t>Section 5(b)(iv), None;</w:t>
      </w:r>
    </w:p>
    <w:p>
      <w:pPr>
        <w:pStyle w:val="Normal"/>
        <w:spacing w:lineRule="exact" w:line="240" w:before="240" w:after="0"/>
        <w:ind w:start="1440" w:end="0"/>
        <w:jc w:val="both"/>
        <w:rPr>
          <w:sz w:val="22"/>
          <w:szCs w:val="22"/>
        </w:rPr>
      </w:pPr>
      <w:r>
        <w:rPr>
          <w:sz w:val="22"/>
          <w:szCs w:val="22"/>
        </w:rPr>
        <w:t>and in relation to Party B, for the purpose of:</w:t>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sz w:val="22"/>
          <w:szCs w:val="22"/>
        </w:rPr>
      </w:pPr>
      <w:r>
        <w:rPr>
          <w:sz w:val="22"/>
          <w:szCs w:val="22"/>
        </w:rPr>
        <w:t>Section 5(a)(v), None;</w:t>
      </w:r>
    </w:p>
    <w:p>
      <w:pPr>
        <w:pStyle w:val="Normal"/>
        <w:tabs>
          <w:tab w:val="clear" w:pos="720"/>
          <w:tab w:val="left" w:pos="5760" w:leader="none"/>
        </w:tabs>
        <w:ind w:start="1440" w:end="0"/>
        <w:jc w:val="both"/>
        <w:rPr>
          <w:sz w:val="22"/>
          <w:szCs w:val="22"/>
        </w:rPr>
      </w:pPr>
      <w:r>
        <w:rPr>
          <w:sz w:val="22"/>
          <w:szCs w:val="22"/>
        </w:rPr>
        <w:t>Section 5(a)(vi), None;</w:t>
      </w:r>
    </w:p>
    <w:p>
      <w:pPr>
        <w:pStyle w:val="Normal"/>
        <w:tabs>
          <w:tab w:val="clear" w:pos="720"/>
          <w:tab w:val="left" w:pos="5760" w:leader="none"/>
        </w:tabs>
        <w:ind w:start="1440" w:end="0"/>
        <w:jc w:val="both"/>
        <w:rPr>
          <w:sz w:val="22"/>
          <w:szCs w:val="22"/>
        </w:rPr>
      </w:pPr>
      <w:r>
        <w:rPr>
          <w:sz w:val="22"/>
          <w:szCs w:val="22"/>
        </w:rPr>
        <w:t>Section 5(a)(vii), None;</w:t>
      </w:r>
    </w:p>
    <w:p>
      <w:pPr>
        <w:pStyle w:val="Normal"/>
        <w:tabs>
          <w:tab w:val="clear" w:pos="720"/>
          <w:tab w:val="left" w:pos="5760" w:leader="none"/>
        </w:tabs>
        <w:ind w:start="1440" w:end="0"/>
        <w:jc w:val="both"/>
        <w:rPr>
          <w:b/>
          <w:bCs/>
          <w:sz w:val="22"/>
          <w:szCs w:val="22"/>
        </w:rPr>
      </w:pPr>
      <w:r>
        <w:rPr>
          <w:sz w:val="22"/>
          <w:szCs w:val="22"/>
        </w:rPr>
        <w:t>Section 5(b)(iv), None;</w:t>
      </w:r>
    </w:p>
    <w:p>
      <w:pPr>
        <w:pStyle w:val="Normal"/>
        <w:spacing w:lineRule="exact" w:line="240" w:before="240" w:after="0"/>
        <w:ind w:firstLine="720" w:end="0"/>
        <w:jc w:val="both"/>
        <w:rPr/>
      </w:pPr>
      <w:r>
        <w:rPr>
          <w:sz w:val="22"/>
          <w:szCs w:val="22"/>
        </w:rPr>
        <w:t>(b)</w:t>
        <w:tab/>
        <w:t xml:space="preserve">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each of Party A and Party A’s Credit Support Provider, U.S. $50,000,000 (or its equivalent in another currency); and with respect to each of Party B and Party B’s Credit Support Provider, U.S. $50,000,000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start="360" w:end="0"/>
        <w:jc w:val="both"/>
        <w:rPr/>
      </w:pPr>
      <w:r>
        <w:rPr>
          <w:b/>
          <w:bCs/>
          <w:sz w:val="22"/>
          <w:szCs w:val="22"/>
        </w:rPr>
        <w:t>“</w:t>
      </w:r>
      <w:r>
        <w:rPr>
          <w:b/>
          <w:bCs/>
          <w:sz w:val="22"/>
          <w:szCs w:val="22"/>
        </w:rPr>
        <w:t>Specified Indebtedness”</w:t>
      </w:r>
      <w:r>
        <w:rPr>
          <w:sz w:val="22"/>
          <w:szCs w:val="22"/>
        </w:rPr>
        <w:t xml:space="preserve">.  The definition of Specified Indebtedness in Section 14 of this Agreement shall be replaced with the following: </w:t>
      </w:r>
    </w:p>
    <w:p>
      <w:pPr>
        <w:pStyle w:val="Normal"/>
        <w:spacing w:lineRule="exact" w:line="240" w:before="240" w:after="0"/>
        <w:ind w:start="720" w:end="0"/>
        <w:jc w:val="both"/>
        <w:rPr/>
      </w:pPr>
      <w:r>
        <w:rPr>
          <w:i/>
          <w:iCs/>
          <w:sz w:val="22"/>
          <w:szCs w:val="22"/>
        </w:rPr>
        <w:t>“</w:t>
      </w:r>
      <w:r>
        <w:rPr>
          <w:i/>
          <w:iCs/>
          <w:sz w:val="22"/>
          <w:szCs w:val="22"/>
        </w:rPr>
        <w:t>Specified Indebtedness”</w:t>
      </w:r>
      <w:r>
        <w:rPr>
          <w:sz w:val="22"/>
          <w:szCs w:val="22"/>
        </w:rPr>
        <w:t xml:space="preserve"> means any obligation (whether present or future, contingent or otherwise, as principal or surety or otherwise) in respect of money borrowed or Swap Transaction (as defined in the 1991 ISDA Definitions as published by the International Swaps &amp; Derivatives Association, Inc.) futures contract, guaranty or indemnity.</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in Part 1(g) below will apply to Party A and to Party B.  For the avoidance of doubt, an entity shall be considered “materially weaker” if its “Credit Rating” (as defined herein) is less than investment grade.</w:t>
      </w:r>
    </w:p>
    <w:p>
      <w:pPr>
        <w:pStyle w:val="Normal"/>
        <w:spacing w:lineRule="exact" w:line="240" w:before="240" w:after="0"/>
        <w:ind w:firstLine="720" w:end="0"/>
        <w:jc w:val="both"/>
        <w:rPr/>
      </w:pPr>
      <w:r>
        <w:rPr>
          <w:sz w:val="22"/>
          <w:szCs w:val="22"/>
        </w:rPr>
        <w:t>(d)</w:t>
        <w:tab/>
        <w:t>The</w:t>
      </w:r>
      <w:r>
        <w:rPr>
          <w:i/>
          <w:iCs/>
          <w:sz w:val="22"/>
          <w:szCs w:val="22"/>
        </w:rPr>
        <w:t xml:space="preserv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tabs>
          <w:tab w:val="clear" w:pos="720"/>
          <w:tab w:val="left" w:pos="1440" w:leader="none"/>
        </w:tabs>
        <w:spacing w:lineRule="exact" w:line="240" w:before="240" w:after="0"/>
        <w:ind w:firstLine="720" w:end="0"/>
        <w:jc w:val="both"/>
        <w:rPr>
          <w:b/>
          <w:bCs/>
          <w:sz w:val="22"/>
          <w:szCs w:val="22"/>
        </w:rPr>
      </w:pPr>
      <w:r>
        <w:rPr>
          <w:sz w:val="22"/>
          <w:szCs w:val="22"/>
        </w:rPr>
        <w:t>(h)</w:t>
      </w:r>
      <w:r>
        <w:rPr>
          <w:b/>
          <w:bCs/>
          <w:sz w:val="22"/>
          <w:szCs w:val="22"/>
        </w:rPr>
        <w:tab/>
        <w:t xml:space="preserve">“Credit Rating’ </w:t>
      </w:r>
      <w:r>
        <w:rPr>
          <w:sz w:val="22"/>
          <w:szCs w:val="22"/>
        </w:rPr>
        <w:t>shall have the meaning ascribed to it in Paragraph 13 of the Credit Support Annex.</w:t>
      </w:r>
    </w:p>
    <w:p>
      <w:pPr>
        <w:pStyle w:val="Normal"/>
        <w:spacing w:lineRule="exact" w:line="240" w:before="240" w:after="0"/>
        <w:jc w:val="both"/>
        <w:rPr>
          <w:sz w:val="22"/>
          <w:szCs w:val="22"/>
        </w:rPr>
      </w:pPr>
      <w:r>
        <w:rPr>
          <w:b/>
          <w:bCs/>
          <w:sz w:val="22"/>
          <w:szCs w:val="22"/>
        </w:rPr>
        <w:t>Part 2.  Tax Representations.</w:t>
      </w:r>
    </w:p>
    <w:p>
      <w:pPr>
        <w:pStyle w:val="Normal"/>
        <w:spacing w:lineRule="exact" w:line="240" w:before="240" w:after="0"/>
        <w:ind w:start="720" w:end="0"/>
        <w:jc w:val="both"/>
        <w:rPr>
          <w:sz w:val="22"/>
          <w:szCs w:val="22"/>
        </w:rPr>
      </w:pPr>
      <w:r>
        <w:rPr>
          <w:sz w:val="22"/>
          <w:szCs w:val="22"/>
        </w:rPr>
        <w:t>For purposes of Sections 3(e) and 3(f), Party A and Party B each makes the following representations to the other:</w:t>
      </w:r>
    </w:p>
    <w:p>
      <w:pPr>
        <w:pStyle w:val="Normal"/>
        <w:spacing w:lineRule="exact" w:line="240" w:before="240" w:after="0"/>
        <w:ind w:start="720" w:end="720"/>
        <w:jc w:val="both"/>
        <w:rPr>
          <w:sz w:val="22"/>
          <w:szCs w:val="22"/>
        </w:rPr>
      </w:pPr>
      <w:r>
        <w:rPr>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b/>
          <w:bCs/>
          <w:sz w:val="22"/>
          <w:szCs w:val="22"/>
        </w:rPr>
      </w:pPr>
      <w:r>
        <w:rPr>
          <w:b/>
          <w:bCs/>
          <w:sz w:val="22"/>
          <w:szCs w:val="22"/>
        </w:rPr>
        <w:t>Part 3.  Agreement to Deliver Documents.</w:t>
      </w:r>
    </w:p>
    <w:p>
      <w:pPr>
        <w:pStyle w:val="Style11"/>
        <w:spacing w:lineRule="exact" w:line="240" w:before="480" w:after="0"/>
        <w:rPr/>
      </w:pPr>
      <w:r>
        <w:rPr/>
        <w:t>For the purpose of Section 4(a), each party agrees to deliver the following documents, as applicable: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rPr>
                <w:sz w:val="22"/>
                <w:szCs w:val="22"/>
              </w:rPr>
            </w:pPr>
            <w:r>
              <w:rPr>
                <w:b/>
                <w:bCs/>
                <w:sz w:val="22"/>
                <w:szCs w:val="22"/>
              </w:rPr>
              <w:t>Party required to deliver document</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rPr>
                <w:sz w:val="22"/>
                <w:szCs w:val="22"/>
                <w:u w:val="single"/>
              </w:rPr>
            </w:pPr>
            <w:r>
              <w:rPr>
                <w:b/>
                <w:bCs/>
                <w:sz w:val="22"/>
                <w:szCs w:val="22"/>
              </w:rPr>
              <w:t>Form/Document/Certificate</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rPr>
                <w:sz w:val="22"/>
                <w:szCs w:val="22"/>
              </w:rPr>
            </w:pPr>
            <w:r>
              <w:rPr>
                <w:b/>
                <w:bCs/>
                <w:sz w:val="22"/>
                <w:szCs w:val="22"/>
              </w:rPr>
              <w:t>Date by which to be delivered</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rPr>
                <w:sz w:val="22"/>
                <w:szCs w:val="22"/>
              </w:rPr>
            </w:pPr>
            <w:r>
              <w:rPr>
                <w:b/>
                <w:bCs/>
                <w:sz w:val="22"/>
                <w:szCs w:val="22"/>
              </w:rPr>
              <w:t>Covered by Section 3(d) Representation</w:t>
              <w:br/>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Party A and Party B</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Duly executed Credit Support Documents specified in Part 4(d)</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At execution of this Master Agreement</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A and Party B</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Evidence of authority and specimen signatures with respect to the party’s and its Credit Support Provider’s (if any) signatories executing this Agreement or any Credit Support Document</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At execution of this Master Agreement</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A</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Promptly following demand by Party B, but in no event earlier than 120 days after the end of each of its fiscal years</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A</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Promptly following demand by Party B, but in no event earlier than 60 days after the end of each of its first three fiscal quarters of each of its fiscal years</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b/>
                <w:bCs/>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B</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Combined Annual Audited Financial Statements of Duke Energy Trading and Marketing, L.L.C. and Duke Energy Marketing Limited Partnership (with separate unaudited consolidated financial statements included) prepared in accordance with generally accepted accounting principles (GAAP)</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Promptly upon request</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B</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Quarterly Unaudited Combined Financial Statement of Duke Energy Trading and Marketing, L.L.C. and Duke Energy Marketing Limited Partnership (with separate unaudited consolidated financial statements included) prepared in accordance with GAAP</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Promptly upon request</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B</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Guaranty in the Form of Exhibit B attached hereto</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Upon execution of this Agreement</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Yes</w:t>
            </w:r>
          </w:p>
        </w:tc>
      </w:tr>
      <w:tr>
        <w:trPr/>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Party A</w:t>
            </w:r>
          </w:p>
        </w:tc>
        <w:tc>
          <w:tcPr>
            <w:tcW w:w="4104"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Guaranty in the Form of Exhibit A attached hereto</w:t>
            </w:r>
          </w:p>
        </w:tc>
        <w:tc>
          <w:tcPr>
            <w:tcW w:w="2340"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Upon execution of this Agreement</w:t>
            </w:r>
          </w:p>
        </w:tc>
        <w:tc>
          <w:tcPr>
            <w:tcW w:w="1926" w:type="dxa"/>
            <w:tcBorders>
              <w:top w:val="dashed" w:sz="6" w:space="0" w:color="auto"/>
              <w:start w:val="dashed" w:sz="6" w:space="0" w:color="auto"/>
              <w:bottom w:val="dashed" w:sz="6" w:space="0" w:color="auto"/>
              <w:end w:val="dashed" w:sz="6" w:space="0" w:color="auto"/>
            </w:tcBorders>
          </w:tcPr>
          <w:p>
            <w:pPr>
              <w:pStyle w:val="Normal"/>
              <w:spacing w:lineRule="atLeast" w:line="240" w:before="240" w:after="0"/>
              <w:jc w:val="both"/>
              <w:rPr>
                <w:sz w:val="22"/>
                <w:szCs w:val="22"/>
              </w:rPr>
            </w:pPr>
            <w:r>
              <w:rPr>
                <w:sz w:val="22"/>
                <w:szCs w:val="22"/>
              </w:rPr>
              <w:t>Yes</w:t>
            </w:r>
          </w:p>
        </w:tc>
      </w:tr>
    </w:tbl>
    <w:p>
      <w:pPr>
        <w:pStyle w:val="Normal"/>
        <w:spacing w:lineRule="exact" w:line="240" w:before="24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right" w:pos="9360" w:leader="dot"/>
              </w:tabs>
              <w:spacing w:lineRule="exact" w:line="240"/>
              <w:jc w:val="both"/>
              <w:rPr>
                <w:sz w:val="22"/>
                <w:szCs w:val="22"/>
              </w:rPr>
            </w:pPr>
            <w:r>
              <w:rPr>
                <w:sz w:val="22"/>
                <w:szCs w:val="22"/>
              </w:rPr>
              <w:t xml:space="preserve">Address: </w:t>
            </w:r>
          </w:p>
        </w:tc>
        <w:tc>
          <w:tcPr>
            <w:tcW w:w="4140" w:type="dxa"/>
            <w:tcBorders>
              <w:top w:val="dashed" w:sz="6" w:space="0" w:color="auto"/>
              <w:start w:val="dashed" w:sz="6" w:space="0" w:color="auto"/>
              <w:bottom w:val="dashed" w:sz="6" w:space="0" w:color="auto"/>
              <w:end w:val="dashed" w:sz="6" w:space="0" w:color="auto"/>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Canada Corp.</w:t>
            </w:r>
          </w:p>
          <w:p>
            <w:pPr>
              <w:pStyle w:val="Normal"/>
              <w:tabs>
                <w:tab w:val="clear" w:pos="720"/>
                <w:tab w:val="left" w:pos="4230" w:leader="none"/>
                <w:tab w:val="left" w:pos="9360" w:leader="none"/>
              </w:tabs>
              <w:spacing w:lineRule="exact" w:line="240"/>
              <w:jc w:val="both"/>
              <w:rPr>
                <w:sz w:val="22"/>
                <w:szCs w:val="22"/>
              </w:rPr>
            </w:pPr>
            <w:r>
              <w:rPr>
                <w:sz w:val="22"/>
                <w:szCs w:val="22"/>
              </w:rPr>
              <w:t>400-3rd Avenue, Suite 3500</w:t>
            </w:r>
          </w:p>
          <w:p>
            <w:pPr>
              <w:pStyle w:val="Normal"/>
              <w:tabs>
                <w:tab w:val="clear" w:pos="720"/>
                <w:tab w:val="left" w:pos="4230" w:leader="none"/>
                <w:tab w:val="left" w:pos="9360" w:leader="none"/>
              </w:tabs>
              <w:spacing w:lineRule="exact" w:line="240"/>
              <w:jc w:val="both"/>
              <w:rPr>
                <w:sz w:val="22"/>
                <w:szCs w:val="22"/>
              </w:rPr>
            </w:pPr>
            <w:r>
              <w:rPr>
                <w:sz w:val="22"/>
                <w:szCs w:val="22"/>
              </w:rPr>
              <w:t>Calgary, Alberta  T2P 4H2</w:t>
            </w:r>
          </w:p>
          <w:p>
            <w:pPr>
              <w:pStyle w:val="Normal"/>
              <w:tabs>
                <w:tab w:val="clear" w:pos="720"/>
                <w:tab w:val="left" w:pos="4230" w:leader="none"/>
                <w:tab w:val="left" w:pos="9360" w:leader="none"/>
              </w:tabs>
              <w:spacing w:lineRule="exact" w:line="240"/>
              <w:jc w:val="both"/>
              <w:rPr>
                <w:sz w:val="22"/>
                <w:szCs w:val="22"/>
              </w:rPr>
            </w:pPr>
            <w:r>
              <w:rPr>
                <w:sz w:val="22"/>
                <w:szCs w:val="22"/>
              </w:rPr>
              <w:t>Attn:  Director, Documentation Department</w:t>
            </w:r>
          </w:p>
        </w:tc>
        <w:tc>
          <w:tcPr>
            <w:tcW w:w="3330" w:type="dxa"/>
            <w:tcBorders>
              <w:top w:val="dashed" w:sz="6" w:space="0" w:color="auto"/>
              <w:start w:val="dashed" w:sz="6" w:space="0" w:color="auto"/>
              <w:bottom w:val="dashed" w:sz="6" w:space="0" w:color="auto"/>
              <w:end w:val="dashed" w:sz="6" w:space="0" w:color="auto"/>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(403) 974-6706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North America Corp., Attention:  Corporate Secretary, 1400 Smith Street, Houston, Texas  77002, facsimile no. (713) 853-2534, and (ii) Enron North America Corp., Attention:  Assistant General Counsel, Trading Group at the preceding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3600"/>
        <w:gridCol w:w="3870"/>
      </w:tblGrid>
      <w:tr>
        <w:trPr/>
        <w:tc>
          <w:tcPr>
            <w:tcW w:w="2088" w:type="dxa"/>
            <w:tcBorders>
              <w:top w:val="dashed" w:sz="6" w:space="0" w:color="auto"/>
              <w:start w:val="dashed" w:sz="6" w:space="0" w:color="auto"/>
              <w:bottom w:val="dashed" w:sz="6" w:space="0" w:color="auto"/>
              <w:end w:val="dashed" w:sz="6" w:space="0" w:color="auto"/>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ENVELOPE"/>
              <w:keepNext w:val="true"/>
              <w:tabs>
                <w:tab w:val="clear" w:pos="720"/>
                <w:tab w:val="left" w:pos="4230" w:leader="none"/>
                <w:tab w:val="left" w:pos="9360" w:leader="none"/>
              </w:tabs>
              <w:spacing w:lineRule="exact" w:line="240"/>
              <w:rPr/>
            </w:pPr>
            <w:r>
              <w:rPr/>
              <w:t>Duke Energy Marketing Limited Partnership</w:t>
            </w:r>
          </w:p>
          <w:p>
            <w:pPr>
              <w:pStyle w:val="Normal"/>
              <w:keepNext w:val="true"/>
              <w:tabs>
                <w:tab w:val="clear" w:pos="720"/>
                <w:tab w:val="left" w:pos="4230" w:leader="none"/>
                <w:tab w:val="left" w:pos="9360" w:leader="none"/>
              </w:tabs>
              <w:spacing w:lineRule="exact" w:line="240"/>
              <w:jc w:val="both"/>
              <w:rPr/>
            </w:pPr>
            <w:r>
              <w:rPr>
                <w:sz w:val="22"/>
                <w:szCs w:val="22"/>
              </w:rPr>
              <w:t>2700, 700 – 9</w:t>
            </w:r>
            <w:r>
              <w:rPr>
                <w:sz w:val="22"/>
                <w:szCs w:val="22"/>
                <w:vertAlign w:val="superscript"/>
              </w:rPr>
              <w:t>th</w:t>
            </w:r>
            <w:r>
              <w:rPr>
                <w:sz w:val="22"/>
                <w:szCs w:val="22"/>
              </w:rPr>
              <w:t xml:space="preserve"> Ave. S.W.</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Calgary, Alberta  T2P 2Y5</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Attn:  Contract Administration</w:t>
            </w:r>
          </w:p>
        </w:tc>
        <w:tc>
          <w:tcPr>
            <w:tcW w:w="3870" w:type="dxa"/>
            <w:tcBorders>
              <w:top w:val="dashed" w:sz="6" w:space="0" w:color="auto"/>
              <w:start w:val="dashed" w:sz="6" w:space="0" w:color="auto"/>
              <w:bottom w:val="dashed" w:sz="6" w:space="0" w:color="auto"/>
              <w:end w:val="dashed" w:sz="6" w:space="0" w:color="auto"/>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(403) 237-6021</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(403) 297-9800</w:t>
            </w:r>
          </w:p>
        </w:tc>
      </w:tr>
    </w:tbl>
    <w:p>
      <w:pPr>
        <w:pStyle w:val="Normal"/>
        <w:tabs>
          <w:tab w:val="left" w:pos="720" w:leader="none"/>
          <w:tab w:val="left" w:pos="1440" w:leader="none"/>
          <w:tab w:val="left" w:pos="5472" w:leader="dot"/>
          <w:tab w:val="right" w:pos="9360" w:leader="dot"/>
        </w:tabs>
        <w:spacing w:lineRule="exact" w:line="240" w:before="240" w:after="0"/>
        <w:jc w:val="both"/>
        <w:rPr/>
      </w:pPr>
      <w:r>
        <w:rPr>
          <w:sz w:val="22"/>
          <w:szCs w:val="22"/>
        </w:rPr>
        <w:t xml:space="preserve">A copy of any notice sent to Party B pursuant to Section 5 or 6 or </w:t>
      </w:r>
      <w:r>
        <w:rPr>
          <w:sz w:val="22"/>
          <w:szCs w:val="22"/>
          <w:u w:val="single"/>
        </w:rPr>
        <w:t>Annex A</w:t>
      </w:r>
      <w:r>
        <w:rPr>
          <w:sz w:val="22"/>
          <w:szCs w:val="22"/>
        </w:rPr>
        <w:t xml:space="preserve"> must also be sent to Duke Energy Trading and Marketing L.L.C., 10777 Westheimer, Suite 650, Houston, Texas  77042; Attention:  Controller; Facsimile No.:  (713) 260-1825.</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Party A and Party B shall be co-Calculation Agents with all calculations and determinations under this Agreement being subject to the review and agreement of Party A and Party B (an “Agreed Calculation” and an “Agreed Determination”, respectively), each using its reasonable efforts to resolve expeditiously any disagreements concerning such calculations and determinations; provided however, that if Party A or Party B is a Defaulting Party, the Calculation Agent shall be the Non-defaulting Party (or any designated third party agreed to by the parties) until such time as Party A or Party B is no longer the Defaulting Party. If Party A and Party cannot reach an Agreed Calculation or Agreed Determination, then they agree to appoint promptly and jointly three independent leading dealers in the relevant market each to make the relevant calculation or determination, in which case the Agreed Calculation shall be the arithmetic mean of the three calculations by the appointed dealers and the Agreed Determination shall be the determination agreed upon by at least two of the three dealers; provided, however, if fewer than three dealers provide a calculation or determination, then Party A and Party B agree to appoint promptly and jointly such number of additional dealers such that Party A and Party B shall receive three calculations and determinations. The Agreed Calculation or Agreed Determination reached by such dealers will be conclusive and binding absent manifest error.</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Duke Energy Trading and Marketing, L.L.C.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Duke Energy Trading and Marketing, L.L.C.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Subparagraph (ii) of Section 2(c) will not apply to all Transactions. </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ind w:start="720" w:end="0"/>
        <w:jc w:val="both"/>
        <w:rPr>
          <w:b/>
          <w:bCs/>
          <w:sz w:val="22"/>
          <w:szCs w:val="22"/>
        </w:rPr>
      </w:pPr>
      <w:r>
        <w:rPr>
          <w:b/>
          <w:bCs/>
          <w:sz w:val="22"/>
          <w:szCs w:val="22"/>
        </w:rPr>
      </w:r>
    </w:p>
    <w:p>
      <w:pPr>
        <w:pStyle w:val="Normal"/>
        <w:ind w:firstLine="810" w:end="0"/>
        <w:jc w:val="both"/>
        <w:rPr/>
      </w:pPr>
      <w:r>
        <w:rPr>
          <w:sz w:val="22"/>
          <w:szCs w:val="22"/>
        </w:rPr>
        <w:t>(h)</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firstLine="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firstLine="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spacing w:lineRule="exact" w:line="240" w:before="240" w:after="0"/>
        <w:ind w:firstLine="720" w:end="0"/>
        <w:jc w:val="both"/>
        <w:rPr>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b/>
          <w:bCs/>
          <w:sz w:val="22"/>
          <w:szCs w:val="22"/>
        </w:rPr>
        <w:t xml:space="preserve"> </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Enron North America Corp., 1400 Smith Street, Houston, Texas  77002;  Party B appoints as its Process Agent, Duke Energy Trading and Marketing L.L.C., 10777 Westheimer, Suite 650, Houston, Texas  77042.</w:t>
      </w:r>
    </w:p>
    <w:p>
      <w:pPr>
        <w:pStyle w:val="Normal"/>
        <w:tabs>
          <w:tab w:val="clear" w:pos="720"/>
          <w:tab w:val="left" w:pos="0" w:leader="none"/>
          <w:tab w:val="left" w:pos="4230" w:leader="none"/>
          <w:tab w:val="left" w:pos="9360" w:leader="none"/>
        </w:tabs>
        <w:spacing w:lineRule="exact" w:line="240"/>
        <w:ind w:firstLine="720" w:end="0"/>
        <w:jc w:val="both"/>
        <w:rPr>
          <w:sz w:val="22"/>
          <w:szCs w:val="22"/>
        </w:rPr>
      </w:pPr>
      <w:r>
        <w:rPr>
          <w:sz w:val="22"/>
          <w:szCs w:val="22"/>
        </w:rPr>
      </w:r>
    </w:p>
    <w:p>
      <w:pPr>
        <w:pStyle w:val="Normal"/>
        <w:spacing w:lineRule="exact" w:line="240" w:before="24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(i) the following to Section 3(a):</w:t>
      </w:r>
    </w:p>
    <w:p>
      <w:pPr>
        <w:pStyle w:val="BodyTextIndent3"/>
        <w:rPr>
          <w:sz w:val="22"/>
          <w:szCs w:val="22"/>
        </w:rPr>
      </w:pPr>
      <w:r>
        <w:rPr>
          <w:sz w:val="22"/>
          <w:szCs w:val="22"/>
        </w:rPr>
        <w:t>“</w:t>
      </w:r>
      <w:r>
        <w:rPr>
          <w:sz w:val="22"/>
          <w:szCs w:val="22"/>
        </w:rPr>
        <w:t>(vi)</w:t>
        <w:tab/>
        <w:t>The terms and conditions of any Transaction entered into under this Agreement comply with all policies, procedures, by-laws or management directives of such party whether in force by resolution or otherwise.  For greater certainty, the other party has no responsibility whatsoever to confirm compliance by such party with respect to any such policy, procedure, by-law or management directive whether it has knowledge of same or not;</w:t>
      </w:r>
    </w:p>
    <w:p>
      <w:pPr>
        <w:pStyle w:val="BodyText2"/>
        <w:rPr>
          <w:sz w:val="22"/>
          <w:szCs w:val="22"/>
        </w:rPr>
      </w:pPr>
      <w:r>
        <w:rPr>
          <w:sz w:val="22"/>
          <w:szCs w:val="22"/>
        </w:rPr>
        <w:t>(ii) in the second line of Section 3(c) after the word “governmental” the words “or regulatory”; and (iii) at the end of Section 3 the following Subparagraphs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It is entering  into this Agreement, any Credit Support Document to which it is a party and each Transaction evidenced hereby in conjunction with its line of business (including financial intermediation services) or the financing of its business.</w:t>
      </w:r>
    </w:p>
    <w:p>
      <w:pPr>
        <w:pStyle w:val="Normal"/>
        <w:spacing w:lineRule="exact" w:line="240" w:before="240" w:after="0"/>
        <w:ind w:firstLine="720" w:start="720" w:end="0"/>
        <w:jc w:val="both"/>
        <w:rPr/>
      </w:pPr>
      <w:r>
        <w:rPr>
          <w:sz w:val="22"/>
          <w:szCs w:val="22"/>
        </w:rPr>
        <w:t>(h)</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(i)</w:t>
        <w:tab/>
      </w:r>
      <w:r>
        <w:rPr>
          <w:b/>
          <w:bCs/>
          <w:sz w:val="22"/>
          <w:szCs w:val="22"/>
        </w:rPr>
        <w:t>No Reliance.</w:t>
      </w:r>
      <w:r>
        <w:rPr>
          <w:sz w:val="22"/>
          <w:szCs w:val="22"/>
        </w:rPr>
        <w:t xml:space="preserve">  (i) The other party to this Agreement, any Credit Support Document and each Transaction  (a) is not acting as a fiduciary or financial, investment or commodity trading advisor for it, and (b) except as expressly set forth in the Agreement, has not given to it (directly or indirectly through any other person) any assurance, guaranty or representation whatsoever as to the merits (either legal, regulatory, tax, financial, accounting or otherwise) of this Agreement, any Credit Support Document or any Transaction or the expected performance or result of any Transaction; and (ii) in connection with the negotiation of, the entering into, and the confirming of the execution of, this Agreement, any Credit Support Document to which it is a party, and each Transaction (a) it is acting as a principal (and not as an agent or in any other capacity, fiduciary or otherwise), (b) it is not relying upon any advice, counsel or representations (whether written or oral) of the other party other than the representations expressly set forth in this Agreement, and in such Credit Support Document, or any Confirmation (c) it has made and will make its own decisions (including decisions regarding the suitability of any Transaction pursuant to this Agreement) regarding the entering into of this Agreement, any Credit Support Document and any Transactions based upon its own judgment and upon the advice from such professional advisors as it deemed, or will deem, necessary to consult, (d) all of its decisions have been the result of arm's length negotiations between the parties, and (e) it has a full understanding of all the terms, conditions and risks (economic and otherwise) of this Agreement, including each Transaction entered into hereunder and any Credit Support Document, and it is capable of assuming and willing to assume (financially and otherwise)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Each party represents to the other party that on the date a Transaction is entered into:  (i) such Transaction shall constitute an "OTC Derivative" as defined in the </w:t>
      </w:r>
      <w:r>
        <w:rPr>
          <w:i/>
          <w:iCs/>
          <w:color w:val="000000"/>
          <w:sz w:val="22"/>
          <w:szCs w:val="22"/>
        </w:rPr>
        <w:t xml:space="preserve">Securities Act </w:t>
      </w:r>
      <w:r>
        <w:rPr>
          <w:color w:val="000000"/>
          <w:sz w:val="22"/>
          <w:szCs w:val="22"/>
        </w:rPr>
        <w:t xml:space="preserve">(Alberta) and the </w:t>
      </w:r>
      <w:r>
        <w:rPr>
          <w:i/>
          <w:iCs/>
          <w:color w:val="000000"/>
          <w:sz w:val="22"/>
          <w:szCs w:val="22"/>
        </w:rPr>
        <w:t>Securities Act</w:t>
      </w:r>
      <w:r>
        <w:rPr>
          <w:color w:val="000000"/>
          <w:sz w:val="22"/>
          <w:szCs w:val="22"/>
        </w:rPr>
        <w:t xml:space="preserve"> (British Columbia) either of which may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Subsections (c) and (d):</w:t>
      </w:r>
    </w:p>
    <w:p>
      <w:pPr>
        <w:pStyle w:val="Normal"/>
        <w:spacing w:lineRule="exact" w:line="240"/>
        <w:ind w:start="72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ind w:firstLine="720" w:start="72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(d)  Party B may transfer its rights and obligations under this Agreement, in whole but not in part, to any Affiliate so long as the obligations of such Affiliate are guaranteed by Duke Energy Trading and Marketing, L.L.C. pursuant to a guaranty substantially similar to the one provided on behalf of Party B,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color w:val="000000"/>
          <w:sz w:val="22"/>
          <w:szCs w:val="22"/>
        </w:rPr>
        <w:t>(l)</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applicable law, be equivalent to such interest rate multiplied by the actual number of days in the calendar year in which the same is to be determined and divided by 365/366, as the case may be.</w:t>
      </w:r>
    </w:p>
    <w:p>
      <w:pPr>
        <w:pStyle w:val="Normal"/>
        <w:spacing w:lineRule="exact" w:line="240"/>
        <w:jc w:val="both"/>
        <w:rPr>
          <w:color w:val="000000"/>
          <w:sz w:val="22"/>
          <w:szCs w:val="22"/>
        </w:rPr>
      </w:pPr>
      <w:r>
        <w:rPr>
          <w:color w:val="000000"/>
          <w:sz w:val="22"/>
          <w:szCs w:val="22"/>
        </w:rPr>
      </w:r>
    </w:p>
    <w:p>
      <w:pPr>
        <w:pStyle w:val="Normal"/>
        <w:spacing w:lineRule="exact" w:line="240"/>
        <w:ind w:firstLine="720" w:end="0"/>
        <w:jc w:val="both"/>
        <w:rPr/>
      </w:pPr>
      <w:r>
        <w:rPr>
          <w:sz w:val="22"/>
          <w:szCs w:val="22"/>
        </w:rPr>
        <w:t>(m)</w:t>
        <w:tab/>
      </w:r>
      <w:r>
        <w:rPr>
          <w:b/>
          <w:bCs/>
          <w:sz w:val="22"/>
          <w:szCs w:val="22"/>
        </w:rPr>
        <w:t>Prior Transactions.</w:t>
      </w:r>
      <w:r>
        <w:rPr>
          <w:sz w:val="22"/>
          <w:szCs w:val="22"/>
        </w:rPr>
        <w:t xml:space="preserve">  Party A and Party B have entered into swaps and similar agreements (“Existing Transactions”) prior to the execution of this Agreement, which they hereby agree shall be made and constitute Transactions under this Agreement.  These Existing Transactions shall for all purposes be Transactions hereunder and shall be subject to all the terms of this Agreement.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jc w:val="both"/>
        <w:rPr>
          <w:b/>
          <w:bCs/>
          <w:sz w:val="22"/>
          <w:szCs w:val="22"/>
        </w:rPr>
      </w:pPr>
      <w:r>
        <w:rPr>
          <w:b/>
          <w:bCs/>
          <w:sz w:val="22"/>
          <w:szCs w:val="22"/>
        </w:rPr>
        <w:t>Part 6.  Additional Provisions For Commodity Derivatives Transactions.</w:t>
      </w:r>
    </w:p>
    <w:p>
      <w:pPr>
        <w:pStyle w:val="Normal"/>
        <w:tabs>
          <w:tab w:val="clear" w:pos="720"/>
          <w:tab w:val="left" w:pos="1350" w:leader="none"/>
        </w:tabs>
        <w:jc w:val="both"/>
        <w:rPr>
          <w:b/>
          <w:bCs/>
          <w:sz w:val="22"/>
          <w:szCs w:val="22"/>
        </w:rPr>
      </w:pPr>
      <w:r>
        <w:rPr>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(f)</w:t>
        <w:tab/>
        <w:t>The following “Disruption Fallbacks” specified in Section 7.5(c) of the Commodity Definitions shall apply, in the following order, except as otherwise specified in the relevant Confirmation:</w:t>
      </w:r>
    </w:p>
    <w:p>
      <w:pPr>
        <w:pStyle w:val="Normal"/>
        <w:jc w:val="both"/>
        <w:rPr>
          <w:sz w:val="22"/>
          <w:szCs w:val="22"/>
        </w:rPr>
      </w:pPr>
      <w:r>
        <w:rPr>
          <w:sz w:val="22"/>
          <w:szCs w:val="22"/>
        </w:rPr>
      </w:r>
    </w:p>
    <w:p>
      <w:pPr>
        <w:pStyle w:val="Normal"/>
        <w:ind w:firstLine="720" w:start="1440" w:end="720"/>
        <w:jc w:val="both"/>
        <w:rPr>
          <w:sz w:val="22"/>
          <w:szCs w:val="22"/>
        </w:rPr>
      </w:pPr>
      <w:r>
        <w:rPr>
          <w:sz w:val="22"/>
          <w:szCs w:val="22"/>
        </w:rPr>
        <w:t>(i)</w:t>
        <w:tab/>
        <w:t>“Postponement”, with three (3) Commodity Business Days as the Maximum Days of Disruption;</w:t>
      </w:r>
    </w:p>
    <w:p>
      <w:pPr>
        <w:pStyle w:val="Normal"/>
        <w:ind w:firstLine="720" w:start="1440" w:end="720"/>
        <w:jc w:val="both"/>
        <w:rPr>
          <w:sz w:val="22"/>
          <w:szCs w:val="22"/>
        </w:rPr>
      </w:pPr>
      <w:r>
        <w:rPr>
          <w:sz w:val="22"/>
          <w:szCs w:val="22"/>
        </w:rPr>
      </w:r>
    </w:p>
    <w:p>
      <w:pPr>
        <w:pStyle w:val="BlockText"/>
        <w:rPr>
          <w:sz w:val="22"/>
          <w:szCs w:val="22"/>
        </w:rPr>
      </w:pPr>
      <w:r>
        <w:rPr>
          <w:sz w:val="22"/>
          <w:szCs w:val="22"/>
        </w:rPr>
        <w:t>(ii)</w:t>
        <w:tab/>
        <w:t>“Fallback Reference Price” (if the relevant parties have specified an alternate Commodity Reference Price in the Confirmation);</w:t>
      </w:r>
    </w:p>
    <w:p>
      <w:pPr>
        <w:pStyle w:val="Normal"/>
        <w:ind w:firstLine="720" w:start="1440" w:end="720"/>
        <w:jc w:val="both"/>
        <w:rPr>
          <w:sz w:val="22"/>
          <w:szCs w:val="22"/>
        </w:rPr>
      </w:pPr>
      <w:r>
        <w:rPr>
          <w:sz w:val="22"/>
          <w:szCs w:val="22"/>
        </w:rPr>
      </w:r>
    </w:p>
    <w:p>
      <w:pPr>
        <w:pStyle w:val="Normal"/>
        <w:ind w:firstLine="720" w:start="1440" w:end="720"/>
        <w:jc w:val="both"/>
        <w:rPr>
          <w:sz w:val="22"/>
          <w:szCs w:val="22"/>
        </w:rPr>
      </w:pPr>
      <w:r>
        <w:rPr>
          <w:sz w:val="22"/>
          <w:szCs w:val="22"/>
        </w:rPr>
        <w:t>(iii)</w:t>
        <w:tab/>
        <w:t>“Negotiated Fallback” (provided that the reference in Section 7.5(c)(ii) to “fifth Business Day” shall be amended to be “twelfth Business Day”); and</w:t>
      </w:r>
    </w:p>
    <w:p>
      <w:pPr>
        <w:pStyle w:val="Normal"/>
        <w:ind w:firstLine="720" w:start="1440" w:end="720"/>
        <w:jc w:val="both"/>
        <w:rPr>
          <w:sz w:val="22"/>
          <w:szCs w:val="22"/>
        </w:rPr>
      </w:pPr>
      <w:r>
        <w:rPr>
          <w:sz w:val="22"/>
          <w:szCs w:val="22"/>
        </w:rPr>
      </w:r>
    </w:p>
    <w:p>
      <w:pPr>
        <w:pStyle w:val="Normal"/>
        <w:ind w:start="1440" w:end="720"/>
        <w:jc w:val="both"/>
        <w:rPr>
          <w:sz w:val="22"/>
          <w:szCs w:val="22"/>
        </w:rPr>
      </w:pPr>
      <w:r>
        <w:rPr>
          <w:sz w:val="22"/>
          <w:szCs w:val="22"/>
        </w:rPr>
        <w:tab/>
        <w:t>(iv)</w:t>
        <w:tab/>
        <w:t>The Relevant Price will be determined and calculated by the Calculation Agent.  The Calculation Agent shall obtain in good faith four quotations from Reference Market-makers for the relevant market, and the price for that Pricing Date(s) will be the arithmetic mean of the prices obtained.</w:t>
      </w:r>
      <w:r>
        <w:br w:type="page"/>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EXECUTED effective as of the date first written above.</w:t>
      </w:r>
    </w:p>
    <w:p>
      <w:pPr>
        <w:pStyle w:val="Normal"/>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dashed" w:sz="6" w:space="0" w:color="auto"/>
              <w:start w:val="dashed" w:sz="6" w:space="0" w:color="auto"/>
              <w:bottom w:val="dashed" w:sz="6" w:space="0" w:color="auto"/>
              <w:end w:val="dashed" w:sz="6" w:space="0" w:color="auto"/>
            </w:tcBorders>
          </w:tcPr>
          <w:p>
            <w:pPr>
              <w:pStyle w:val="Normal"/>
              <w:spacing w:lineRule="exact" w:line="240"/>
              <w:jc w:val="both"/>
              <w:rPr>
                <w:sz w:val="22"/>
                <w:szCs w:val="22"/>
              </w:rPr>
            </w:pPr>
            <w:r>
              <w:rPr>
                <w:b/>
                <w:bCs/>
                <w:sz w:val="22"/>
                <w:szCs w:val="22"/>
              </w:rPr>
              <w:t>ENRON CANADA CORP.</w:t>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op w:val="dashed" w:sz="6" w:space="0" w:color="auto"/>
              <w:start w:val="dashed" w:sz="6" w:space="0" w:color="auto"/>
              <w:bottom w:val="dashed" w:sz="6" w:space="0" w:color="auto"/>
              <w:end w:val="dashed" w:sz="6" w:space="0" w:color="auto"/>
            </w:tcBorders>
          </w:tcPr>
          <w:p>
            <w:pPr>
              <w:pStyle w:val="BodyText"/>
              <w:jc w:val="start"/>
              <w:rPr/>
            </w:pPr>
            <w:r>
              <w:rPr/>
              <w:t>DUKE ENERGY MARKETING LIMITED PARTNERSHIP</w:t>
            </w:r>
          </w:p>
          <w:p>
            <w:pPr>
              <w:pStyle w:val="Normal"/>
              <w:spacing w:lineRule="exact" w:line="240"/>
              <w:jc w:val="both"/>
              <w:rPr>
                <w:sz w:val="22"/>
                <w:szCs w:val="22"/>
              </w:rPr>
            </w:pPr>
            <w:r>
              <w:rPr>
                <w:sz w:val="22"/>
                <w:szCs w:val="22"/>
              </w:rPr>
            </w:r>
          </w:p>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t>John D. Thomas</w:t>
            </w:r>
          </w:p>
          <w:p>
            <w:pPr>
              <w:pStyle w:val="Normal"/>
              <w:spacing w:lineRule="exact" w:line="240"/>
              <w:jc w:val="both"/>
              <w:rPr>
                <w:sz w:val="22"/>
                <w:szCs w:val="22"/>
                <w:u w:val="single"/>
              </w:rPr>
            </w:pPr>
            <w:r>
              <w:rPr>
                <w:sz w:val="22"/>
                <w:szCs w:val="22"/>
              </w:rPr>
              <w:t>Title:</w:t>
              <w:tab/>
              <w:t>Senior Vice-President and CFO</w:t>
            </w:r>
          </w:p>
          <w:p>
            <w:pPr>
              <w:pStyle w:val="Normal"/>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dashed" w:sz="6" w:space="0" w:color="auto"/>
              <w:start w:val="dashed" w:sz="6" w:space="0" w:color="auto"/>
              <w:bottom w:val="dashed" w:sz="6" w:space="0" w:color="auto"/>
              <w:end w:val="dashed" w:sz="6" w:space="0" w:color="auto"/>
            </w:tcBorders>
          </w:tcPr>
          <w:p>
            <w:pPr>
              <w:pStyle w:val="Normal"/>
              <w:snapToGrid w:val="false"/>
              <w:spacing w:lineRule="exact" w:line="240"/>
              <w:jc w:val="both"/>
              <w:rPr>
                <w:sz w:val="22"/>
                <w:szCs w:val="22"/>
              </w:rPr>
            </w:pPr>
            <w:r>
              <w:rPr>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Normal"/>
              <w:snapToGrid w:val="false"/>
              <w:spacing w:lineRule="exact" w:line="240"/>
              <w:jc w:val="both"/>
              <w:rPr>
                <w:sz w:val="22"/>
                <w:szCs w:val="22"/>
              </w:rPr>
            </w:pPr>
            <w:r>
              <w:rPr>
                <w:sz w:val="22"/>
                <w:szCs w:val="22"/>
              </w:rPr>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520" w:leader="none"/>
        </w:tabs>
        <w:spacing w:lineRule="exact" w:line="240"/>
        <w:ind w:hanging="2880" w:start="2880" w:end="0"/>
        <w:jc w:val="both"/>
        <w:rPr>
          <w:sz w:val="22"/>
          <w:szCs w:val="22"/>
        </w:rPr>
      </w:pPr>
      <w:r>
        <w:rPr>
          <w:sz w:val="22"/>
          <w:szCs w:val="22"/>
        </w:rPr>
        <w:t>ANNEX A</w:t>
        <w:tab/>
        <w:t>ISDA CREDIT SUPPORT ANNEX, including Paragraph 13 thereto</w:t>
      </w:r>
    </w:p>
    <w:p>
      <w:pPr>
        <w:pStyle w:val="Normal"/>
        <w:tabs>
          <w:tab w:val="clear" w:pos="720"/>
          <w:tab w:val="left" w:pos="2520" w:leader="none"/>
        </w:tabs>
        <w:spacing w:lineRule="exact" w:line="240"/>
        <w:jc w:val="both"/>
        <w:rPr>
          <w:sz w:val="22"/>
          <w:szCs w:val="22"/>
        </w:rPr>
      </w:pPr>
      <w:r>
        <w:rPr>
          <w:sz w:val="22"/>
          <w:szCs w:val="22"/>
        </w:rPr>
        <w:t>EXHIBIT A</w:t>
        <w:tab/>
        <w:t>FORM OF GUARANTY (PARTY A)</w:t>
      </w:r>
    </w:p>
    <w:p>
      <w:pPr>
        <w:sectPr>
          <w:footerReference w:type="default" r:id="rId2"/>
          <w:type w:val="nextPage"/>
          <w:pgSz w:w="12240" w:h="15840"/>
          <w:pgMar w:left="1080" w:right="1080" w:gutter="0" w:header="0" w:top="1440" w:footer="720" w:bottom="1440"/>
          <w:pgNumType w:start="1" w:fmt="decimal"/>
          <w:formProt w:val="false"/>
          <w:textDirection w:val="lrTb"/>
        </w:sectPr>
        <w:pStyle w:val="Normal"/>
        <w:tabs>
          <w:tab w:val="clear" w:pos="720"/>
          <w:tab w:val="left" w:pos="2520" w:leader="none"/>
        </w:tabs>
        <w:spacing w:lineRule="exact" w:line="240"/>
        <w:rPr>
          <w:sz w:val="22"/>
          <w:szCs w:val="22"/>
        </w:rPr>
      </w:pPr>
      <w:r>
        <w:rPr>
          <w:sz w:val="22"/>
          <w:szCs w:val="22"/>
        </w:rPr>
        <w:t>EXHIBIT B</w:t>
        <w:tab/>
        <w:t>FORM OF GUARANTY (PARTY B)</w:t>
      </w:r>
    </w:p>
    <w:p>
      <w:pPr>
        <w:pStyle w:val="Heading1"/>
        <w:ind w:hanging="0" w:start="0"/>
        <w:rPr/>
      </w:pPr>
      <w:r>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December 10, 1996</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op w:val="dashed" w:sz="6" w:space="0" w:color="auto"/>
              <w:start w:val="dashed" w:sz="6" w:space="0" w:color="auto"/>
              <w:bottom w:val="dashed" w:sz="6" w:space="0" w:color="auto"/>
              <w:end w:val="dashed" w:sz="6" w:space="0" w:color="auto"/>
            </w:tcBorders>
          </w:tcPr>
          <w:p>
            <w:pPr>
              <w:pStyle w:val="Normal"/>
              <w:tabs>
                <w:tab w:val="clear" w:pos="720"/>
                <w:tab w:val="center" w:pos="5760" w:leader="none"/>
              </w:tabs>
              <w:spacing w:before="240" w:after="0"/>
              <w:jc w:val="center"/>
              <w:rPr>
                <w:b/>
                <w:bCs/>
                <w:sz w:val="22"/>
                <w:szCs w:val="22"/>
              </w:rPr>
            </w:pPr>
            <w:r>
              <w:rPr>
                <w:b/>
                <w:bCs/>
                <w:sz w:val="22"/>
                <w:szCs w:val="22"/>
              </w:rPr>
              <w:t>ENRON CANADA CORP., a corporation organized under the law of the Province of Alberta ("Party A"), and</w:t>
            </w:r>
          </w:p>
        </w:tc>
        <w:tc>
          <w:tcPr>
            <w:tcW w:w="4608" w:type="dxa"/>
            <w:tcBorders>
              <w:top w:val="dashed" w:sz="6" w:space="0" w:color="auto"/>
              <w:start w:val="dashed" w:sz="6" w:space="0" w:color="auto"/>
              <w:bottom w:val="dashed" w:sz="6" w:space="0" w:color="auto"/>
              <w:end w:val="dashed" w:sz="6" w:space="0" w:color="auto"/>
            </w:tcBorders>
          </w:tcPr>
          <w:p>
            <w:pPr>
              <w:pStyle w:val="Normal"/>
              <w:tabs>
                <w:tab w:val="clear" w:pos="720"/>
                <w:tab w:val="center" w:pos="5760" w:leader="none"/>
              </w:tabs>
              <w:spacing w:before="240" w:after="0"/>
              <w:jc w:val="center"/>
              <w:rPr>
                <w:b/>
                <w:bCs/>
                <w:sz w:val="22"/>
                <w:szCs w:val="22"/>
              </w:rPr>
            </w:pPr>
            <w:r>
              <w:rPr>
                <w:b/>
                <w:bCs/>
                <w:sz w:val="22"/>
                <w:szCs w:val="22"/>
              </w:rPr>
              <w:t>DUKE ENERGY MARKETING LIMITED PARTNERSHIP, a limited partnership organized under the law of the Province of Alberta ("Party B")</w:t>
            </w:r>
          </w:p>
        </w:tc>
      </w:tr>
    </w:tbl>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2"/>
                <w:szCs w:val="22"/>
              </w:rPr>
            </w:pPr>
            <w:r>
              <w:rPr>
                <w:b/>
                <w:bCs/>
                <w:sz w:val="22"/>
                <w:szCs w:val="22"/>
              </w:rPr>
            </w:r>
          </w:p>
        </w:tc>
        <w:tc>
          <w:tcPr>
            <w:tcW w:w="288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2"/>
                <w:szCs w:val="22"/>
              </w:rPr>
            </w:pPr>
            <w:r>
              <w:rPr>
                <w:b/>
                <w:bCs/>
                <w:sz w:val="22"/>
                <w:szCs w:val="22"/>
              </w:rPr>
            </w:r>
          </w:p>
        </w:tc>
        <w:tc>
          <w:tcPr>
            <w:tcW w:w="144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2"/>
                <w:szCs w:val="22"/>
              </w:rPr>
            </w:pPr>
            <w:r>
              <w:rPr>
                <w:b/>
                <w:bCs/>
                <w:sz w:val="22"/>
                <w:szCs w:val="22"/>
              </w:rPr>
            </w:r>
          </w:p>
          <w:p>
            <w:pPr>
              <w:pStyle w:val="Normal"/>
              <w:jc w:val="center"/>
              <w:rPr>
                <w:b/>
                <w:bCs/>
                <w:sz w:val="22"/>
                <w:szCs w:val="22"/>
              </w:rPr>
            </w:pPr>
            <w:r>
              <w:rPr>
                <w:b/>
                <w:bCs/>
                <w:sz w:val="22"/>
                <w:szCs w:val="22"/>
              </w:rPr>
              <w:t>Party A</w:t>
            </w:r>
          </w:p>
        </w:tc>
        <w:tc>
          <w:tcPr>
            <w:tcW w:w="144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2"/>
                <w:szCs w:val="22"/>
              </w:rPr>
            </w:pPr>
            <w:r>
              <w:rPr>
                <w:b/>
                <w:bCs/>
                <w:sz w:val="22"/>
                <w:szCs w:val="22"/>
              </w:rPr>
            </w:r>
          </w:p>
          <w:p>
            <w:pPr>
              <w:pStyle w:val="Normal"/>
              <w:jc w:val="center"/>
              <w:rPr>
                <w:b/>
                <w:bCs/>
                <w:sz w:val="22"/>
                <w:szCs w:val="22"/>
              </w:rPr>
            </w:pPr>
            <w:r>
              <w:rPr>
                <w:b/>
                <w:bCs/>
                <w:sz w:val="22"/>
                <w:szCs w:val="22"/>
              </w:rPr>
              <w:t>Party B</w:t>
            </w:r>
          </w:p>
        </w:tc>
        <w:tc>
          <w:tcPr>
            <w:tcW w:w="1365" w:type="dxa"/>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Valuation</w:t>
            </w:r>
          </w:p>
          <w:p>
            <w:pPr>
              <w:pStyle w:val="Normal"/>
              <w:jc w:val="center"/>
              <w:rPr>
                <w:b/>
                <w:bCs/>
                <w:sz w:val="22"/>
                <w:szCs w:val="22"/>
              </w:rPr>
            </w:pPr>
            <w:r>
              <w:rPr>
                <w:b/>
                <w:bCs/>
                <w:sz w:val="22"/>
                <w:szCs w:val="22"/>
              </w:rPr>
              <w:t>Percentage</w:t>
            </w:r>
          </w:p>
          <w:p>
            <w:pPr>
              <w:pStyle w:val="Normal"/>
              <w:jc w:val="center"/>
              <w:rPr>
                <w:b/>
                <w:bCs/>
                <w:sz w:val="22"/>
                <w:szCs w:val="22"/>
              </w:rPr>
            </w:pPr>
            <w:r>
              <w:rPr>
                <w:b/>
                <w:bCs/>
                <w:sz w:val="22"/>
                <w:szCs w:val="22"/>
              </w:rPr>
            </w:r>
          </w:p>
        </w:tc>
      </w:tr>
      <w:tr>
        <w:trPr/>
        <w:tc>
          <w:tcPr>
            <w:tcW w:w="630" w:type="dxa"/>
            <w:tcBorders>
              <w:top w:val="dashed" w:sz="6" w:space="0" w:color="auto"/>
              <w:start w:val="dashed" w:sz="6" w:space="0" w:color="auto"/>
              <w:bottom w:val="dashed" w:sz="6" w:space="0" w:color="auto"/>
              <w:end w:val="dashed" w:sz="6" w:space="0" w:color="auto"/>
            </w:tcBorders>
          </w:tcPr>
          <w:p>
            <w:pPr>
              <w:pStyle w:val="Normal"/>
              <w:jc w:val="both"/>
              <w:rPr>
                <w:sz w:val="22"/>
                <w:szCs w:val="22"/>
              </w:rPr>
            </w:pPr>
            <w:r>
              <w:rPr>
                <w:sz w:val="22"/>
                <w:szCs w:val="22"/>
              </w:rPr>
              <w:t>(A)</w:t>
            </w:r>
          </w:p>
        </w:tc>
        <w:tc>
          <w:tcPr>
            <w:tcW w:w="2880" w:type="dxa"/>
            <w:tcBorders>
              <w:top w:val="dashed" w:sz="6" w:space="0" w:color="auto"/>
              <w:start w:val="dashed" w:sz="6" w:space="0" w:color="auto"/>
              <w:bottom w:val="dashed" w:sz="6" w:space="0" w:color="auto"/>
              <w:end w:val="dashed" w:sz="6" w:space="0" w:color="auto"/>
            </w:tcBorders>
          </w:tcPr>
          <w:p>
            <w:pPr>
              <w:pStyle w:val="Normal"/>
              <w:rPr>
                <w:sz w:val="22"/>
                <w:szCs w:val="22"/>
              </w:rPr>
            </w:pPr>
            <w:r>
              <w:rPr>
                <w:sz w:val="22"/>
                <w:szCs w:val="22"/>
              </w:rPr>
              <w:t>Cash in the form of Canadian or U.S. Dollars</w:t>
            </w:r>
          </w:p>
          <w:p>
            <w:pPr>
              <w:pStyle w:val="Normal"/>
              <w:rPr>
                <w:sz w:val="22"/>
                <w:szCs w:val="22"/>
              </w:rPr>
            </w:pPr>
            <w:r>
              <w:rPr>
                <w:sz w:val="22"/>
                <w:szCs w:val="22"/>
              </w:rPr>
            </w:r>
          </w:p>
        </w:tc>
        <w:tc>
          <w:tcPr>
            <w:tcW w:w="144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  ]</w:t>
            </w:r>
          </w:p>
        </w:tc>
        <w:tc>
          <w:tcPr>
            <w:tcW w:w="144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  ]</w:t>
            </w:r>
          </w:p>
        </w:tc>
        <w:tc>
          <w:tcPr>
            <w:tcW w:w="1365"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100%</w:t>
            </w:r>
          </w:p>
        </w:tc>
      </w:tr>
      <w:tr>
        <w:trPr/>
        <w:tc>
          <w:tcPr>
            <w:tcW w:w="630" w:type="dxa"/>
            <w:tcBorders>
              <w:top w:val="dashed" w:sz="6" w:space="0" w:color="auto"/>
              <w:start w:val="dashed" w:sz="6" w:space="0" w:color="auto"/>
              <w:bottom w:val="dashed" w:sz="6" w:space="0" w:color="auto"/>
              <w:end w:val="dashed" w:sz="6" w:space="0" w:color="auto"/>
            </w:tcBorders>
          </w:tcPr>
          <w:p>
            <w:pPr>
              <w:pStyle w:val="Normal"/>
              <w:jc w:val="both"/>
              <w:rPr>
                <w:sz w:val="22"/>
                <w:szCs w:val="22"/>
              </w:rPr>
            </w:pPr>
            <w:r>
              <w:rPr>
                <w:sz w:val="22"/>
                <w:szCs w:val="22"/>
              </w:rPr>
              <w:t>(B)</w:t>
            </w:r>
          </w:p>
        </w:tc>
        <w:tc>
          <w:tcPr>
            <w:tcW w:w="2880" w:type="dxa"/>
            <w:tcBorders>
              <w:top w:val="dashed" w:sz="6" w:space="0" w:color="auto"/>
              <w:start w:val="dashed" w:sz="6" w:space="0" w:color="auto"/>
              <w:bottom w:val="dashed" w:sz="6" w:space="0" w:color="auto"/>
              <w:end w:val="dashed" w:sz="6" w:space="0" w:color="auto"/>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2"/>
                <w:szCs w:val="22"/>
              </w:rPr>
            </w:pPr>
            <w:r>
              <w:rPr>
                <w:sz w:val="22"/>
                <w:szCs w:val="22"/>
              </w:rPr>
            </w:r>
          </w:p>
        </w:tc>
        <w:tc>
          <w:tcPr>
            <w:tcW w:w="1440"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2"/>
                <w:szCs w:val="22"/>
              </w:rPr>
            </w:pPr>
            <w:r>
              <w:rPr>
                <w:sz w:val="22"/>
                <w:szCs w:val="22"/>
              </w:rPr>
            </w:r>
          </w:p>
        </w:tc>
        <w:tc>
          <w:tcPr>
            <w:tcW w:w="1365"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sz w:val="22"/>
          <w:szCs w:val="22"/>
        </w:rPr>
      </w:pPr>
      <w:r>
        <w:rPr>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op w:val="dashed" w:sz="6" w:space="0" w:color="auto"/>
              <w:start w:val="dashed" w:sz="6" w:space="0" w:color="auto"/>
              <w:bottom w:val="dashed" w:sz="6" w:space="0" w:color="auto"/>
              <w:end w:val="dashed" w:sz="6" w:space="0" w:color="auto"/>
            </w:tcBorders>
          </w:tcPr>
          <w:p>
            <w:pPr>
              <w:pStyle w:val="Normal"/>
              <w:keepNext w:val="true"/>
              <w:snapToGrid w:val="false"/>
              <w:jc w:val="both"/>
              <w:rPr>
                <w:sz w:val="22"/>
                <w:szCs w:val="22"/>
              </w:rPr>
            </w:pPr>
            <w:r>
              <w:rPr>
                <w:sz w:val="22"/>
                <w:szCs w:val="22"/>
              </w:rPr>
            </w:r>
          </w:p>
        </w:tc>
        <w:tc>
          <w:tcPr>
            <w:tcW w:w="1440" w:type="dxa"/>
            <w:tcBorders>
              <w:top w:val="dashed" w:sz="6" w:space="0" w:color="auto"/>
              <w:start w:val="dashed" w:sz="6" w:space="0" w:color="auto"/>
              <w:bottom w:val="dashed" w:sz="6" w:space="0" w:color="auto"/>
              <w:end w:val="dashed" w:sz="6" w:space="0" w:color="auto"/>
            </w:tcBorders>
          </w:tcPr>
          <w:p>
            <w:pPr>
              <w:pStyle w:val="Normal"/>
              <w:keepNext w:val="true"/>
              <w:snapToGrid w:val="false"/>
              <w:jc w:val="center"/>
              <w:rPr>
                <w:b/>
                <w:bCs/>
                <w:sz w:val="22"/>
                <w:szCs w:val="22"/>
              </w:rPr>
            </w:pPr>
            <w:r>
              <w:rPr>
                <w:b/>
                <w:bCs/>
                <w:sz w:val="22"/>
                <w:szCs w:val="22"/>
              </w:rPr>
            </w:r>
          </w:p>
          <w:p>
            <w:pPr>
              <w:pStyle w:val="Normal"/>
              <w:keepNext w:val="true"/>
              <w:jc w:val="center"/>
              <w:rPr>
                <w:b/>
                <w:bCs/>
                <w:sz w:val="22"/>
                <w:szCs w:val="22"/>
              </w:rPr>
            </w:pPr>
            <w:r>
              <w:rPr>
                <w:b/>
                <w:bCs/>
                <w:sz w:val="22"/>
                <w:szCs w:val="22"/>
              </w:rPr>
              <w:t>Party A</w:t>
            </w:r>
          </w:p>
          <w:p>
            <w:pPr>
              <w:pStyle w:val="Normal"/>
              <w:keepNext w:val="true"/>
              <w:jc w:val="center"/>
              <w:rPr>
                <w:b/>
                <w:bCs/>
                <w:sz w:val="22"/>
                <w:szCs w:val="22"/>
              </w:rPr>
            </w:pPr>
            <w:r>
              <w:rPr>
                <w:b/>
                <w:bCs/>
                <w:sz w:val="22"/>
                <w:szCs w:val="22"/>
              </w:rPr>
            </w:r>
          </w:p>
        </w:tc>
        <w:tc>
          <w:tcPr>
            <w:tcW w:w="1644" w:type="dxa"/>
            <w:tcBorders>
              <w:top w:val="dashed" w:sz="6" w:space="0" w:color="auto"/>
              <w:start w:val="dashed" w:sz="6" w:space="0" w:color="auto"/>
              <w:bottom w:val="dashed" w:sz="6" w:space="0" w:color="auto"/>
              <w:end w:val="dashed" w:sz="6" w:space="0" w:color="auto"/>
            </w:tcBorders>
          </w:tcPr>
          <w:p>
            <w:pPr>
              <w:pStyle w:val="Normal"/>
              <w:keepNext w:val="true"/>
              <w:snapToGrid w:val="false"/>
              <w:jc w:val="center"/>
              <w:rPr>
                <w:b/>
                <w:bCs/>
                <w:sz w:val="22"/>
                <w:szCs w:val="22"/>
              </w:rPr>
            </w:pPr>
            <w:r>
              <w:rPr>
                <w:b/>
                <w:bCs/>
                <w:sz w:val="22"/>
                <w:szCs w:val="22"/>
              </w:rPr>
            </w:r>
          </w:p>
          <w:p>
            <w:pPr>
              <w:pStyle w:val="Normal"/>
              <w:keepNext w:val="true"/>
              <w:jc w:val="center"/>
              <w:rPr>
                <w:b/>
                <w:bCs/>
                <w:sz w:val="22"/>
                <w:szCs w:val="22"/>
              </w:rPr>
            </w:pPr>
            <w:r>
              <w:rPr>
                <w:b/>
                <w:bCs/>
                <w:sz w:val="22"/>
                <w:szCs w:val="22"/>
              </w:rPr>
              <w:t>Party B</w:t>
            </w:r>
          </w:p>
          <w:p>
            <w:pPr>
              <w:pStyle w:val="Normal"/>
              <w:keepNext w:val="true"/>
              <w:jc w:val="center"/>
              <w:rPr>
                <w:b/>
                <w:bCs/>
                <w:sz w:val="22"/>
                <w:szCs w:val="22"/>
              </w:rPr>
            </w:pPr>
            <w:r>
              <w:rPr>
                <w:b/>
                <w:bCs/>
                <w:sz w:val="22"/>
                <w:szCs w:val="22"/>
              </w:rPr>
            </w:r>
          </w:p>
        </w:tc>
        <w:tc>
          <w:tcPr>
            <w:tcW w:w="3757" w:type="dxa"/>
            <w:tcBorders>
              <w:top w:val="dashed" w:sz="6" w:space="0" w:color="auto"/>
              <w:start w:val="dashed" w:sz="6" w:space="0" w:color="auto"/>
              <w:bottom w:val="dashed" w:sz="6" w:space="0" w:color="auto"/>
              <w:end w:val="dashed" w:sz="6" w:space="0" w:color="auto"/>
            </w:tcBorders>
          </w:tcPr>
          <w:p>
            <w:pPr>
              <w:pStyle w:val="Normal"/>
              <w:keepNext w:val="true"/>
              <w:jc w:val="center"/>
              <w:rPr>
                <w:b/>
                <w:bCs/>
                <w:sz w:val="22"/>
                <w:szCs w:val="22"/>
              </w:rPr>
            </w:pPr>
            <w:r>
              <w:rPr>
                <w:b/>
                <w:bCs/>
                <w:sz w:val="22"/>
                <w:szCs w:val="22"/>
              </w:rPr>
              <w:t>Valuation</w:t>
            </w:r>
          </w:p>
          <w:p>
            <w:pPr>
              <w:pStyle w:val="Normal"/>
              <w:keepNext w:val="true"/>
              <w:jc w:val="center"/>
              <w:rPr>
                <w:b/>
                <w:bCs/>
                <w:sz w:val="22"/>
                <w:szCs w:val="22"/>
              </w:rPr>
            </w:pPr>
            <w:r>
              <w:rPr>
                <w:b/>
                <w:bCs/>
                <w:sz w:val="22"/>
                <w:szCs w:val="22"/>
              </w:rPr>
              <w:t>Percentage</w:t>
            </w:r>
          </w:p>
          <w:p>
            <w:pPr>
              <w:pStyle w:val="Normal"/>
              <w:keepNext w:val="true"/>
              <w:jc w:val="center"/>
              <w:rPr>
                <w:b/>
                <w:bCs/>
                <w:sz w:val="22"/>
                <w:szCs w:val="22"/>
              </w:rPr>
            </w:pPr>
            <w:r>
              <w:rPr>
                <w:b/>
                <w:bCs/>
                <w:sz w:val="22"/>
                <w:szCs w:val="22"/>
              </w:rPr>
            </w:r>
          </w:p>
        </w:tc>
      </w:tr>
      <w:tr>
        <w:trPr/>
        <w:tc>
          <w:tcPr>
            <w:tcW w:w="1800" w:type="dxa"/>
            <w:tcBorders>
              <w:top w:val="dashed" w:sz="6" w:space="0" w:color="auto"/>
              <w:start w:val="dashed" w:sz="6" w:space="0" w:color="auto"/>
              <w:bottom w:val="dashed" w:sz="6" w:space="0" w:color="auto"/>
              <w:end w:val="dashed" w:sz="6" w:space="0" w:color="auto"/>
            </w:tcBorders>
          </w:tcPr>
          <w:p>
            <w:pPr>
              <w:pStyle w:val="Normal"/>
              <w:keepNext w:val="true"/>
              <w:jc w:val="both"/>
              <w:rPr>
                <w:sz w:val="22"/>
                <w:szCs w:val="22"/>
              </w:rPr>
            </w:pPr>
            <w:r>
              <w:rPr>
                <w:sz w:val="22"/>
                <w:szCs w:val="22"/>
              </w:rPr>
              <w:t>(A) Letters of Credit</w:t>
            </w:r>
          </w:p>
        </w:tc>
        <w:tc>
          <w:tcPr>
            <w:tcW w:w="1440" w:type="dxa"/>
            <w:tcBorders>
              <w:top w:val="dashed" w:sz="6" w:space="0" w:color="auto"/>
              <w:start w:val="dashed" w:sz="6" w:space="0" w:color="auto"/>
              <w:bottom w:val="dashed" w:sz="6" w:space="0" w:color="auto"/>
              <w:end w:val="dashed" w:sz="6" w:space="0" w:color="auto"/>
            </w:tcBorders>
          </w:tcPr>
          <w:p>
            <w:pPr>
              <w:pStyle w:val="Normal"/>
              <w:keepNext w:val="true"/>
              <w:jc w:val="center"/>
              <w:rPr>
                <w:sz w:val="22"/>
                <w:szCs w:val="22"/>
              </w:rPr>
            </w:pPr>
            <w:r>
              <w:rPr>
                <w:sz w:val="22"/>
                <w:szCs w:val="22"/>
              </w:rPr>
              <w:t>[X]</w:t>
            </w:r>
          </w:p>
        </w:tc>
        <w:tc>
          <w:tcPr>
            <w:tcW w:w="1644" w:type="dxa"/>
            <w:tcBorders>
              <w:top w:val="dashed" w:sz="6" w:space="0" w:color="auto"/>
              <w:start w:val="dashed" w:sz="6" w:space="0" w:color="auto"/>
              <w:bottom w:val="dashed" w:sz="6" w:space="0" w:color="auto"/>
              <w:end w:val="dashed" w:sz="6" w:space="0" w:color="auto"/>
            </w:tcBorders>
          </w:tcPr>
          <w:p>
            <w:pPr>
              <w:pStyle w:val="Normal"/>
              <w:keepNext w:val="true"/>
              <w:jc w:val="center"/>
              <w:rPr>
                <w:sz w:val="22"/>
                <w:szCs w:val="22"/>
              </w:rPr>
            </w:pPr>
            <w:r>
              <w:rPr>
                <w:sz w:val="22"/>
                <w:szCs w:val="22"/>
              </w:rPr>
              <w:t>[X]</w:t>
            </w:r>
          </w:p>
        </w:tc>
        <w:tc>
          <w:tcPr>
            <w:tcW w:w="3757" w:type="dxa"/>
            <w:tcBorders>
              <w:top w:val="dashed" w:sz="6" w:space="0" w:color="auto"/>
              <w:start w:val="dashed" w:sz="6" w:space="0" w:color="auto"/>
              <w:bottom w:val="dashed" w:sz="6" w:space="0" w:color="auto"/>
              <w:end w:val="dashed" w:sz="6" w:space="0" w:color="auto"/>
            </w:tcBorders>
          </w:tcPr>
          <w:p>
            <w:pPr>
              <w:pStyle w:val="Justified"/>
              <w:keepNext w:val="true"/>
              <w:spacing w:before="0" w:after="0"/>
              <w:rPr>
                <w:rFonts w:ascii="Times New Roman" w:hAnsi="Times New Roman" w:eastAsia="Times New Roman" w:cs="Times New Roman"/>
              </w:rPr>
            </w:pPr>
            <w:r>
              <w:rPr>
                <w:rFonts w:eastAsia="Times New Roman"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p>
            <w:pPr>
              <w:pStyle w:val="Heading2"/>
              <w:keepNext w:val="true"/>
              <w:spacing w:before="0" w:after="240"/>
              <w:rPr>
                <w:rFonts w:ascii="Times New Roman" w:hAnsi="Times New Roman" w:eastAsia="Times New Roman" w:cs="Times New Roman"/>
              </w:rPr>
            </w:pPr>
            <w:r>
              <w:rPr>
                <w:rFonts w:eastAsia="Times New Roman" w:cs="Times New Roman" w:ascii="Times New Roman" w:hAnsi="Times New Roman"/>
              </w:rPr>
            </w:r>
          </w:p>
        </w:tc>
      </w:tr>
      <w:tr>
        <w:trPr/>
        <w:tc>
          <w:tcPr>
            <w:tcW w:w="1800" w:type="dxa"/>
            <w:tcBorders>
              <w:top w:val="dashed" w:sz="6" w:space="0" w:color="auto"/>
              <w:start w:val="dashed" w:sz="6" w:space="0" w:color="auto"/>
              <w:bottom w:val="dashed" w:sz="6" w:space="0" w:color="auto"/>
              <w:end w:val="dashed" w:sz="6" w:space="0" w:color="auto"/>
            </w:tcBorders>
          </w:tcPr>
          <w:p>
            <w:pPr>
              <w:pStyle w:val="Normal"/>
              <w:snapToGrid w:val="false"/>
              <w:jc w:val="both"/>
              <w:rPr>
                <w:sz w:val="22"/>
                <w:szCs w:val="22"/>
              </w:rPr>
            </w:pPr>
            <w:r>
              <w:rPr>
                <w:sz w:val="22"/>
                <w:szCs w:val="22"/>
              </w:rPr>
            </w:r>
          </w:p>
        </w:tc>
        <w:tc>
          <w:tcPr>
            <w:tcW w:w="1440"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2"/>
                <w:szCs w:val="22"/>
              </w:rPr>
            </w:pPr>
            <w:r>
              <w:rPr>
                <w:sz w:val="22"/>
                <w:szCs w:val="22"/>
              </w:rPr>
            </w:r>
          </w:p>
        </w:tc>
        <w:tc>
          <w:tcPr>
            <w:tcW w:w="1644"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2"/>
                <w:szCs w:val="22"/>
              </w:rPr>
            </w:pPr>
            <w:r>
              <w:rPr>
                <w:sz w:val="22"/>
                <w:szCs w:val="22"/>
              </w:rPr>
            </w:r>
          </w:p>
        </w:tc>
        <w:tc>
          <w:tcPr>
            <w:tcW w:w="3757" w:type="dxa"/>
            <w:tcBorders>
              <w:top w:val="dashed" w:sz="6" w:space="0" w:color="auto"/>
              <w:start w:val="dashed" w:sz="6" w:space="0" w:color="auto"/>
              <w:bottom w:val="dashed" w:sz="6" w:space="0" w:color="auto"/>
              <w:end w:val="dashed" w:sz="6" w:space="0" w:color="auto"/>
            </w:tcBorders>
          </w:tcPr>
          <w:p>
            <w:pPr>
              <w:pStyle w:val="Justified"/>
              <w:snapToGrid w:val="false"/>
              <w:spacing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1800" w:type="dxa"/>
            <w:tcBorders>
              <w:top w:val="dashed" w:sz="6" w:space="0" w:color="auto"/>
              <w:start w:val="dashed" w:sz="6" w:space="0" w:color="auto"/>
              <w:bottom w:val="dashed" w:sz="6" w:space="0" w:color="auto"/>
              <w:end w:val="dashed" w:sz="6" w:space="0" w:color="auto"/>
            </w:tcBorders>
          </w:tcPr>
          <w:p>
            <w:pPr>
              <w:pStyle w:val="Normal"/>
              <w:rPr>
                <w:sz w:val="22"/>
                <w:szCs w:val="22"/>
              </w:rPr>
            </w:pPr>
            <w:r>
              <w:rPr>
                <w:sz w:val="22"/>
                <w:szCs w:val="22"/>
              </w:rPr>
              <w:t>(B) Such other forms of collateral as the parties may agree</w:t>
            </w:r>
          </w:p>
        </w:tc>
        <w:tc>
          <w:tcPr>
            <w:tcW w:w="144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c>
          <w:tcPr>
            <w:tcW w:w="1644"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c>
          <w:tcPr>
            <w:tcW w:w="3757" w:type="dxa"/>
            <w:tcBorders>
              <w:top w:val="dashed" w:sz="6" w:space="0" w:color="auto"/>
              <w:start w:val="dashed" w:sz="6" w:space="0" w:color="auto"/>
              <w:bottom w:val="dashed" w:sz="6" w:space="0" w:color="auto"/>
              <w:end w:val="dashed" w:sz="6" w:space="0" w:color="auto"/>
            </w:tcBorders>
          </w:tcPr>
          <w:p>
            <w:pPr>
              <w:pStyle w:val="Justified"/>
              <w:spacing w:before="0" w:after="0"/>
              <w:rPr>
                <w:rFonts w:ascii="Times New Roman" w:hAnsi="Times New Roman" w:eastAsia="Times New Roman" w:cs="Times New Roman"/>
              </w:rPr>
            </w:pPr>
            <w:r>
              <w:rPr>
                <w:rFonts w:eastAsia="Times New Roman" w:cs="Times New Roman" w:ascii="Times New Roman" w:hAnsi="Times New Roman"/>
              </w:rPr>
              <w:t>[to be agreed between the parties]</w:t>
            </w:r>
          </w:p>
        </w:tc>
      </w:tr>
    </w:tbl>
    <w:p>
      <w:pPr>
        <w:pStyle w:val="Normal"/>
        <w:ind w:start="90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$1.</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$1.</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 p.m., Eastern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op w:val="dashed" w:sz="6" w:space="0" w:color="auto"/>
              <w:start w:val="dashed" w:sz="6" w:space="0" w:color="auto"/>
              <w:bottom w:val="dashed" w:sz="6" w:space="0" w:color="auto"/>
              <w:end w:val="dashed" w:sz="6" w:space="0" w:color="auto"/>
            </w:tcBorders>
          </w:tcPr>
          <w:p>
            <w:pPr>
              <w:pStyle w:val="Normal"/>
              <w:ind w:start="-18" w:end="0"/>
              <w:rPr>
                <w:b/>
                <w:bCs/>
                <w:sz w:val="22"/>
                <w:szCs w:val="22"/>
              </w:rPr>
            </w:pPr>
            <w:r>
              <w:rPr>
                <w:b/>
                <w:bCs/>
                <w:sz w:val="22"/>
                <w:szCs w:val="22"/>
              </w:rPr>
              <w:t>Specified Condition</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Party A</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op w:val="dashed" w:sz="6" w:space="0" w:color="auto"/>
              <w:start w:val="dashed" w:sz="6" w:space="0" w:color="auto"/>
              <w:bottom w:val="dashed" w:sz="6" w:space="0" w:color="auto"/>
              <w:end w:val="dashed" w:sz="6" w:space="0" w:color="auto"/>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r>
      <w:tr>
        <w:trPr/>
        <w:tc>
          <w:tcPr>
            <w:tcW w:w="3600" w:type="dxa"/>
            <w:tcBorders>
              <w:top w:val="dashed" w:sz="6" w:space="0" w:color="auto"/>
              <w:start w:val="dashed" w:sz="6" w:space="0" w:color="auto"/>
              <w:bottom w:val="dashed" w:sz="6" w:space="0" w:color="auto"/>
              <w:end w:val="dashed" w:sz="6" w:space="0" w:color="auto"/>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r>
      <w:tr>
        <w:trPr/>
        <w:tc>
          <w:tcPr>
            <w:tcW w:w="3600" w:type="dxa"/>
            <w:tcBorders>
              <w:top w:val="dashed" w:sz="6" w:space="0" w:color="auto"/>
              <w:start w:val="dashed" w:sz="6" w:space="0" w:color="auto"/>
              <w:bottom w:val="dashed" w:sz="6" w:space="0" w:color="auto"/>
              <w:end w:val="dashed" w:sz="6" w:space="0" w:color="auto"/>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r>
      <w:tr>
        <w:trPr/>
        <w:tc>
          <w:tcPr>
            <w:tcW w:w="3600" w:type="dxa"/>
            <w:tcBorders>
              <w:top w:val="dashed" w:sz="6" w:space="0" w:color="auto"/>
              <w:start w:val="dashed" w:sz="6" w:space="0" w:color="auto"/>
              <w:bottom w:val="dashed" w:sz="6" w:space="0" w:color="auto"/>
              <w:end w:val="dashed" w:sz="6" w:space="0" w:color="auto"/>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[X]</w:t>
            </w:r>
          </w:p>
        </w:tc>
      </w:tr>
      <w:tr>
        <w:trPr/>
        <w:tc>
          <w:tcPr>
            <w:tcW w:w="3600" w:type="dxa"/>
            <w:tcBorders>
              <w:top w:val="dashed" w:sz="6" w:space="0" w:color="auto"/>
              <w:start w:val="dashed" w:sz="6" w:space="0" w:color="auto"/>
              <w:bottom w:val="dashed" w:sz="6" w:space="0" w:color="auto"/>
              <w:end w:val="dashed" w:sz="6" w:space="0" w:color="auto"/>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None</w:t>
            </w:r>
          </w:p>
        </w:tc>
        <w:tc>
          <w:tcPr>
            <w:tcW w:w="1280" w:type="dxa"/>
            <w:tcBorders>
              <w:top w:val="dashed" w:sz="6" w:space="0" w:color="auto"/>
              <w:start w:val="dashed" w:sz="6" w:space="0" w:color="auto"/>
              <w:bottom w:val="dashed" w:sz="6" w:space="0" w:color="auto"/>
              <w:end w:val="dashed" w:sz="6" w:space="0" w:color="auto"/>
            </w:tcBorders>
          </w:tcPr>
          <w:p>
            <w:pPr>
              <w:pStyle w:val="Normal"/>
              <w:jc w:val="center"/>
              <w:rPr>
                <w:sz w:val="22"/>
                <w:szCs w:val="22"/>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Eastern time, on the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(i) Posted Collateral in the form of Cash may be held in any jurisdiction within Canada, and (ii) Posted Collateral in the form of Letters of Credit may be held in any jurisdiction within Canada or the United States.</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its Credit Support Provider has a Credit Rating from S&amp;P and the lowest Credit Rating for its Credit Support Provider is “BBB-” or higher by S&amp;P.</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(i) Posted Collateral may be held only in the following jurisdictions:  (i) Posted Collateral in the form of Cash may be held in any jurisdiction within Canada, and (ii) Posted Collateral in the form of Letters of Credit may be held in any jurisdiction within Canada or the United States.</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Use of Posted Collateral.</w:t>
      </w:r>
      <w:r>
        <w:rPr>
          <w:sz w:val="22"/>
          <w:szCs w:val="22"/>
        </w:rPr>
        <w:t xml:space="preserve">  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is not eligible to hold Posted Collateral pursuant to Paragraph 13(g)(i) (such party shall be the </w:t>
      </w:r>
      <w:r>
        <w:rPr>
          <w:b/>
          <w:bCs/>
          <w:sz w:val="22"/>
          <w:szCs w:val="22"/>
        </w:rPr>
        <w:t>“Downgraded Party”</w:t>
      </w:r>
      <w:r>
        <w:rPr>
          <w:sz w:val="22"/>
          <w:szCs w:val="22"/>
        </w:rPr>
        <w:t xml:space="preserve"> and the event that caused it to be ineligible to hold Posted Collateral shall be a </w:t>
      </w:r>
      <w:r>
        <w:rPr>
          <w:b/>
          <w:bCs/>
          <w:sz w:val="22"/>
          <w:szCs w:val="22"/>
        </w:rPr>
        <w:t>“Credit Rating Event”</w:t>
      </w:r>
      <w:r>
        <w:rPr>
          <w:sz w:val="22"/>
          <w:szCs w:val="22"/>
        </w:rPr>
        <w:t>), then:</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the provisions of Paragraph 6(c) will not apply with respect to the Downgraded Party as the Secured Party; and</w:t>
      </w:r>
    </w:p>
    <w:p>
      <w:pPr>
        <w:pStyle w:val="Normal"/>
        <w:ind w:start="1080" w:end="0"/>
        <w:jc w:val="both"/>
        <w:rPr>
          <w:sz w:val="22"/>
          <w:szCs w:val="22"/>
        </w:rPr>
      </w:pPr>
      <w:r>
        <w:rPr>
          <w:sz w:val="22"/>
          <w:szCs w:val="22"/>
        </w:rPr>
      </w:r>
    </w:p>
    <w:p>
      <w:pPr>
        <w:pStyle w:val="Normal"/>
        <w:ind w:start="1080" w:end="0"/>
        <w:jc w:val="both"/>
        <w:rPr/>
      </w:pPr>
      <w:r>
        <w:rPr>
          <w:sz w:val="22"/>
          <w:szCs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or “A(low”) in the case of DBRS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(i) for Cash in the form of United States Dollars, the Federal Funds Overnight Rate as from time to time in effect, or (ii) for Cash in the form of Canadian Dollars, the Prime Rate.</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 to Interest Amount.</w:t>
      </w:r>
      <w:r>
        <w:rPr>
          <w:sz w:val="22"/>
          <w:szCs w:val="22"/>
        </w:rPr>
        <w:t xml:space="preserve">  The provisions of Paragraph 6(d)(ii) will apply except as modified below.</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szCs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szCs w:val="22"/>
        </w:rPr>
      </w:pPr>
      <w:r>
        <w:rPr>
          <w:sz w:val="22"/>
          <w:szCs w:val="22"/>
        </w:rPr>
      </w:r>
    </w:p>
    <w:p>
      <w:pPr>
        <w:pStyle w:val="Normal"/>
        <w:ind w:start="900" w:end="0"/>
        <w:jc w:val="both"/>
        <w:rPr>
          <w:sz w:val="22"/>
          <w:szCs w:val="22"/>
        </w:rPr>
      </w:pPr>
      <w:r>
        <w:rPr>
          <w:sz w:val="22"/>
          <w:szCs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szCs w:val="22"/>
        </w:rPr>
      </w:pPr>
      <w:r>
        <w:rPr>
          <w:sz w:val="22"/>
          <w:szCs w:val="22"/>
        </w:rPr>
      </w:r>
    </w:p>
    <w:p>
      <w:pPr>
        <w:pStyle w:val="Normal"/>
        <w:ind w:start="900" w:end="0"/>
        <w:jc w:val="both"/>
        <w:rPr>
          <w:sz w:val="22"/>
          <w:szCs w:val="22"/>
        </w:rPr>
      </w:pPr>
      <w:r>
        <w:rPr>
          <w:sz w:val="22"/>
          <w:szCs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szCs w:val="22"/>
        </w:rPr>
      </w:pPr>
      <w:r>
        <w:rPr>
          <w:sz w:val="22"/>
          <w:szCs w:val="22"/>
        </w:rPr>
      </w:r>
    </w:p>
    <w:p>
      <w:pPr>
        <w:pStyle w:val="Normal"/>
        <w:ind w:start="900" w:end="0"/>
        <w:jc w:val="both"/>
        <w:rPr>
          <w:sz w:val="22"/>
          <w:szCs w:val="22"/>
        </w:rPr>
      </w:pPr>
      <w:r>
        <w:rPr>
          <w:sz w:val="22"/>
          <w:szCs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ind w:start="900" w:end="0"/>
        <w:jc w:val="both"/>
        <w:rPr/>
      </w:pPr>
      <w:r>
        <w:rPr>
          <w:sz w:val="22"/>
          <w:szCs w:val="22"/>
        </w:rPr>
        <w:t>(iv)</w:t>
        <w:tab/>
        <w:t xml:space="preserve">The definition of </w:t>
      </w:r>
      <w:r>
        <w:rPr>
          <w:b/>
          <w:bCs/>
          <w:sz w:val="22"/>
          <w:szCs w:val="22"/>
        </w:rPr>
        <w:t>“Interest Amount”</w:t>
      </w:r>
      <w:r>
        <w:rPr>
          <w:sz w:val="22"/>
          <w:szCs w:val="22"/>
        </w:rPr>
        <w:t xml:space="preserve"> contained in Paragraph 12 shall be amended to substitute “365/366” for “360” in clause (z).</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Letter of Credit Provisions.</w:t>
      </w:r>
      <w:r>
        <w:rPr>
          <w:sz w:val="22"/>
          <w:szCs w:val="22"/>
        </w:rPr>
        <w:t xml:space="preserve">  Other Eligible Support provided in the form of a Letter of Credit shall be subject to the following provisions:</w:t>
      </w:r>
    </w:p>
    <w:p>
      <w:pPr>
        <w:pStyle w:val="Normal"/>
        <w:ind w:start="720" w:end="0"/>
        <w:jc w:val="both"/>
        <w:rPr>
          <w:b/>
          <w:bCs/>
          <w:sz w:val="22"/>
          <w:szCs w:val="22"/>
        </w:rPr>
      </w:pPr>
      <w:r>
        <w:rPr>
          <w:b/>
          <w:bCs/>
          <w:sz w:val="22"/>
          <w:szCs w:val="22"/>
        </w:rPr>
      </w:r>
    </w:p>
    <w:p>
      <w:pPr>
        <w:pStyle w:val="Normal"/>
        <w:ind w:start="720" w:end="0"/>
        <w:jc w:val="both"/>
        <w:rPr>
          <w:sz w:val="22"/>
          <w:szCs w:val="22"/>
        </w:rPr>
      </w:pPr>
      <w:r>
        <w:rPr>
          <w:sz w:val="22"/>
          <w:szCs w:val="22"/>
        </w:rPr>
        <w:t>(1)</w:t>
        <w:tab/>
        <w:t>Unless otherwise agreed in writing by the parties, each Letter of Credit shall be provided in accordance with the provisions of this Annex, and each Letter of Credit shall be maintained for the benefit of the Secured Party.  The Pledgor shall:  (i) renew or cause the renewal of each outstanding Letter of Credit on a timely basis as provided in the relevant Letter of Credit; and (ii) (a) if the bank that issued an outstanding Letter of Credit has indicated its intent not to renew such Letter of Credit (or provide a substitute Letter of Credit) at least twenty (20) Business Days prior to the expiration of the outstanding Letter of Credit; or (b) if a bank issuing a Letter of Credit shall fail to honor the Secured Party’s properly documented request to draw on an outstanding Letter of Credit, the Pledgor shall provide for the benefit of the Secured Party:  (x) a substitute Letter of Credit, that is issued by a bank acceptable to the Secured Party, other than the bank failing to honor the outstanding Letter of Credit; or (y) post Eligible Collateral, in each case within two (2) Local Business Days after the Pledgor receives notice of such refusal, provided that, as a result of the Pledgor’s failure to perform in accordance with (i) or (ii) above, the Delivery Amount applicable to the Pledgor equals or exceeds the Pledgor’s Minimum Transfer Amount.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(2)</w:t>
        <w:tab/>
        <w:t>As one method of providing Eligible Credit Support, the Pledgor may increase the amount of an outstanding Letter of Credit or establish one or more additional Letters of Credit.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(3)(i)</w:t>
        <w:tab/>
        <w:t>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may be made on the Letter of Credit upon submission to the Qualified Institution issuing the Letter of Credit of one or more certificates specifying the amounts due and owing to the Secured Party in accordance with the specific requirements of the Letter of Credit.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b/>
        <w:t>(ii)  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bank issuing such Letter of Credit of one or more certificates specifying the amounts due and owing to the Secured Party in accordance with the specific requirements of the Letter of Credit.  Cash proceeds received from drawing upon the Letter of Credit shall be deemed Posted Collateral and shall be maintained in accordance with these provisions.  The Pledgor shall remain liable for any amounts due and owing to the Secured Party and remaining unpaid after the application of the amounts so drawn by the Secured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(4)</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720" w:end="0"/>
        <w:jc w:val="both"/>
        <w:rPr>
          <w:sz w:val="22"/>
          <w:szCs w:val="22"/>
        </w:rPr>
      </w:pPr>
      <w:r>
        <w:rPr>
          <w:sz w:val="22"/>
          <w:szCs w:val="22"/>
        </w:rPr>
      </w:r>
    </w:p>
    <w:p>
      <w:pPr>
        <w:pStyle w:val="Normal"/>
        <w:ind w:start="720" w:end="0"/>
        <w:jc w:val="both"/>
        <w:rPr/>
      </w:pPr>
      <w:r>
        <w:rPr>
          <w:sz w:val="22"/>
          <w:szCs w:val="22"/>
        </w:rPr>
        <w:t>(5)</w:t>
        <w:tab/>
        <w:t>Upon the occurrence of a Letter of Credit Default, the Pledgor agrees to deliver a substitute Letter of Credit or other Eligible Credit Support to the Secured Party in an amount at least equal to that of the Letter of Credit to be replaced on or before the second (2</w:t>
      </w:r>
      <w:r>
        <w:rPr>
          <w:sz w:val="22"/>
          <w:szCs w:val="22"/>
          <w:vertAlign w:val="superscript"/>
        </w:rPr>
        <w:t>nd</w:t>
      </w:r>
      <w:r>
        <w:rPr>
          <w:sz w:val="22"/>
          <w:szCs w:val="22"/>
        </w:rPr>
        <w:t>) Business Day after written demand by the Secured Party (or the fifth (5</w:t>
      </w:r>
      <w:r>
        <w:rPr>
          <w:sz w:val="22"/>
          <w:szCs w:val="22"/>
          <w:vertAlign w:val="superscript"/>
        </w:rPr>
        <w:t>th</w:t>
      </w:r>
      <w:r>
        <w:rPr>
          <w:sz w:val="22"/>
          <w:szCs w:val="22"/>
        </w:rPr>
        <w:t>) Business Day if only clause (i) under the definition of Letter of Credit Default applies).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(6)</w:t>
        <w:tab/>
        <w:t>Notwithstanding Paragraph 10, in all cases, the costs and expenses (including but not limited to the reasonable costs, expenses, and external attorneys’ fees to the Secured Party) of enforcing its rights hereunder and of establishing, renewing, substituting, canceling, increasing, and reducing the amount of (as the case may be) one or more Letters of Credit shall be borne by the Pledgor.</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(7)</w:t>
        <w:tab/>
        <w:t>If at any time (i) an Event of Default or Specified Condition with respect to the Pledgor has occurred and is continuing or (ii) an Early Termination Date has occurred or been designated as the result of an Event of Default or Specified Condition with respect to the Pledgor, then, unless the Pledgor has paid in full all of its Obligations that are then due, the Secured Party may draw on any outstanding Letter of Credit in an amount equal to such amounts owing to it.  The Pledgor shall remain liable for any amounts owing to the Secured Party and remaining unpaid after the application of the amounts so drawn by the Secured Party.</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(iv)</w:t>
        <w:tab/>
      </w:r>
      <w:r>
        <w:rPr>
          <w:b/>
          <w:bCs/>
          <w:sz w:val="22"/>
          <w:szCs w:val="22"/>
        </w:rPr>
        <w:t>Certain Rights and Remedies.</w:t>
      </w:r>
    </w:p>
    <w:p>
      <w:pPr>
        <w:pStyle w:val="Normal"/>
        <w:keepNext w:val="true"/>
        <w:ind w:start="720" w:end="0"/>
        <w:jc w:val="both"/>
        <w:rPr>
          <w:sz w:val="22"/>
          <w:szCs w:val="22"/>
        </w:rPr>
      </w:pPr>
      <w:r>
        <w:rPr>
          <w:sz w:val="22"/>
          <w:szCs w:val="22"/>
        </w:rPr>
      </w:r>
    </w:p>
    <w:p>
      <w:pPr>
        <w:pStyle w:val="Normal"/>
        <w:keepNext w:val="true"/>
        <w:ind w:start="1440" w:end="0"/>
        <w:jc w:val="both"/>
        <w:rPr/>
      </w:pPr>
      <w:r>
        <w:rPr>
          <w:sz w:val="22"/>
          <w:szCs w:val="22"/>
        </w:rPr>
        <w:t>(1)</w:t>
        <w:tab/>
      </w:r>
      <w:r>
        <w:rPr>
          <w:b/>
          <w:bCs/>
          <w:sz w:val="22"/>
          <w:szCs w:val="22"/>
        </w:rPr>
        <w:t>“Secured Party’s Rights and Remedies”</w:t>
      </w:r>
      <w:r>
        <w:rPr>
          <w:sz w:val="22"/>
          <w:szCs w:val="22"/>
        </w:rPr>
        <w:t xml:space="preserve">  For purposes of Paragraph 8(a)(ii), the Secured Party may draw on any outstanding Letter of Credit in an amount equal to any amounts payable by the Pledgor with respect to any Obligations.</w:t>
      </w:r>
    </w:p>
    <w:p>
      <w:pPr>
        <w:pStyle w:val="Normal"/>
        <w:ind w:start="1440" w:end="0"/>
        <w:jc w:val="both"/>
        <w:rPr>
          <w:b/>
          <w:bCs/>
          <w:sz w:val="22"/>
          <w:szCs w:val="22"/>
        </w:rPr>
      </w:pPr>
      <w:r>
        <w:rPr>
          <w:b/>
          <w:bCs/>
          <w:sz w:val="22"/>
          <w:szCs w:val="22"/>
        </w:rPr>
      </w:r>
    </w:p>
    <w:p>
      <w:pPr>
        <w:pStyle w:val="Normal"/>
        <w:ind w:start="1440" w:end="0"/>
        <w:jc w:val="both"/>
        <w:rPr/>
      </w:pPr>
      <w:r>
        <w:rPr>
          <w:sz w:val="22"/>
          <w:szCs w:val="22"/>
        </w:rPr>
        <w:t>(2)</w:t>
        <w:tab/>
      </w:r>
      <w:r>
        <w:rPr>
          <w:b/>
          <w:bCs/>
          <w:sz w:val="22"/>
          <w:szCs w:val="22"/>
        </w:rPr>
        <w:t>“Pledgor’s Rights and Remedies”</w:t>
      </w:r>
      <w:r>
        <w:rPr>
          <w:sz w:val="22"/>
          <w:szCs w:val="22"/>
        </w:rPr>
        <w:t xml:space="preserve">  For purposes of Paragraph 8(b)(ii), (i) the Secured Party will be obligated immediately to Transfer any Letter of Credit to the Pledgor and (ii) the Pledgor may do any one or more of the following:  (x) to the extent that the Letter of Credit is not Transferred to the Pledgor as required pursuant to (i) above,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(k)</w:t>
        <w:tab/>
      </w:r>
      <w:r>
        <w:rPr>
          <w:b/>
          <w:bCs/>
          <w:sz w:val="22"/>
          <w:szCs w:val="22"/>
        </w:rPr>
        <w:t>Demands and Notices.</w:t>
      </w:r>
    </w:p>
    <w:p>
      <w:pPr>
        <w:pStyle w:val="Normal"/>
        <w:jc w:val="both"/>
        <w:rPr>
          <w:sz w:val="22"/>
          <w:szCs w:val="22"/>
        </w:rPr>
      </w:pPr>
      <w:r>
        <w:rPr>
          <w:sz w:val="22"/>
          <w:szCs w:val="22"/>
        </w:rPr>
      </w:r>
    </w:p>
    <w:p>
      <w:pPr>
        <w:pStyle w:val="Normal"/>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(l)</w:t>
        <w:tab/>
      </w:r>
      <w:r>
        <w:rPr>
          <w:b/>
          <w:bCs/>
          <w:sz w:val="22"/>
          <w:szCs w:val="22"/>
        </w:rPr>
        <w:t>Addresses for Transfers.</w:t>
      </w:r>
    </w:p>
    <w:p>
      <w:pPr>
        <w:pStyle w:val="Normal"/>
        <w:ind w:start="720" w:end="0"/>
        <w:jc w:val="both"/>
        <w:rPr>
          <w:sz w:val="22"/>
          <w:szCs w:val="22"/>
        </w:rPr>
      </w:pPr>
      <w:r>
        <w:rPr>
          <w:sz w:val="22"/>
          <w:szCs w:val="22"/>
        </w:rPr>
      </w:r>
    </w:p>
    <w:p>
      <w:pPr>
        <w:pStyle w:val="Normal"/>
        <w:ind w:hanging="1080" w:start="1800" w:end="0"/>
        <w:jc w:val="both"/>
        <w:rPr>
          <w:sz w:val="22"/>
          <w:szCs w:val="22"/>
        </w:rPr>
      </w:pPr>
      <w:r>
        <w:rPr>
          <w:sz w:val="22"/>
          <w:szCs w:val="22"/>
        </w:rPr>
        <w:t>Party A:     To be provided in notice requesting delivery/return of Eligible Credit Support/Posted Credit Support.</w:t>
      </w:r>
    </w:p>
    <w:p>
      <w:pPr>
        <w:pStyle w:val="Normal"/>
        <w:ind w:start="720" w:end="0"/>
        <w:jc w:val="both"/>
        <w:rPr>
          <w:sz w:val="22"/>
          <w:szCs w:val="22"/>
        </w:rPr>
      </w:pPr>
      <w:r>
        <w:rPr>
          <w:sz w:val="22"/>
          <w:szCs w:val="22"/>
        </w:rPr>
      </w:r>
    </w:p>
    <w:p>
      <w:pPr>
        <w:pStyle w:val="WW-BodyText2"/>
        <w:ind w:hanging="1080" w:start="1800" w:end="0"/>
        <w:rPr/>
      </w:pPr>
      <w:r>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DBRS or the other specified rating agency or agencies, or in the event where an entity has no such debt, its corporate credit rating by S&amp;P, Moody’s, DBRS or the other specified rating agency or agencies.</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DBRS”</w:t>
      </w:r>
      <w:r>
        <w:rPr>
          <w:sz w:val="22"/>
          <w:szCs w:val="22"/>
        </w:rPr>
        <w:t xml:space="preserve"> means Dominion Bonds Rating Service Limited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Overnight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letter of credit, issued by a major Canadian or U.S. commercial bank or foreign bank with a Canadian or U.S. branch office with a Credit Rating of at least “A-” by S&amp;P, “A3” by Moody’s or “A(low)” by DBRS, utilizing a form satisfactory to the Secured Party, with such changes to the terms in that form as the issuing bank may require.  Each Letter of Credit shall be a Credit Support Document, </w:t>
      </w:r>
      <w:r>
        <w:rPr>
          <w:color w:val="000000"/>
          <w:sz w:val="22"/>
          <w:szCs w:val="22"/>
          <w:u w:val="single"/>
        </w:rPr>
        <w:t>provided, however</w:t>
      </w:r>
      <w:r>
        <w:rPr>
          <w:color w:val="000000"/>
          <w:sz w:val="22"/>
          <w:szCs w:val="22"/>
        </w:rPr>
        <w:t>, no occurrence with respect to any Letter of Credit shall be considered an Event of Default unless such occurrence falls within the definition of Letter of Credit Default below</w:t>
      </w:r>
      <w:r>
        <w:rPr>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 Default”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5(a)(vii) of this Agreement shall occur with respect to the issuer of such Letter of Credit; or (vi) the issuer of the Letter of Credit shall fail to cause the renewal or replacement Letter of Credit to the Secured Party at the address specified in the Agreement at least ninety (90) days prior to the expiration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Pledgor in accordance with the terms of this Agreement.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rated below “BBB-” by S&amp;P or such party shall fail to have a Credit Rating; or (b) with respect to Party B, its Credit Support Provider’s Credit Rating is rated below “BBB-” by S&amp;P or such party shall fail to have a Credit Rating.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Prime Rate”</w:t>
      </w:r>
      <w:r>
        <w:rPr>
          <w:sz w:val="22"/>
          <w:szCs w:val="22"/>
        </w:rPr>
        <w:t xml:space="preserve"> means, for any date, the per annum rate of interest identified by the Royal Bank of Canada from time to time as the prime lending rate charged to its most creditworthy customers for commercial loans in Calgary and/or Toronto.</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w:t>
      </w:r>
      <w:r>
        <w:rPr>
          <w:sz w:val="22"/>
          <w:szCs w:val="22"/>
        </w:rPr>
        <w:t>Subject to Paragraph 4(a) and only to the extent contemplated in the previous sentence,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start="72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sect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Heading3"/>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December 10, 1996,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DUKE ENERGY MARKETING LIMITED PARTNERSHIP, a partnership organized under the law of the Province of Alberta (“Counterparty”) and ENRON CANADA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ind w:hanging="0" w:start="720" w:end="0"/>
        <w:rPr>
          <w:sz w:val="22"/>
          <w:szCs w:val="22"/>
        </w:rPr>
      </w:pPr>
      <w:r>
        <w:rPr>
          <w:sz w:val="22"/>
          <w:szCs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szCs w:val="22"/>
        </w:rPr>
      </w:pPr>
      <w:r>
        <w:rPr>
          <w:sz w:val="22"/>
          <w:szCs w:val="22"/>
        </w:rPr>
        <w:t>(b)</w:t>
        <w:tab/>
        <w:t>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Duke Energy Marketing Limited</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Partnership</w:t>
            </w:r>
          </w:p>
        </w:tc>
        <w:tc>
          <w:tcPr>
            <w:tcW w:w="1618"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pPr>
            <w:r>
              <w:rPr>
                <w:color w:val="000000"/>
                <w:sz w:val="22"/>
                <w:szCs w:val="22"/>
              </w:rPr>
              <w:t>2700, 700-9</w:t>
            </w:r>
            <w:r>
              <w:rPr>
                <w:color w:val="000000"/>
                <w:sz w:val="22"/>
                <w:szCs w:val="22"/>
                <w:vertAlign w:val="superscript"/>
              </w:rPr>
              <w:t>th</w:t>
            </w:r>
            <w:r>
              <w:rPr>
                <w:color w:val="000000"/>
                <w:sz w:val="22"/>
                <w:szCs w:val="22"/>
              </w:rPr>
              <w:t xml:space="preserve"> Ave. S.W.</w:t>
            </w:r>
          </w:p>
        </w:tc>
        <w:tc>
          <w:tcPr>
            <w:tcW w:w="161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Calgary, Alberta  T2P 3V4</w:t>
            </w:r>
          </w:p>
        </w:tc>
        <w:tc>
          <w:tcPr>
            <w:tcW w:w="161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tc>
      </w:tr>
      <w:tr>
        <w:trPr/>
        <w:tc>
          <w:tcPr>
            <w:tcW w:w="190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Contract Administration</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(403) 237-6021</w:t>
            </w:r>
          </w:p>
        </w:tc>
        <w:tc>
          <w:tcPr>
            <w:tcW w:w="161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exact" w:line="240"/>
        <w:ind w:firstLine="720" w:end="0"/>
        <w:jc w:val="both"/>
        <w:rPr/>
      </w:pPr>
      <w:r>
        <w:rPr>
          <w:sz w:val="22"/>
          <w:szCs w:val="22"/>
        </w:rPr>
        <w:t xml:space="preserve">A copy of any notice sent to </w:t>
      </w:r>
      <w:r>
        <w:rPr>
          <w:color w:val="000000"/>
          <w:sz w:val="22"/>
          <w:szCs w:val="22"/>
        </w:rPr>
        <w:t>Counterparty</w:t>
      </w:r>
      <w:r>
        <w:rPr>
          <w:sz w:val="22"/>
          <w:szCs w:val="22"/>
        </w:rPr>
        <w:t xml:space="preserve"> pursuant hereto must also be sent to Duke Energy Trading and Marketing L.L.C., 10777 Westheimer, Suite 650, Houston, Texas  77042; Attention:  Controller; Facsimile No.:  (713) 260-1825.</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ASSIGNMENT</w:t>
      </w:r>
      <w:r>
        <w:rPr>
          <w:sz w:val="22"/>
          <w:szCs w:val="22"/>
        </w:rPr>
        <w:t>.  Neither party may assign this Guaranty without the prior written consent of the other party.</w:t>
      </w:r>
    </w:p>
    <w:p>
      <w:pPr>
        <w:pStyle w:val="Normal"/>
        <w:spacing w:lineRule="atLeast" w:line="240"/>
        <w:ind w:firstLine="720" w:end="0"/>
        <w:jc w:val="both"/>
        <w:rPr>
          <w:sz w:val="22"/>
          <w:szCs w:val="22"/>
        </w:rPr>
      </w:pPr>
      <w:r>
        <w:rPr>
          <w:sz w:val="22"/>
          <w:szCs w:val="22"/>
        </w:rPr>
      </w:r>
    </w:p>
    <w:p>
      <w:pPr>
        <w:pStyle w:val="Normal"/>
        <w:tabs>
          <w:tab w:val="clear" w:pos="720"/>
          <w:tab w:val="left" w:pos="7920" w:leader="none"/>
        </w:tabs>
        <w:spacing w:lineRule="atLeast" w:line="240"/>
        <w:ind w:firstLine="720" w:end="0"/>
        <w:jc w:val="both"/>
        <w:rPr>
          <w:sz w:val="22"/>
          <w:szCs w:val="22"/>
        </w:rPr>
      </w:pPr>
      <w:r>
        <w:rPr>
          <w:sz w:val="22"/>
          <w:szCs w:val="22"/>
        </w:rPr>
        <w:t>IN WITNESS WHEREOF, the Guarantor has executed this Guaranty on June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6"/>
          <w:headerReference w:type="first" r:id="rId7"/>
          <w:footerReference w:type="default" r:id="rId8"/>
          <w:footerReference w:type="first" r:id="rId9"/>
          <w:type w:val="nextPage"/>
          <w:pgSz w:w="12240" w:h="15840"/>
          <w:pgMar w:left="1080" w:right="1080" w:gutter="0" w:header="0" w:top="1440" w:footer="0" w:bottom="1440"/>
          <w:pgNumType w:start="1" w:fmt="decimal"/>
          <w:formProt w:val="false"/>
          <w:textDirection w:val="lrTb"/>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000000"/>
          <w:sz w:val="22"/>
          <w:szCs w:val="22"/>
          <w:u w:val="single"/>
        </w:rPr>
        <w:t>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000000"/>
          <w:sz w:val="22"/>
          <w:szCs w:val="22"/>
        </w:rPr>
        <w:t>DUKE ENERGY TRADING AND MARKETING, L.L.C.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This Guaranty (the “Guaranty”), dated as of December 10, 1996, is made and entered into by DUKE ENERGY TRADING AND MARKETING, L.L.C., a Delaware limited liability company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Justified"/>
        <w:spacing w:lineRule="atLeast" w:line="240" w:before="0" w:after="0"/>
        <w:rPr>
          <w:rFonts w:ascii="Times New Roman" w:hAnsi="Times New Roman" w:eastAsia="Times New Roman" w:cs="Times New Roman"/>
          <w:b/>
          <w:bCs/>
          <w:caps/>
          <w:sz w:val="22"/>
          <w:szCs w:val="22"/>
        </w:rPr>
      </w:pPr>
      <w:r>
        <w:rPr>
          <w:rFonts w:eastAsia="Times New Roman" w:cs="Times New Roman" w:ascii="Times New Roman" w:hAnsi="Times New Roman"/>
          <w:b/>
          <w:bCs/>
          <w:caps/>
          <w:sz w:val="22"/>
          <w:szCs w:val="22"/>
        </w:rPr>
      </w:r>
    </w:p>
    <w:p>
      <w:pPr>
        <w:pStyle w:val="Normal"/>
        <w:spacing w:lineRule="atLeast" w:line="240"/>
        <w:ind w:firstLine="720" w:end="0"/>
        <w:jc w:val="both"/>
        <w:rPr/>
      </w:pPr>
      <w:r>
        <w:rPr>
          <w:sz w:val="22"/>
          <w:szCs w:val="22"/>
        </w:rPr>
        <w:t xml:space="preserve">WHEREAS, DUKE ENERGY MARKETING LIMITED PARTNERSHIP, an affiliate of Guarantor (“Counterparty”) and </w:t>
      </w:r>
      <w:r>
        <w:rPr>
          <w:color w:val="000000"/>
          <w:sz w:val="22"/>
          <w:szCs w:val="22"/>
        </w:rPr>
        <w:t xml:space="preserve">ENRON CANADA CORP., a corporation organized under the law of the Province of Alberta </w:t>
      </w:r>
      <w:r>
        <w:rPr>
          <w:sz w:val="22"/>
          <w:szCs w:val="22"/>
        </w:rPr>
        <w:t xml:space="preserve">(“Enron”),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ind w:hanging="0" w:start="720" w:end="0"/>
        <w:rPr>
          <w:sz w:val="22"/>
          <w:szCs w:val="22"/>
        </w:rPr>
      </w:pPr>
      <w:r>
        <w:rPr>
          <w:sz w:val="22"/>
          <w:szCs w:val="22"/>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limited liability company duly organized and validly existing under the laws of the State of Delaware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ind w:hanging="0" w:start="720" w:end="0"/>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Style11"/>
        <w:spacing w:lineRule="atLeast" w:line="240" w:before="0" w:after="0"/>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To Enron:</w:t>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Enron Canada Corp.</w:t>
            </w:r>
          </w:p>
          <w:p>
            <w:pPr>
              <w:pStyle w:val="Normal"/>
              <w:keepNext w:val="true"/>
              <w:keepLines/>
              <w:spacing w:lineRule="atLeast" w:line="240"/>
              <w:rPr/>
            </w:pPr>
            <w:r>
              <w:rPr>
                <w:sz w:val="22"/>
                <w:szCs w:val="22"/>
              </w:rPr>
              <w:t>400-3</w:t>
            </w:r>
            <w:r>
              <w:rPr>
                <w:sz w:val="22"/>
                <w:szCs w:val="22"/>
                <w:vertAlign w:val="superscript"/>
              </w:rPr>
              <w:t>rd</w:t>
            </w:r>
            <w:r>
              <w:rPr>
                <w:sz w:val="22"/>
                <w:szCs w:val="22"/>
              </w:rPr>
              <w:t xml:space="preserve"> Avenue, Suite 3500</w:t>
            </w:r>
          </w:p>
          <w:p>
            <w:pPr>
              <w:pStyle w:val="Normal"/>
              <w:keepNext w:val="true"/>
              <w:keepLines/>
              <w:spacing w:lineRule="atLeast" w:line="240"/>
              <w:rPr>
                <w:sz w:val="22"/>
                <w:szCs w:val="22"/>
              </w:rPr>
            </w:pPr>
            <w:r>
              <w:rPr>
                <w:sz w:val="22"/>
                <w:szCs w:val="22"/>
              </w:rPr>
              <w:t>Calgary, Alberta  T2P 4H2</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To Guarantor:</w:t>
            </w:r>
          </w:p>
        </w:tc>
        <w:tc>
          <w:tcPr>
            <w:tcW w:w="3150" w:type="dxa"/>
            <w:tcBorders>
              <w:top w:val="dashed" w:sz="6" w:space="0" w:color="auto"/>
              <w:start w:val="dashed" w:sz="6" w:space="0" w:color="auto"/>
              <w:bottom w:val="dashed" w:sz="6" w:space="0" w:color="auto"/>
              <w:end w:val="dashed" w:sz="6" w:space="0" w:color="auto"/>
            </w:tcBorders>
          </w:tcPr>
          <w:p>
            <w:pPr>
              <w:pStyle w:val="ENVELOPE"/>
              <w:keepNext w:val="true"/>
              <w:keepLines/>
              <w:tabs>
                <w:tab w:val="clear" w:pos="720"/>
                <w:tab w:val="right" w:pos="2988" w:leader="none"/>
              </w:tabs>
              <w:spacing w:lineRule="atLeast" w:line="240"/>
              <w:rPr/>
            </w:pPr>
            <w:r>
              <w:rPr/>
              <w:t>Duke Energy Marketing and Trading, L.L.C.</w:t>
            </w:r>
          </w:p>
          <w:p>
            <w:pPr>
              <w:pStyle w:val="Normal"/>
              <w:keepNext w:val="true"/>
              <w:keepLines/>
              <w:tabs>
                <w:tab w:val="clear" w:pos="720"/>
                <w:tab w:val="right" w:pos="2988" w:leader="none"/>
              </w:tabs>
              <w:spacing w:lineRule="atLeast" w:line="240"/>
              <w:rPr>
                <w:sz w:val="22"/>
                <w:szCs w:val="22"/>
              </w:rPr>
            </w:pPr>
            <w:r>
              <w:rPr>
                <w:sz w:val="22"/>
                <w:szCs w:val="22"/>
              </w:rPr>
              <w:t>10777 Westheimer, Suite 650</w:t>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ind w:end="72"/>
              <w:rPr>
                <w:sz w:val="22"/>
                <w:szCs w:val="22"/>
              </w:rPr>
            </w:pPr>
            <w:r>
              <w:rPr>
                <w:sz w:val="22"/>
                <w:szCs w:val="22"/>
              </w:rPr>
              <w:t>Houston, Texas 77042</w:t>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Fax No.:  (403) 974-6706</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sz w:val="22"/>
                <w:szCs w:val="22"/>
              </w:rPr>
            </w:pPr>
            <w:r>
              <w:rPr>
                <w:sz w:val="22"/>
                <w:szCs w:val="22"/>
              </w:rPr>
              <w:t>Attn.: Controller</w:t>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sz w:val="22"/>
                <w:szCs w:val="22"/>
              </w:rPr>
            </w:pPr>
            <w:r>
              <w:rPr>
                <w:sz w:val="22"/>
                <w:szCs w:val="22"/>
              </w:rPr>
              <w:t>Fax No.(713) 260-1825</w:t>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Justified"/>
        <w:spacing w:lineRule="atLeast"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240"/>
        <w:ind w:firstLine="720" w:end="0"/>
        <w:jc w:val="both"/>
        <w:rPr/>
      </w:pPr>
      <w:r>
        <w:rPr>
          <w:sz w:val="22"/>
          <w:szCs w:val="22"/>
        </w:rPr>
        <w:t xml:space="preserve">9. </w:t>
        <w:tab/>
      </w:r>
      <w:r>
        <w:rPr>
          <w:sz w:val="22"/>
          <w:szCs w:val="22"/>
          <w:u w:val="single"/>
        </w:rPr>
        <w:t>ASSIGNMENT</w:t>
      </w:r>
      <w:r>
        <w:rPr>
          <w:sz w:val="22"/>
          <w:szCs w:val="22"/>
        </w:rPr>
        <w:t>.  Neither party may assign this Guaranty without the prior written consent of the other party.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r>
      <w:r>
        <w:rPr>
          <w:sz w:val="22"/>
          <w:szCs w:val="22"/>
        </w:rPr>
        <w:t>June __,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sz w:val="22"/>
          <w:szCs w:val="22"/>
        </w:rPr>
        <w:t>DUKE ENERGY MARKETING AND TRADING,</w:t>
      </w:r>
    </w:p>
    <w:p>
      <w:pPr>
        <w:pStyle w:val="Normal"/>
        <w:spacing w:lineRule="exact" w:line="240"/>
        <w:ind w:start="5040" w:end="0"/>
        <w:jc w:val="both"/>
        <w:rPr>
          <w:sz w:val="22"/>
          <w:szCs w:val="22"/>
        </w:rPr>
      </w:pPr>
      <w:r>
        <w:rPr>
          <w:sz w:val="22"/>
          <w:szCs w:val="22"/>
        </w:rPr>
        <w:t>L.L.C.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sectPr>
      <w:headerReference w:type="default" r:id="rId10"/>
      <w:footerReference w:type="default" r:id="rId11"/>
      <w:type w:val="nextPage"/>
      <w:pgSz w:w="12240" w:h="15840"/>
      <w:pgMar w:left="1080" w:right="108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/mnt/main-storage/datasets/enron-docs/doc/165gctr.doc</w:t>
    </w:r>
    <w:r>
      <w:rPr>
        <w:sz w:val="12"/>
        <w:szCs w:val="12"/>
      </w:rPr>
      <w:fldChar w:fldCharType="end"/>
    </w:r>
  </w:p>
  <w:p>
    <w:pPr>
      <w:pStyle w:val="Footer"/>
      <w:jc w:val="center"/>
      <w:rPr>
        <w:sz w:val="12"/>
        <w:szCs w:val="12"/>
      </w:rPr>
    </w:pPr>
    <w:r>
      <w:rPr>
        <w:sz w:val="12"/>
        <w:szCs w:val="12"/>
      </w:rPr>
    </w:r>
  </w:p>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10</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t>Exhibit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9</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sz w:val="20"/>
        <w:szCs w:val="20"/>
      </w:rPr>
    </w:pPr>
    <w:r>
      <w:rPr>
        <w:sz w:val="20"/>
        <w:szCs w:val="20"/>
      </w:rPr>
      <w:t>Exhibit B</w:t>
    </w:r>
  </w:p>
  <w:p>
    <w:pPr>
      <w:pStyle w:val="Footer"/>
      <w:tabs>
        <w:tab w:val="clear" w:pos="4320"/>
        <w:tab w:val="right" w:pos="8640" w:leader="none"/>
      </w:tabs>
      <w:ind w:end="360"/>
      <w:jc w:val="center"/>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eastAsia="Arial" w:cs="Arial"/>
    </w:rPr>
  </w:style>
  <w:style w:type="paragraph" w:styleId="Heading3">
    <w:name w:val="heading 3"/>
    <w:basedOn w:val="Normal"/>
    <w:next w:val="Normal"/>
    <w:qFormat/>
    <w:pPr>
      <w:keepNext w:val="true"/>
      <w:numPr>
        <w:ilvl w:val="2"/>
        <w:numId w:val="1"/>
      </w:numPr>
      <w:ind w:hanging="0" w:start="0" w:end="180"/>
      <w:jc w:val="center"/>
      <w:outlineLvl w:val="2"/>
    </w:pPr>
    <w:rPr>
      <w:b/>
      <w:bCs/>
      <w:sz w:val="22"/>
      <w:szCs w:val="22"/>
      <w:u w:val="single"/>
    </w:rPr>
  </w:style>
  <w:style w:type="paragraph" w:styleId="Heading4">
    <w:name w:val="heading 4"/>
    <w:basedOn w:val="Normal"/>
    <w:next w:val="Normal"/>
    <w:qFormat/>
    <w:pPr>
      <w:keepNext w:val="true"/>
      <w:numPr>
        <w:ilvl w:val="3"/>
        <w:numId w:val="1"/>
      </w:numPr>
      <w:jc w:val="end"/>
      <w:outlineLvl w:val="3"/>
    </w:pPr>
    <w:rPr>
      <w:b/>
      <w:bCs/>
      <w:sz w:val="22"/>
      <w:szCs w:val="22"/>
      <w:u w:val="single"/>
    </w:rPr>
  </w:style>
  <w:style w:type="paragraph" w:styleId="Heading6">
    <w:name w:val="heading 6"/>
    <w:basedOn w:val="Normal"/>
    <w:next w:val="BodyText"/>
    <w:qFormat/>
    <w:pPr>
      <w:numPr>
        <w:ilvl w:val="5"/>
        <w:numId w:val="1"/>
      </w:numPr>
      <w:spacing w:before="0" w:after="240"/>
      <w:ind w:firstLine="720" w:start="0" w:end="0"/>
      <w:jc w:val="both"/>
      <w:outlineLvl w:val="5"/>
    </w:pPr>
    <w:rPr>
      <w:sz w:val="22"/>
      <w:szCs w:val="22"/>
    </w:rPr>
  </w:style>
  <w:style w:type="character" w:styleId="DefaultParagraphFont">
    <w:name w:val="Default Paragraph Font"/>
    <w:qFormat/>
    <w:rPr/>
  </w:style>
  <w:style w:type="character" w:styleId="PageNumber">
    <w:name w:val="page number"/>
    <w:basedOn w:val="DefaultParagraphFont"/>
    <w:rPr>
      <w:rFonts w:ascii="Times New Roman" w:hAnsi="Times New Roman" w:eastAsia="Times New Roman" w:cs="Times New Roman"/>
      <w:sz w:val="22"/>
      <w:szCs w:val="22"/>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jc w:val="both"/>
    </w:pPr>
    <w:rPr>
      <w:b/>
      <w:bCs/>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exact" w:line="240" w:before="240" w:after="0"/>
      <w:ind w:hanging="720" w:start="2160" w:end="0"/>
      <w:jc w:val="both"/>
    </w:pPr>
    <w:rPr/>
  </w:style>
  <w:style w:type="paragraph" w:styleId="BodyText2">
    <w:name w:val="Body Text 2"/>
    <w:basedOn w:val="Normal"/>
    <w:qFormat/>
    <w:pPr>
      <w:spacing w:lineRule="exact" w:line="240" w:before="240" w:after="0"/>
      <w:jc w:val="both"/>
    </w:pPr>
    <w:rPr/>
  </w:style>
  <w:style w:type="paragraph" w:styleId="BlockText">
    <w:name w:val="Block Text"/>
    <w:basedOn w:val="Normal"/>
    <w:qFormat/>
    <w:pPr>
      <w:ind w:firstLine="720" w:start="1440" w:end="720"/>
      <w:jc w:val="both"/>
    </w:pPr>
    <w:rPr/>
  </w:style>
  <w:style w:type="paragraph" w:styleId="Style11">
    <w:name w:val="Style1"/>
    <w:basedOn w:val="Heading6"/>
    <w:qFormat/>
    <w:pPr>
      <w:numPr>
        <w:ilvl w:val="0"/>
        <w:numId w:val="0"/>
      </w:numPr>
      <w:ind w:firstLine="720" w:start="0"/>
      <w:outlineLvl w:val="9"/>
    </w:pPr>
    <w:rPr/>
  </w:style>
  <w:style w:type="paragraph" w:styleId="Justified">
    <w:name w:val="Justified"/>
    <w:basedOn w:val="Normal"/>
    <w:next w:val="Heading2"/>
    <w:qFormat/>
    <w:pPr>
      <w:spacing w:before="0" w:after="120"/>
      <w:jc w:val="both"/>
    </w:pPr>
    <w:rPr>
      <w:rFonts w:ascii="Arial" w:hAnsi="Arial" w:eastAsia="Arial" w:cs="Arial"/>
      <w:sz w:val="22"/>
      <w:szCs w:val="22"/>
    </w:rPr>
  </w:style>
  <w:style w:type="paragraph" w:styleId="BodyTextIndent2">
    <w:name w:val="Body Text Indent 2"/>
    <w:basedOn w:val="Normal"/>
    <w:qFormat/>
    <w:pPr>
      <w:tabs>
        <w:tab w:val="left" w:pos="720" w:leader="none"/>
      </w:tabs>
      <w:ind w:hanging="720" w:start="720" w:end="0"/>
      <w:jc w:val="both"/>
    </w:pPr>
    <w:rPr>
      <w:sz w:val="22"/>
      <w:szCs w:val="22"/>
    </w:rPr>
  </w:style>
  <w:style w:type="paragraph" w:styleId="WW-BodyText2">
    <w:name w:val="WW-Body Text 2"/>
    <w:basedOn w:val="Normal"/>
    <w:qFormat/>
    <w:pPr>
      <w:ind w:hanging="720" w:start="1440" w:end="0"/>
      <w:jc w:val="both"/>
    </w:pPr>
    <w:rPr>
      <w:sz w:val="22"/>
      <w:szCs w:val="22"/>
    </w:rPr>
  </w:style>
  <w:style w:type="paragraph" w:styleId="ENVELOPE">
    <w:name w:val="ENVELOPE"/>
    <w:basedOn w:val="Normal"/>
    <w:qFormat/>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2000-06-14T19:15:00Z</dcterms:created>
  <dc:creator>mheard</dc:creator>
  <dc:description/>
  <dc:language>en-CA</dc:language>
  <cp:lastModifiedBy>tjones</cp:lastModifiedBy>
  <cp:lastPrinted>2000-06-14T17:20:00Z</cp:lastPrinted>
  <dcterms:modified xsi:type="dcterms:W3CDTF">2000-06-14T20:20:00Z</dcterms:modified>
  <cp:revision>6</cp:revision>
  <dc:subject/>
  <dc:title>DRAFT OF 11/01/99</dc:title>
</cp:coreProperties>
</file>