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settings.xml" ContentType="application/vnd.openxmlformats-officedocument.wordprocessingml.settings+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center"/>
        <w:rPr>
          <w:sz w:val="22"/>
        </w:rPr>
      </w:pPr>
      <w:r>
        <w:rPr>
          <w:sz w:val="22"/>
        </w:rPr>
      </w:r>
    </w:p>
    <w:p>
      <w:pPr>
        <w:pStyle w:val="Normal"/>
        <w:jc w:val="center"/>
        <w:rPr>
          <w:sz w:val="22"/>
        </w:rPr>
      </w:pPr>
      <w:r>
        <w:rPr>
          <w:sz w:val="22"/>
        </w:rPr>
      </w:r>
    </w:p>
    <w:p>
      <w:pPr>
        <w:pStyle w:val="Normal"/>
        <w:jc w:val="center"/>
        <w:rPr>
          <w:sz w:val="22"/>
        </w:rPr>
      </w:pPr>
      <w:r>
        <w:rPr>
          <w:sz w:val="22"/>
        </w:rPr>
      </w:r>
    </w:p>
    <w:p>
      <w:pPr>
        <w:pStyle w:val="Normal"/>
        <w:jc w:val="center"/>
        <w:rPr>
          <w:sz w:val="22"/>
        </w:rPr>
      </w:pPr>
      <w:r>
        <w:rPr>
          <w:sz w:val="22"/>
        </w:rPr>
      </w:r>
    </w:p>
    <w:p>
      <w:pPr>
        <w:pStyle w:val="Normal"/>
        <w:jc w:val="center"/>
        <w:rPr>
          <w:sz w:val="22"/>
        </w:rPr>
      </w:pPr>
      <w:r>
        <w:rPr>
          <w:sz w:val="22"/>
        </w:rPr>
      </w:r>
    </w:p>
    <w:p>
      <w:pPr>
        <w:pStyle w:val="Normal"/>
        <w:jc w:val="center"/>
        <w:rPr>
          <w:sz w:val="22"/>
        </w:rPr>
      </w:pPr>
      <w:r>
        <w:rPr>
          <w:sz w:val="22"/>
        </w:rPr>
      </w:r>
    </w:p>
    <w:p>
      <w:pPr>
        <w:pStyle w:val="Normal"/>
        <w:jc w:val="center"/>
        <w:rPr>
          <w:sz w:val="22"/>
        </w:rPr>
      </w:pPr>
      <w:r>
        <w:rPr>
          <w:sz w:val="22"/>
        </w:rPr>
        <w:t>May 8, 2000</w:t>
      </w:r>
    </w:p>
    <w:p>
      <w:pPr>
        <w:pStyle w:val="Heading1"/>
        <w:ind w:hanging="0" w:start="0"/>
        <w:rPr/>
      </w:pPr>
      <w:r>
        <w:rPr/>
        <w:t>VIA EMAIL</w:t>
      </w:r>
    </w:p>
    <w:p>
      <w:pPr>
        <w:pStyle w:val="Normal"/>
        <w:rPr>
          <w:sz w:val="22"/>
        </w:rPr>
      </w:pPr>
      <w:r>
        <w:rPr>
          <w:sz w:val="22"/>
        </w:rPr>
      </w:r>
    </w:p>
    <w:p>
      <w:pPr>
        <w:pStyle w:val="Normal"/>
        <w:jc w:val="both"/>
        <w:rPr>
          <w:b/>
          <w:bCs/>
          <w:sz w:val="22"/>
        </w:rPr>
      </w:pPr>
      <w:r>
        <w:rPr>
          <w:b/>
          <w:bCs/>
          <w:sz w:val="22"/>
        </w:rPr>
        <w:t>To:</w:t>
        <w:tab/>
        <w:t>Daniel Harris</w:t>
      </w:r>
    </w:p>
    <w:p>
      <w:pPr>
        <w:pStyle w:val="Normal"/>
        <w:ind w:firstLine="720" w:end="0"/>
        <w:jc w:val="both"/>
        <w:rPr>
          <w:b/>
          <w:bCs/>
          <w:sz w:val="22"/>
        </w:rPr>
      </w:pPr>
      <w:r>
        <w:rPr>
          <w:b/>
          <w:bCs/>
          <w:sz w:val="22"/>
        </w:rPr>
        <w:t>Shearman &amp; Sterling</w:t>
      </w:r>
    </w:p>
    <w:p>
      <w:pPr>
        <w:pStyle w:val="Normal"/>
        <w:jc w:val="both"/>
        <w:rPr>
          <w:b/>
          <w:bCs/>
          <w:sz w:val="22"/>
        </w:rPr>
      </w:pPr>
      <w:r>
        <w:rPr>
          <w:b/>
          <w:bCs/>
          <w:sz w:val="22"/>
        </w:rPr>
      </w:r>
    </w:p>
    <w:p>
      <w:pPr>
        <w:pStyle w:val="Heading1"/>
        <w:ind w:hanging="0" w:start="0"/>
        <w:rPr>
          <w:bCs/>
        </w:rPr>
      </w:pPr>
      <w:r>
        <w:rPr>
          <w:bCs/>
        </w:rPr>
        <w:t xml:space="preserve">From:  </w:t>
        <w:tab/>
        <w:t xml:space="preserve">Susan  Flynn </w:t>
      </w:r>
    </w:p>
    <w:p>
      <w:pPr>
        <w:pStyle w:val="Normal"/>
        <w:jc w:val="both"/>
        <w:rPr>
          <w:bCs/>
          <w:sz w:val="22"/>
        </w:rPr>
      </w:pPr>
      <w:r>
        <w:rPr>
          <w:bCs/>
          <w:sz w:val="22"/>
        </w:rPr>
      </w:r>
    </w:p>
    <w:p>
      <w:pPr>
        <w:pStyle w:val="Normal"/>
        <w:ind w:hanging="720" w:start="720" w:end="0"/>
        <w:jc w:val="both"/>
        <w:rPr>
          <w:b/>
          <w:sz w:val="22"/>
        </w:rPr>
      </w:pPr>
      <w:r>
        <w:rPr>
          <w:b/>
          <w:sz w:val="22"/>
        </w:rPr>
        <w:t>Re:</w:t>
        <w:tab/>
        <w:t>ISDA Master Agreement (the “Master Agreement”) between Enron North America Corp. (“Enron”) and The Ospraie Portfolio, Ltd. (the “Company”)</w:t>
      </w:r>
    </w:p>
    <w:p>
      <w:pPr>
        <w:pStyle w:val="Normal"/>
        <w:jc w:val="both"/>
        <w:rPr>
          <w:b/>
          <w:sz w:val="22"/>
        </w:rPr>
      </w:pPr>
      <w:r>
        <w:rPr>
          <w:b/>
          <w:sz w:val="22"/>
        </w:rPr>
      </w:r>
    </w:p>
    <w:p>
      <w:pPr>
        <w:pStyle w:val="Normal"/>
        <w:jc w:val="both"/>
        <w:rPr>
          <w:sz w:val="22"/>
        </w:rPr>
      </w:pPr>
      <w:r>
        <w:rPr>
          <w:sz w:val="22"/>
        </w:rPr>
      </w:r>
    </w:p>
    <w:p>
      <w:pPr>
        <w:pStyle w:val="Normal"/>
        <w:jc w:val="both"/>
        <w:rPr>
          <w:sz w:val="22"/>
        </w:rPr>
      </w:pPr>
      <w:r>
        <w:rPr>
          <w:sz w:val="22"/>
        </w:rPr>
        <w:tab/>
        <w:t xml:space="preserve">In addition to the changes made to the Schedule and Credit Support Annex to the Master Agreement as reflected on the redline of the same, listed below are certain other issues for your consideration. </w:t>
      </w:r>
    </w:p>
    <w:p>
      <w:pPr>
        <w:pStyle w:val="Normal"/>
        <w:jc w:val="both"/>
        <w:rPr>
          <w:sz w:val="22"/>
        </w:rPr>
      </w:pPr>
      <w:r>
        <w:rPr>
          <w:sz w:val="22"/>
        </w:rPr>
      </w:r>
    </w:p>
    <w:p>
      <w:pPr>
        <w:pStyle w:val="Normal"/>
        <w:jc w:val="both"/>
        <w:rPr/>
      </w:pPr>
      <w:r>
        <w:rPr>
          <w:sz w:val="22"/>
        </w:rPr>
        <w:t>1.</w:t>
        <w:tab/>
      </w:r>
      <w:r>
        <w:rPr>
          <w:b/>
          <w:bCs/>
          <w:sz w:val="22"/>
        </w:rPr>
        <w:t>Part 2 of the Schedule, Tax Representations</w:t>
      </w:r>
      <w:r>
        <w:rPr>
          <w:sz w:val="22"/>
        </w:rPr>
        <w:t>: Please be advised that our original draft of the Master Agreement incorporated the tax representations that our tax attorneys recommend for a foreign counterparty that (i) is not eligible for treaty benefits and (ii) may act through branches, offices or agencies located both in and outside of the United States.    Please advise if our slection is correct.  The revised draft of the Master Agreement leaves the tax clauses unchanged; we have referred your comments to our tax attorney for review.</w:t>
      </w:r>
    </w:p>
    <w:p>
      <w:pPr>
        <w:pStyle w:val="Normal"/>
        <w:jc w:val="both"/>
        <w:rPr>
          <w:sz w:val="22"/>
        </w:rPr>
      </w:pPr>
      <w:r>
        <w:rPr>
          <w:sz w:val="22"/>
        </w:rPr>
      </w:r>
    </w:p>
    <w:p>
      <w:pPr>
        <w:pStyle w:val="Normal"/>
        <w:jc w:val="both"/>
        <w:rPr/>
      </w:pPr>
      <w:r>
        <w:rPr>
          <w:sz w:val="22"/>
        </w:rPr>
        <w:t>2.</w:t>
        <w:tab/>
      </w:r>
      <w:r>
        <w:rPr>
          <w:b/>
          <w:bCs/>
          <w:sz w:val="22"/>
        </w:rPr>
        <w:t>Part 5(i) of the Schedule, Limitation of Liability</w:t>
      </w:r>
      <w:r>
        <w:rPr>
          <w:sz w:val="22"/>
        </w:rPr>
        <w:t>:   As a matter of Enron Corp’s corporate policy, we must include this clause in every contract that we sign.</w:t>
      </w:r>
    </w:p>
    <w:p>
      <w:pPr>
        <w:pStyle w:val="Normal"/>
        <w:jc w:val="both"/>
        <w:rPr>
          <w:sz w:val="22"/>
        </w:rPr>
      </w:pPr>
      <w:r>
        <w:rPr>
          <w:sz w:val="22"/>
        </w:rPr>
      </w:r>
    </w:p>
    <w:p>
      <w:pPr>
        <w:pStyle w:val="Normal"/>
        <w:jc w:val="both"/>
        <w:rPr/>
      </w:pPr>
      <w:r>
        <w:rPr>
          <w:sz w:val="22"/>
        </w:rPr>
        <w:t>3.</w:t>
        <w:tab/>
      </w:r>
      <w:r>
        <w:rPr>
          <w:b/>
          <w:bCs/>
          <w:sz w:val="22"/>
        </w:rPr>
        <w:t>Paragraph 13(g)(i), Holding and Using of Posted Collateral:</w:t>
      </w:r>
      <w:r>
        <w:rPr>
          <w:sz w:val="22"/>
        </w:rPr>
        <w:t xml:space="preserve"> </w:t>
        <w:tab/>
        <w:t xml:space="preserve">Our Credit Department prefers to to keep the language as it is written; the do not want to limit Posted Collateral to being held in New York City only.    </w:t>
      </w:r>
    </w:p>
    <w:p>
      <w:pPr>
        <w:pStyle w:val="Normal"/>
        <w:jc w:val="both"/>
        <w:rPr>
          <w:sz w:val="22"/>
        </w:rPr>
      </w:pPr>
      <w:r>
        <w:rPr>
          <w:sz w:val="22"/>
        </w:rPr>
      </w:r>
    </w:p>
    <w:p>
      <w:pPr>
        <w:pStyle w:val="Normal"/>
        <w:jc w:val="both"/>
        <w:rPr>
          <w:sz w:val="22"/>
        </w:rPr>
      </w:pPr>
      <w:r>
        <w:rPr>
          <w:sz w:val="22"/>
        </w:rPr>
        <w:tab/>
        <w:t xml:space="preserve">With reference to the Enron Corp. Guaranty, your comments are still being reviewed by an Enron Corp. attorney.  We will forward his comments to you as soon as possible. </w:t>
      </w:r>
    </w:p>
    <w:p>
      <w:pPr>
        <w:pStyle w:val="Normal"/>
        <w:jc w:val="both"/>
        <w:rPr>
          <w:sz w:val="22"/>
        </w:rPr>
      </w:pPr>
      <w:r>
        <w:rPr>
          <w:sz w:val="22"/>
        </w:rPr>
      </w:r>
    </w:p>
    <w:p>
      <w:pPr>
        <w:pStyle w:val="BodyText2"/>
        <w:rPr>
          <w:sz w:val="22"/>
        </w:rPr>
      </w:pPr>
      <w:r>
        <w:rPr>
          <w:sz w:val="22"/>
        </w:rPr>
        <w:tab/>
        <w:t xml:space="preserve">Should you have any questions or comments, please call either Sara Shackleton at (713) 853-5620 or me at (713) 853-0975. </w:t>
      </w:r>
    </w:p>
    <w:p>
      <w:pPr>
        <w:pStyle w:val="BodyText2"/>
        <w:rPr>
          <w:sz w:val="22"/>
        </w:rPr>
      </w:pPr>
      <w:r>
        <w:rPr>
          <w:sz w:val="22"/>
        </w:rPr>
      </w:r>
    </w:p>
    <w:sectPr>
      <w:headerReference w:type="default" r:id="rId2"/>
      <w:headerReference w:type="first" r:id="rId3"/>
      <w:footerReference w:type="default" r:id="rId4"/>
      <w:footerReference w:type="first" r:id="rId5"/>
      <w:type w:val="nextPage"/>
      <w:pgSz w:w="12240" w:h="15840"/>
      <w:pgMar w:left="1440" w:right="1440" w:gutter="0" w:header="1440" w:top="1496" w:footer="720" w:bottom="1440"/>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Times">
    <w:altName w:val="Times New Roman"/>
    <w:charset w:val="00" w:characterSet="windows-1252"/>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sz w:val="12"/>
      </w:rPr>
    </w:pPr>
    <w:r>
      <w:rPr>
        <w:sz w:val="12"/>
      </w:rPr>
      <w:fldChar w:fldCharType="begin"/>
    </w:r>
    <w:r>
      <w:rPr>
        <w:sz w:val="12"/>
      </w:rPr>
      <w:instrText xml:space="preserve"> FILENAME \p </w:instrText>
    </w:r>
    <w:r>
      <w:rPr>
        <w:sz w:val="12"/>
      </w:rPr>
      <w:fldChar w:fldCharType="separate"/>
    </w:r>
    <w:r>
      <w:rPr>
        <w:sz w:val="12"/>
      </w:rPr>
      <w:t>/mnt/main-storage/datasets/enron-docs/doc/164ltr.doc</w:t>
    </w:r>
    <w:r>
      <w:rPr>
        <w:sz w:val="12"/>
      </w:rPr>
      <w:fldChar w:fldCharType="end"/>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sz w:val="18"/>
      </w:rPr>
    </w:pPr>
    <w:r>
      <w:rPr>
        <w:sz w:val="18"/>
      </w:rPr>
      <w:t>SDFlynn/164ltr.doc</w:t>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sz w:val="22"/>
      </w:rPr>
    </w:pPr>
    <w:r>
      <w:rPr>
        <w:sz w:val="22"/>
      </w:rPr>
      <w:t>Mr. Randall L. Curry</w:t>
    </w:r>
  </w:p>
  <w:p>
    <w:pPr>
      <w:pStyle w:val="Header"/>
      <w:rPr>
        <w:sz w:val="22"/>
      </w:rPr>
    </w:pPr>
    <w:r>
      <w:rPr>
        <w:sz w:val="22"/>
      </w:rPr>
      <w:t>March 28, 2000</w:t>
    </w:r>
  </w:p>
  <w:p>
    <w:pPr>
      <w:pStyle w:val="Header"/>
      <w:rPr>
        <w:rStyle w:val="PageNumber"/>
        <w:sz w:val="22"/>
      </w:rPr>
    </w:pPr>
    <w:r>
      <w:rPr>
        <w:rStyle w:val="PageNumber"/>
        <w:sz w:val="22"/>
      </w:rPr>
      <w:t xml:space="preserve">Page </w:t>
    </w:r>
    <w:r>
      <w:rPr>
        <w:rStyle w:val="PageNumber"/>
        <w:sz w:val="22"/>
      </w:rPr>
      <w:fldChar w:fldCharType="begin"/>
    </w:r>
    <w:r>
      <w:rPr>
        <w:rStyle w:val="PageNumber"/>
        <w:sz w:val="22"/>
      </w:rPr>
      <w:instrText xml:space="preserve"> PAGE </w:instrText>
    </w:r>
    <w:r>
      <w:rPr>
        <w:rStyle w:val="PageNumber"/>
        <w:sz w:val="22"/>
      </w:rPr>
      <w:fldChar w:fldCharType="separate"/>
    </w:r>
    <w:r>
      <w:rPr>
        <w:rStyle w:val="PageNumber"/>
        <w:sz w:val="22"/>
      </w:rPr>
      <w:t>0</w:t>
    </w:r>
    <w:r>
      <w:rPr>
        <w:rStyle w:val="PageNumber"/>
        <w:sz w:val="22"/>
      </w:rPr>
      <w:fldChar w:fldCharType="end"/>
    </w:r>
  </w:p>
  <w:p>
    <w:pPr>
      <w:pStyle w:val="Header"/>
      <w:rPr>
        <w:rStyle w:val="PageNumber"/>
        <w:sz w:val="22"/>
      </w:rPr>
    </w:pPr>
    <w:r>
      <w:rPr/>
    </w:r>
  </w:p>
  <w:p>
    <w:pPr>
      <w:pStyle w:val="Header"/>
      <w:rPr>
        <w:rStyle w:val="PageNumber"/>
        <w:sz w:val="22"/>
      </w:rPr>
    </w:pPr>
    <w:r>
      <w:rPr/>
    </w:r>
  </w:p>
  <w:p>
    <w:pPr>
      <w:pStyle w:val="Header"/>
      <w:rPr>
        <w:rStyle w:val="PageNumber"/>
        <w:sz w:val="22"/>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Left"/>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00"/>
  <w:defaultTabStop w:val="720"/>
  <w:autoHyphenation w:val="true"/>
  <w:hyphenationZone w:val="0"/>
  <w:compat>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0"/>
      <w:lang w:val="en-US" w:bidi="ar-SA" w:eastAsia="zh-CN"/>
    </w:rPr>
  </w:style>
  <w:style w:type="paragraph" w:styleId="Heading1">
    <w:name w:val="heading 1"/>
    <w:basedOn w:val="Normal"/>
    <w:next w:val="Normal"/>
    <w:qFormat/>
    <w:pPr>
      <w:keepNext w:val="true"/>
      <w:numPr>
        <w:ilvl w:val="0"/>
        <w:numId w:val="1"/>
      </w:numPr>
      <w:jc w:val="both"/>
      <w:outlineLvl w:val="0"/>
    </w:pPr>
    <w:rPr>
      <w:b/>
      <w:sz w:val="22"/>
    </w:rPr>
  </w:style>
  <w:style w:type="paragraph" w:styleId="Heading3">
    <w:name w:val="heading 3"/>
    <w:basedOn w:val="Normal"/>
    <w:next w:val="NormalIndent"/>
    <w:qFormat/>
    <w:pPr>
      <w:numPr>
        <w:ilvl w:val="2"/>
        <w:numId w:val="1"/>
      </w:numPr>
      <w:ind w:hanging="0" w:start="360" w:end="0"/>
      <w:outlineLvl w:val="2"/>
    </w:pPr>
    <w:rPr>
      <w:rFonts w:ascii="Times" w:hAnsi="Times" w:cs="Times"/>
      <w:b/>
    </w:rPr>
  </w:style>
  <w:style w:type="character" w:styleId="WW8Num1z0">
    <w:name w:val="WW8Num1z0"/>
    <w:qFormat/>
    <w:rPr/>
  </w:style>
  <w:style w:type="character" w:styleId="WW8Num3z0">
    <w:name w:val="WW8Num3z0"/>
    <w:qFormat/>
    <w:rPr/>
  </w:style>
  <w:style w:type="character" w:styleId="WW8Num4z0">
    <w:name w:val="WW8Num4z0"/>
    <w:qFormat/>
    <w:rPr/>
  </w:style>
  <w:style w:type="character" w:styleId="WW8Num5z0">
    <w:name w:val="WW8Num5z0"/>
    <w:qFormat/>
    <w:rPr/>
  </w:style>
  <w:style w:type="character" w:styleId="WW8Num6z0">
    <w:name w:val="WW8Num6z0"/>
    <w:qFormat/>
    <w:rPr/>
  </w:style>
  <w:style w:type="character" w:styleId="WW8Num7z0">
    <w:name w:val="WW8Num7z0"/>
    <w:qFormat/>
    <w:rPr/>
  </w:style>
  <w:style w:type="character" w:styleId="WW8Num8z0">
    <w:name w:val="WW8Num8z0"/>
    <w:qFormat/>
    <w:rPr/>
  </w:style>
  <w:style w:type="character" w:styleId="WW8Num9z0">
    <w:name w:val="WW8Num9z0"/>
    <w:qFormat/>
    <w:rPr/>
  </w:style>
  <w:style w:type="character" w:styleId="WW8Num10z0">
    <w:name w:val="WW8Num10z0"/>
    <w:qFormat/>
    <w:rPr/>
  </w:style>
  <w:style w:type="character" w:styleId="WW8Num11z0">
    <w:name w:val="WW8Num11z0"/>
    <w:qFormat/>
    <w:rPr/>
  </w:style>
  <w:style w:type="character" w:styleId="WW8Num12z0">
    <w:name w:val="WW8Num12z0"/>
    <w:qFormat/>
    <w:rPr/>
  </w:style>
  <w:style w:type="character" w:styleId="WW8Num13z0">
    <w:name w:val="WW8Num13z0"/>
    <w:qFormat/>
    <w:rPr/>
  </w:style>
  <w:style w:type="character" w:styleId="WW8Num14z0">
    <w:name w:val="WW8Num14z0"/>
    <w:qFormat/>
    <w:rPr/>
  </w:style>
  <w:style w:type="character" w:styleId="WW8Num15z0">
    <w:name w:val="WW8Num15z0"/>
    <w:qFormat/>
    <w:rPr/>
  </w:style>
  <w:style w:type="character" w:styleId="WW8Num16z0">
    <w:name w:val="WW8Num16z0"/>
    <w:qFormat/>
    <w:rPr/>
  </w:style>
  <w:style w:type="character" w:styleId="WW8Num18z0">
    <w:name w:val="WW8Num18z0"/>
    <w:qFormat/>
    <w:rPr/>
  </w:style>
  <w:style w:type="character" w:styleId="WW8Num19z0">
    <w:name w:val="WW8Num19z0"/>
    <w:qFormat/>
    <w:rPr/>
  </w:style>
  <w:style w:type="character" w:styleId="WW8Num20z0">
    <w:name w:val="WW8Num20z0"/>
    <w:qFormat/>
    <w:rPr/>
  </w:style>
  <w:style w:type="character" w:styleId="WW8Num21z0">
    <w:name w:val="WW8Num21z0"/>
    <w:qFormat/>
    <w:rPr/>
  </w:style>
  <w:style w:type="character" w:styleId="WW8Num22z0">
    <w:name w:val="WW8Num22z0"/>
    <w:qFormat/>
    <w:rPr/>
  </w:style>
  <w:style w:type="character" w:styleId="WW8Num23z0">
    <w:name w:val="WW8Num23z0"/>
    <w:qFormat/>
    <w:rPr/>
  </w:style>
  <w:style w:type="character" w:styleId="WW8Num24z0">
    <w:name w:val="WW8Num24z0"/>
    <w:qFormat/>
    <w:rPr/>
  </w:style>
  <w:style w:type="character" w:styleId="WW8Num25z0">
    <w:name w:val="WW8Num25z0"/>
    <w:qFormat/>
    <w:rPr/>
  </w:style>
  <w:style w:type="character" w:styleId="WW8Num26z0">
    <w:name w:val="WW8Num26z0"/>
    <w:qFormat/>
    <w:rPr/>
  </w:style>
  <w:style w:type="character" w:styleId="DefaultParagraphFont">
    <w:name w:val="Default Paragraph Font"/>
    <w:qFormat/>
    <w:rPr/>
  </w:style>
  <w:style w:type="character" w:styleId="PageNumber">
    <w:name w:val="page number"/>
    <w:basedOn w:val="DefaultParagraphFont"/>
    <w:rPr/>
  </w:style>
  <w:style w:type="paragraph" w:styleId="Heading">
    <w:name w:val="Heading"/>
    <w:basedOn w:val="Normal"/>
    <w:next w:val="BodyText"/>
    <w:qFormat/>
    <w:pPr>
      <w:jc w:val="center"/>
    </w:pPr>
    <w:rPr>
      <w:b/>
      <w:sz w:val="22"/>
    </w:rPr>
  </w:style>
  <w:style w:type="paragraph" w:styleId="BodyText">
    <w:name w:val="Body Text"/>
    <w:basedOn w:val="Normal"/>
    <w:pPr>
      <w:jc w:val="both"/>
    </w:pPr>
    <w:rPr>
      <w:sz w:val="22"/>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NormalIndent">
    <w:name w:val="Normal Indent"/>
    <w:basedOn w:val="Normal"/>
    <w:qFormat/>
    <w:pPr>
      <w:ind w:hanging="0" w:start="720" w:end="0"/>
    </w:pPr>
    <w:rPr/>
  </w:style>
  <w:style w:type="paragraph" w:styleId="BodyText2">
    <w:name w:val="Body Text 2"/>
    <w:basedOn w:val="Normal"/>
    <w:qFormat/>
    <w:pPr>
      <w:jc w:val="both"/>
    </w:pPr>
    <w:rPr>
      <w:sz w:val="20"/>
    </w:rPr>
  </w:style>
  <w:style w:type="paragraph" w:styleId="BodyTextIndent">
    <w:name w:val="Body Text Indent"/>
    <w:basedOn w:val="Normal"/>
    <w:pPr>
      <w:ind w:firstLine="720" w:start="0" w:end="0"/>
      <w:jc w:val="both"/>
    </w:pPr>
    <w:rPr>
      <w:b/>
      <w:sz w:val="20"/>
    </w:rPr>
  </w:style>
  <w:style w:type="paragraph" w:styleId="BodyTextIndent2">
    <w:name w:val="Body Text Indent 2"/>
    <w:basedOn w:val="Normal"/>
    <w:qFormat/>
    <w:pPr>
      <w:ind w:firstLine="720" w:start="0" w:end="0"/>
      <w:jc w:val="both"/>
    </w:pPr>
    <w:rPr>
      <w:sz w:val="20"/>
    </w:rPr>
  </w:style>
  <w:style w:type="paragraph" w:styleId="BodyTextIndent3">
    <w:name w:val="Body Text Indent 3"/>
    <w:basedOn w:val="Normal"/>
    <w:qFormat/>
    <w:pPr>
      <w:ind w:hanging="720" w:start="720" w:end="0"/>
      <w:jc w:val="both"/>
    </w:pPr>
    <w:rPr>
      <w:sz w:val="22"/>
    </w:rPr>
  </w:style>
  <w:style w:type="paragraph" w:styleId="BodyText3">
    <w:name w:val="Body Text 3"/>
    <w:basedOn w:val="Normal"/>
    <w:qFormat/>
    <w:pPr>
      <w:jc w:val="both"/>
    </w:pPr>
    <w:rPr>
      <w:color w:val="000000"/>
      <w:sz w:val="22"/>
    </w:rPr>
  </w:style>
  <w:style w:type="paragraph" w:styleId="HeaderLeft">
    <w:name w:val="Header Left"/>
    <w:basedOn w:val="Header"/>
    <w:qFormat/>
    <w:pPr>
      <w:suppressLineNumbers/>
      <w:tabs>
        <w:tab w:val="clear" w:pos="4320"/>
        <w:tab w:val="clear" w:pos="8640"/>
        <w:tab w:val="center" w:pos="4680" w:leader="none"/>
        <w:tab w:val="right" w:pos="9360" w:leader="none"/>
      </w:tabs>
    </w:pPr>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 w:type="numbering" w:styleId="WW8Num15">
    <w:name w:val="WW8Num15"/>
    <w:qFormat/>
  </w:style>
  <w:style w:type="numbering" w:styleId="WW8Num16">
    <w:name w:val="WW8Num16"/>
    <w:qFormat/>
  </w:style>
  <w:style w:type="numbering" w:styleId="WW8Num17">
    <w:name w:val="WW8Num17"/>
    <w:qFormat/>
  </w:style>
  <w:style w:type="numbering" w:styleId="WW8Num18">
    <w:name w:val="WW8Num18"/>
    <w:qFormat/>
  </w:style>
  <w:style w:type="numbering" w:styleId="WW8Num19">
    <w:name w:val="WW8Num19"/>
    <w:qFormat/>
  </w:style>
  <w:style w:type="numbering" w:styleId="WW8Num20">
    <w:name w:val="WW8Num20"/>
    <w:qFormat/>
  </w:style>
  <w:style w:type="numbering" w:styleId="WW8Num21">
    <w:name w:val="WW8Num21"/>
    <w:qFormat/>
  </w:style>
  <w:style w:type="numbering" w:styleId="WW8Num22">
    <w:name w:val="WW8Num22"/>
    <w:qFormat/>
  </w:style>
  <w:style w:type="numbering" w:styleId="WW8Num23">
    <w:name w:val="WW8Num23"/>
    <w:qFormat/>
  </w:style>
  <w:style w:type="numbering" w:styleId="WW8Num24">
    <w:name w:val="WW8Num24"/>
    <w:qFormat/>
  </w:style>
  <w:style w:type="numbering" w:styleId="WW8Num25">
    <w:name w:val="WW8Num25"/>
    <w:qFormat/>
  </w:style>
  <w:style w:type="numbering" w:styleId="WW8Num26">
    <w:name w:val="WW8Num26"/>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footer" Target="footer1.xml"/><Relationship Id="rId5" Type="http://schemas.openxmlformats.org/officeDocument/2006/relationships/footer" Target="footer2.xml"/><Relationship Id="rId6" Type="http://schemas.openxmlformats.org/officeDocument/2006/relationships/numbering" Target="numbering.xml"/><Relationship Id="rId7" Type="http://schemas.openxmlformats.org/officeDocument/2006/relationships/fontTable" Target="fontTable.xml"/><Relationship Id="rId8" Type="http://schemas.openxmlformats.org/officeDocument/2006/relationships/settings" Target="settings.xml"/><Relationship Id="rId9"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29</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2000-05-08T21:16:00Z</dcterms:created>
  <dc:creator>ECT</dc:creator>
  <dc:description/>
  <dc:language>en-CA</dc:language>
  <cp:lastModifiedBy>sflynn2</cp:lastModifiedBy>
  <cp:lastPrinted>2000-05-08T19:14:00Z</cp:lastPrinted>
  <dcterms:modified xsi:type="dcterms:W3CDTF">2000-05-08T21:45:00Z</dcterms:modified>
  <cp:revision>3</cp:revision>
  <dc:subject/>
  <dc:title>________________, 199</dc:title>
</cp:coreProperties>
</file>